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D07F" w14:textId="00BECF5E" w:rsidR="002522D4" w:rsidRDefault="002232EA" w:rsidP="003356AE">
      <w:pPr>
        <w:spacing w:line="240" w:lineRule="auto"/>
        <w:rPr>
          <w:lang w:val="en-AU"/>
        </w:rPr>
      </w:pPr>
      <w:bookmarkStart w:id="0" w:name="_Toc8915948"/>
      <w:bookmarkStart w:id="1" w:name="_Toc5357600"/>
      <w:bookmarkStart w:id="2" w:name="_Toc494190269"/>
      <w:r>
        <w:rPr>
          <w:noProof/>
        </w:rPr>
        <w:drawing>
          <wp:anchor distT="0" distB="0" distL="114300" distR="114300" simplePos="0" relativeHeight="251658242" behindDoc="0" locked="0" layoutInCell="1" allowOverlap="1" wp14:anchorId="4C479E99" wp14:editId="6D973219">
            <wp:simplePos x="0" y="0"/>
            <wp:positionH relativeFrom="margin">
              <wp:posOffset>-866140</wp:posOffset>
            </wp:positionH>
            <wp:positionV relativeFrom="margin">
              <wp:posOffset>531495</wp:posOffset>
            </wp:positionV>
            <wp:extent cx="7477760" cy="3568700"/>
            <wp:effectExtent l="0" t="0" r="889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477760" cy="3568700"/>
                    </a:xfrm>
                    <a:prstGeom prst="rect">
                      <a:avLst/>
                    </a:prstGeom>
                  </pic:spPr>
                </pic:pic>
              </a:graphicData>
            </a:graphic>
            <wp14:sizeRelH relativeFrom="margin">
              <wp14:pctWidth>0</wp14:pctWidth>
            </wp14:sizeRelH>
            <wp14:sizeRelV relativeFrom="margin">
              <wp14:pctHeight>0</wp14:pctHeight>
            </wp14:sizeRelV>
          </wp:anchor>
        </w:drawing>
      </w:r>
      <w:r w:rsidR="007D1D26">
        <w:rPr>
          <w:lang w:val="en-AU"/>
        </w:rPr>
        <w:tab/>
      </w:r>
    </w:p>
    <w:p w14:paraId="14EB8D41" w14:textId="77777777" w:rsidR="00D810FB" w:rsidRPr="006C5958" w:rsidRDefault="002522D4" w:rsidP="003356AE">
      <w:pPr>
        <w:spacing w:line="240" w:lineRule="auto"/>
        <w:jc w:val="left"/>
        <w:rPr>
          <w:b/>
          <w:color w:val="18235B"/>
          <w:sz w:val="48"/>
          <w:szCs w:val="48"/>
          <w:lang w:val="en-AU"/>
        </w:rPr>
      </w:pPr>
      <w:r w:rsidRPr="006C5958">
        <w:rPr>
          <w:b/>
          <w:color w:val="18235B"/>
          <w:sz w:val="48"/>
          <w:szCs w:val="48"/>
          <w:lang w:val="en-AU"/>
        </w:rPr>
        <w:t xml:space="preserve">Northamptonshire </w:t>
      </w:r>
      <w:r w:rsidR="00D810FB" w:rsidRPr="006C5958">
        <w:rPr>
          <w:b/>
          <w:color w:val="18235B"/>
          <w:sz w:val="48"/>
          <w:szCs w:val="48"/>
          <w:lang w:val="en-AU"/>
        </w:rPr>
        <w:t>Chief Constable</w:t>
      </w:r>
    </w:p>
    <w:p w14:paraId="2B96A66B" w14:textId="77777777" w:rsidR="002522D4" w:rsidRPr="00A14CAC" w:rsidRDefault="00D810FB" w:rsidP="003356AE">
      <w:pPr>
        <w:spacing w:line="240" w:lineRule="auto"/>
        <w:jc w:val="left"/>
        <w:rPr>
          <w:b/>
          <w:sz w:val="32"/>
          <w:szCs w:val="32"/>
          <w:lang w:val="en-AU"/>
        </w:rPr>
      </w:pPr>
      <w:r w:rsidRPr="00A14CAC">
        <w:rPr>
          <w:b/>
          <w:sz w:val="32"/>
          <w:szCs w:val="32"/>
          <w:lang w:val="en-AU"/>
        </w:rPr>
        <w:t>Single Entity</w:t>
      </w:r>
    </w:p>
    <w:p w14:paraId="4D7B2C5D" w14:textId="594957D0" w:rsidR="002522D4" w:rsidRPr="00F91C2F" w:rsidRDefault="000E2186" w:rsidP="003356AE">
      <w:pPr>
        <w:spacing w:line="240" w:lineRule="auto"/>
        <w:jc w:val="left"/>
        <w:rPr>
          <w:b/>
          <w:sz w:val="32"/>
          <w:szCs w:val="32"/>
          <w:lang w:val="en-AU"/>
        </w:rPr>
      </w:pPr>
      <w:r>
        <w:rPr>
          <w:b/>
          <w:sz w:val="32"/>
          <w:szCs w:val="32"/>
          <w:lang w:val="en-AU"/>
        </w:rPr>
        <w:t xml:space="preserve">DRAFT </w:t>
      </w:r>
      <w:r w:rsidR="002522D4" w:rsidRPr="00F91C2F">
        <w:rPr>
          <w:b/>
          <w:sz w:val="32"/>
          <w:szCs w:val="32"/>
          <w:lang w:val="en-AU"/>
        </w:rPr>
        <w:t>Stateme</w:t>
      </w:r>
      <w:r w:rsidR="006164DC">
        <w:rPr>
          <w:b/>
          <w:sz w:val="32"/>
          <w:szCs w:val="32"/>
          <w:lang w:val="en-AU"/>
        </w:rPr>
        <w:t>nt of Accounts for the year 202</w:t>
      </w:r>
      <w:r>
        <w:rPr>
          <w:b/>
          <w:sz w:val="32"/>
          <w:szCs w:val="32"/>
          <w:lang w:val="en-AU"/>
        </w:rPr>
        <w:t>5</w:t>
      </w:r>
      <w:r w:rsidR="006164DC">
        <w:rPr>
          <w:b/>
          <w:sz w:val="32"/>
          <w:szCs w:val="32"/>
          <w:lang w:val="en-AU"/>
        </w:rPr>
        <w:t>/2</w:t>
      </w:r>
      <w:r>
        <w:rPr>
          <w:b/>
          <w:sz w:val="32"/>
          <w:szCs w:val="32"/>
          <w:lang w:val="en-AU"/>
        </w:rPr>
        <w:t>6</w:t>
      </w:r>
    </w:p>
    <w:p w14:paraId="0961CF4B" w14:textId="5C0AE2B8" w:rsidR="002522D4" w:rsidRDefault="002522D4" w:rsidP="003356AE">
      <w:pPr>
        <w:spacing w:line="240" w:lineRule="auto"/>
        <w:rPr>
          <w:sz w:val="22"/>
          <w:szCs w:val="22"/>
          <w:lang w:val="en-AU"/>
        </w:rPr>
      </w:pPr>
    </w:p>
    <w:p w14:paraId="15267F47" w14:textId="77777777" w:rsidR="00EE3574" w:rsidRPr="00F91C2F" w:rsidRDefault="00EE3574" w:rsidP="003356AE">
      <w:pPr>
        <w:spacing w:line="240" w:lineRule="auto"/>
        <w:rPr>
          <w:sz w:val="22"/>
          <w:szCs w:val="22"/>
          <w:lang w:val="en-AU"/>
        </w:rPr>
      </w:pPr>
    </w:p>
    <w:p w14:paraId="085A2C1E" w14:textId="4AA4F2EF" w:rsidR="002522D4" w:rsidRDefault="002522D4" w:rsidP="003356AE">
      <w:pPr>
        <w:spacing w:line="240" w:lineRule="auto"/>
        <w:rPr>
          <w:sz w:val="22"/>
          <w:szCs w:val="22"/>
          <w:lang w:val="en-AU"/>
        </w:rPr>
      </w:pPr>
    </w:p>
    <w:p w14:paraId="35089198" w14:textId="24C634BC" w:rsidR="00C01107" w:rsidRDefault="00C01107" w:rsidP="003356AE">
      <w:pPr>
        <w:spacing w:line="240" w:lineRule="auto"/>
        <w:rPr>
          <w:sz w:val="22"/>
          <w:szCs w:val="22"/>
          <w:lang w:val="en-AU"/>
        </w:rPr>
      </w:pPr>
    </w:p>
    <w:p w14:paraId="62E1D2D5" w14:textId="0C621A9C" w:rsidR="00C01107" w:rsidRDefault="00C01107" w:rsidP="003356AE">
      <w:pPr>
        <w:spacing w:line="240" w:lineRule="auto"/>
        <w:rPr>
          <w:sz w:val="22"/>
          <w:szCs w:val="22"/>
          <w:lang w:val="en-AU"/>
        </w:rPr>
      </w:pPr>
    </w:p>
    <w:p w14:paraId="4617E9A5" w14:textId="77777777" w:rsidR="00DD4B78" w:rsidRDefault="00DD4B78" w:rsidP="003356AE">
      <w:pPr>
        <w:spacing w:line="240" w:lineRule="auto"/>
        <w:rPr>
          <w:sz w:val="22"/>
          <w:szCs w:val="22"/>
          <w:lang w:val="en-AU"/>
        </w:rPr>
      </w:pPr>
    </w:p>
    <w:p w14:paraId="150BE433" w14:textId="77777777" w:rsidR="00DD4B78" w:rsidRDefault="00DD4B78" w:rsidP="003356AE">
      <w:pPr>
        <w:spacing w:line="240" w:lineRule="auto"/>
        <w:rPr>
          <w:sz w:val="22"/>
          <w:szCs w:val="22"/>
          <w:lang w:val="en-AU"/>
        </w:rPr>
      </w:pPr>
    </w:p>
    <w:p w14:paraId="5FEE96C0" w14:textId="77777777" w:rsidR="00DD4B78" w:rsidRDefault="00DD4B78" w:rsidP="003356AE">
      <w:pPr>
        <w:spacing w:line="240" w:lineRule="auto"/>
        <w:rPr>
          <w:sz w:val="22"/>
          <w:szCs w:val="22"/>
          <w:lang w:val="en-AU"/>
        </w:rPr>
      </w:pPr>
    </w:p>
    <w:p w14:paraId="09554B5E" w14:textId="77777777" w:rsidR="00DD4B78" w:rsidRDefault="00DD4B78" w:rsidP="003356AE">
      <w:pPr>
        <w:spacing w:line="240" w:lineRule="auto"/>
        <w:rPr>
          <w:sz w:val="22"/>
          <w:szCs w:val="22"/>
          <w:lang w:val="en-AU"/>
        </w:rPr>
      </w:pPr>
    </w:p>
    <w:p w14:paraId="63D4E91A" w14:textId="77777777" w:rsidR="00DD4B78" w:rsidRDefault="00DD4B78" w:rsidP="003356AE">
      <w:pPr>
        <w:spacing w:line="240" w:lineRule="auto"/>
        <w:rPr>
          <w:sz w:val="22"/>
          <w:szCs w:val="22"/>
          <w:lang w:val="en-AU"/>
        </w:rPr>
      </w:pPr>
    </w:p>
    <w:p w14:paraId="195FD3E0" w14:textId="39408EC8" w:rsidR="00D4241D" w:rsidRPr="003B359B" w:rsidRDefault="00D4241D" w:rsidP="003356AE">
      <w:pPr>
        <w:spacing w:line="240" w:lineRule="auto"/>
        <w:rPr>
          <w:rFonts w:cs="Calibri"/>
          <w:szCs w:val="20"/>
          <w:lang w:val="en-AU"/>
        </w:rPr>
      </w:pPr>
      <w:r w:rsidRPr="00054718">
        <w:rPr>
          <w:rFonts w:cs="Calibri"/>
          <w:szCs w:val="20"/>
          <w:lang w:val="en-AU"/>
        </w:rPr>
        <w:t xml:space="preserve">Date </w:t>
      </w:r>
      <w:r w:rsidRPr="004D1FEF">
        <w:rPr>
          <w:rFonts w:cs="Calibri"/>
          <w:szCs w:val="20"/>
          <w:lang w:val="en-AU"/>
        </w:rPr>
        <w:t>Published</w:t>
      </w:r>
      <w:r w:rsidR="00443841" w:rsidRPr="004D1FEF">
        <w:rPr>
          <w:rFonts w:cs="Calibri"/>
          <w:szCs w:val="20"/>
          <w:lang w:val="en-AU"/>
        </w:rPr>
        <w:t>:</w:t>
      </w:r>
      <w:r w:rsidR="00E27986" w:rsidRPr="004D1FEF">
        <w:rPr>
          <w:rFonts w:cs="Calibri"/>
          <w:szCs w:val="20"/>
          <w:lang w:val="en-AU"/>
        </w:rPr>
        <w:t xml:space="preserve"> </w:t>
      </w:r>
      <w:r w:rsidR="004D1FEF" w:rsidRPr="004D1FEF">
        <w:rPr>
          <w:rFonts w:cs="Calibri"/>
          <w:szCs w:val="20"/>
          <w:lang w:val="en-AU"/>
        </w:rPr>
        <w:t>10</w:t>
      </w:r>
      <w:r w:rsidR="004B028E" w:rsidRPr="004D1FEF">
        <w:rPr>
          <w:rFonts w:cs="Calibri"/>
          <w:szCs w:val="20"/>
          <w:lang w:val="en-AU"/>
        </w:rPr>
        <w:t xml:space="preserve"> June</w:t>
      </w:r>
      <w:r w:rsidR="00E27986" w:rsidRPr="004D1FEF">
        <w:rPr>
          <w:rFonts w:cs="Calibri"/>
          <w:szCs w:val="20"/>
          <w:lang w:val="en-AU"/>
        </w:rPr>
        <w:t xml:space="preserve"> 2026</w:t>
      </w:r>
    </w:p>
    <w:p w14:paraId="2AA3955C" w14:textId="77777777" w:rsidR="00C01107" w:rsidRPr="00F91C2F" w:rsidRDefault="00C01107" w:rsidP="003356AE">
      <w:pPr>
        <w:spacing w:line="240" w:lineRule="auto"/>
        <w:rPr>
          <w:sz w:val="22"/>
          <w:szCs w:val="22"/>
          <w:lang w:val="en-AU"/>
        </w:rPr>
      </w:pPr>
    </w:p>
    <w:p w14:paraId="065B3366" w14:textId="2D36BB35" w:rsidR="002522D4" w:rsidRPr="00F91C2F" w:rsidRDefault="002522D4" w:rsidP="003356AE">
      <w:pPr>
        <w:spacing w:line="240" w:lineRule="auto"/>
        <w:rPr>
          <w:sz w:val="22"/>
          <w:szCs w:val="22"/>
          <w:lang w:val="en-AU"/>
        </w:rPr>
      </w:pPr>
    </w:p>
    <w:p w14:paraId="73CF81E1" w14:textId="00C56E97" w:rsidR="002522D4" w:rsidRPr="00430DF5" w:rsidRDefault="002522D4" w:rsidP="003356AE">
      <w:pPr>
        <w:spacing w:line="240" w:lineRule="auto"/>
        <w:rPr>
          <w:rFonts w:ascii="Verdana" w:hAnsi="Verdana"/>
          <w:sz w:val="22"/>
          <w:szCs w:val="22"/>
          <w:lang w:val="en-AU"/>
        </w:rPr>
      </w:pPr>
    </w:p>
    <w:p w14:paraId="7AB68CEC" w14:textId="6FEE3872" w:rsidR="002522D4" w:rsidRPr="00430DF5" w:rsidRDefault="002522D4" w:rsidP="003356AE">
      <w:pPr>
        <w:spacing w:line="240" w:lineRule="auto"/>
        <w:rPr>
          <w:rFonts w:ascii="Verdana" w:hAnsi="Verdana"/>
          <w:sz w:val="22"/>
          <w:szCs w:val="22"/>
          <w:lang w:val="en-AU"/>
        </w:rPr>
      </w:pPr>
    </w:p>
    <w:p w14:paraId="4849210F" w14:textId="313047B6" w:rsidR="002522D4" w:rsidRPr="00430DF5" w:rsidRDefault="00845CA8" w:rsidP="003356AE">
      <w:pPr>
        <w:spacing w:line="240" w:lineRule="auto"/>
        <w:rPr>
          <w:rFonts w:ascii="Verdana" w:hAnsi="Verdana"/>
          <w:sz w:val="22"/>
          <w:szCs w:val="22"/>
          <w:lang w:val="en-AU"/>
        </w:rPr>
      </w:pPr>
      <w:r>
        <w:rPr>
          <w:noProof/>
        </w:rPr>
        <w:drawing>
          <wp:anchor distT="0" distB="0" distL="114300" distR="114300" simplePos="0" relativeHeight="251658243" behindDoc="0" locked="0" layoutInCell="1" allowOverlap="1" wp14:anchorId="3CF7531D" wp14:editId="5C69D820">
            <wp:simplePos x="0" y="0"/>
            <wp:positionH relativeFrom="page">
              <wp:align>right</wp:align>
            </wp:positionH>
            <wp:positionV relativeFrom="margin">
              <wp:posOffset>7693684</wp:posOffset>
            </wp:positionV>
            <wp:extent cx="3108960" cy="2050415"/>
            <wp:effectExtent l="0" t="0" r="0" b="6985"/>
            <wp:wrapSquare wrapText="bothSides"/>
            <wp:docPr id="1088023736" name="Picture 10880237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23736" name="Picture 1088023736">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8711" t="2345" r="3769" b="-1"/>
                    <a:stretch/>
                  </pic:blipFill>
                  <pic:spPr bwMode="auto">
                    <a:xfrm>
                      <a:off x="0" y="0"/>
                      <a:ext cx="3108960" cy="2050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FD43DD" w14:textId="77777777" w:rsidR="002522D4" w:rsidRPr="00430DF5" w:rsidRDefault="002522D4" w:rsidP="003356AE">
      <w:pPr>
        <w:spacing w:line="240" w:lineRule="auto"/>
        <w:rPr>
          <w:rFonts w:ascii="Verdana" w:hAnsi="Verdana"/>
          <w:sz w:val="22"/>
          <w:szCs w:val="22"/>
          <w:lang w:val="en-AU"/>
        </w:rPr>
        <w:sectPr w:rsidR="002522D4" w:rsidRPr="00430DF5" w:rsidSect="006C5958">
          <w:headerReference w:type="even" r:id="rId13"/>
          <w:headerReference w:type="default" r:id="rId14"/>
          <w:headerReference w:type="first" r:id="rId15"/>
          <w:type w:val="continuous"/>
          <w:pgSz w:w="11900" w:h="16840" w:code="9"/>
          <w:pgMar w:top="1418" w:right="1418" w:bottom="1418" w:left="1418" w:header="709" w:footer="0" w:gutter="0"/>
          <w:pgNumType w:start="1"/>
          <w:cols w:space="708"/>
          <w:titlePg/>
          <w:docGrid w:linePitch="360"/>
        </w:sectPr>
      </w:pPr>
    </w:p>
    <w:p w14:paraId="63AA1595" w14:textId="28DC1772" w:rsidR="00874085" w:rsidRPr="008B4E07" w:rsidRDefault="00874085" w:rsidP="003356AE">
      <w:pPr>
        <w:spacing w:line="240" w:lineRule="auto"/>
        <w:jc w:val="left"/>
        <w:rPr>
          <w:rFonts w:eastAsia="Times New Roman" w:cs="Times New Roman"/>
          <w:b/>
          <w:bCs/>
          <w:smallCaps/>
          <w:color w:val="C00000"/>
          <w:sz w:val="36"/>
        </w:rPr>
        <w:sectPr w:rsidR="00874085" w:rsidRPr="008B4E07" w:rsidSect="00B57879">
          <w:footerReference w:type="default" r:id="rId16"/>
          <w:type w:val="continuous"/>
          <w:pgSz w:w="11900" w:h="16840"/>
          <w:pgMar w:top="1440" w:right="1440" w:bottom="1440" w:left="1440" w:header="709" w:footer="283" w:gutter="0"/>
          <w:pgNumType w:start="1"/>
          <w:cols w:space="708"/>
          <w:titlePg/>
          <w:docGrid w:linePitch="360"/>
        </w:sectPr>
      </w:pPr>
      <w:bookmarkStart w:id="3" w:name="_Toc9272488"/>
      <w:bookmarkStart w:id="4" w:name="Main_Statements"/>
    </w:p>
    <w:p w14:paraId="56A1CC51" w14:textId="78DCC826" w:rsidR="00A124DD" w:rsidRDefault="000625A5" w:rsidP="003356AE">
      <w:pPr>
        <w:spacing w:line="240" w:lineRule="auto"/>
        <w:rPr>
          <w:rFonts w:asciiTheme="minorHAnsi" w:eastAsia="Times New Roman" w:hAnsiTheme="minorHAnsi" w:cs="Times New Roman"/>
          <w:b/>
          <w:bCs/>
          <w:smallCaps/>
          <w:color w:val="25316C"/>
          <w:sz w:val="36"/>
        </w:rPr>
      </w:pPr>
      <w:bookmarkStart w:id="5" w:name="_Toc109631094"/>
      <w:bookmarkStart w:id="6" w:name="_Toc486605881"/>
      <w:bookmarkStart w:id="7" w:name="_Toc9272491"/>
      <w:bookmarkEnd w:id="3"/>
      <w:r>
        <w:rPr>
          <w:rFonts w:asciiTheme="minorHAnsi" w:eastAsia="Times New Roman" w:hAnsiTheme="minorHAnsi" w:cs="Times New Roman"/>
          <w:b/>
          <w:bCs/>
          <w:smallCaps/>
          <w:color w:val="25316C"/>
          <w:sz w:val="36"/>
        </w:rPr>
        <w:lastRenderedPageBreak/>
        <w:t>Contents</w:t>
      </w:r>
    </w:p>
    <w:p w14:paraId="5AD0B9CC" w14:textId="77777777" w:rsidR="00266074" w:rsidRDefault="00266074" w:rsidP="003356AE">
      <w:pPr>
        <w:spacing w:line="240" w:lineRule="auto"/>
        <w:rPr>
          <w:rFonts w:asciiTheme="minorHAnsi" w:eastAsia="Times New Roman" w:hAnsiTheme="minorHAnsi" w:cs="Times New Roman"/>
          <w:b/>
          <w:bCs/>
          <w:smallCaps/>
          <w:color w:val="25316C"/>
          <w:sz w:val="36"/>
        </w:rPr>
      </w:pPr>
    </w:p>
    <w:p w14:paraId="76C93548" w14:textId="77777777" w:rsidR="00266074" w:rsidRDefault="00266074" w:rsidP="003356AE">
      <w:pPr>
        <w:spacing w:line="240" w:lineRule="auto"/>
        <w:rPr>
          <w:rFonts w:asciiTheme="minorHAnsi" w:eastAsia="Times New Roman" w:hAnsiTheme="minorHAnsi" w:cs="Times New Roman"/>
          <w:b/>
          <w:bCs/>
          <w:smallCaps/>
          <w:color w:val="25316C"/>
          <w:sz w:val="36"/>
        </w:rPr>
      </w:pPr>
    </w:p>
    <w:p w14:paraId="77B32908" w14:textId="77777777" w:rsidR="000625A5" w:rsidRDefault="000625A5" w:rsidP="003356AE">
      <w:pPr>
        <w:spacing w:line="240" w:lineRule="auto"/>
        <w:rPr>
          <w:rFonts w:asciiTheme="minorHAnsi" w:eastAsia="Times New Roman" w:hAnsiTheme="minorHAnsi" w:cs="Times New Roman"/>
          <w:b/>
          <w:bCs/>
          <w:smallCaps/>
          <w:color w:val="25316C"/>
          <w:sz w:val="36"/>
        </w:rPr>
      </w:pPr>
    </w:p>
    <w:p w14:paraId="417A4533" w14:textId="77777777" w:rsidR="00C91B58" w:rsidRDefault="00C91B58" w:rsidP="0083454A">
      <w:pPr>
        <w:pStyle w:val="TOC1"/>
        <w:sectPr w:rsidR="00C91B58" w:rsidSect="00C63119">
          <w:footerReference w:type="default" r:id="rId17"/>
          <w:type w:val="continuous"/>
          <w:pgSz w:w="11900" w:h="16840"/>
          <w:pgMar w:top="1440" w:right="1080" w:bottom="1440" w:left="1080" w:header="709" w:footer="397" w:gutter="0"/>
          <w:cols w:num="2" w:space="708"/>
          <w:docGrid w:linePitch="360"/>
        </w:sectPr>
      </w:pPr>
    </w:p>
    <w:p w14:paraId="6E8C8FEA" w14:textId="47B3F914" w:rsidR="00F92A61" w:rsidRDefault="005C5B6E">
      <w:pPr>
        <w:pStyle w:val="TOC1"/>
        <w:rPr>
          <w:rFonts w:asciiTheme="minorHAnsi" w:eastAsiaTheme="minorEastAsia" w:hAnsiTheme="minorHAnsi"/>
          <w:color w:val="auto"/>
          <w:kern w:val="2"/>
          <w:sz w:val="24"/>
          <w:szCs w:val="24"/>
          <w:lang w:val="en-GB" w:eastAsia="en-GB"/>
          <w14:ligatures w14:val="standardContextual"/>
        </w:rPr>
      </w:pPr>
      <w:r>
        <w:rPr>
          <w:rFonts w:asciiTheme="minorHAnsi" w:eastAsia="Times New Roman" w:hAnsiTheme="minorHAnsi" w:cs="Times New Roman"/>
          <w:b/>
          <w:bCs/>
          <w:smallCaps/>
          <w:color w:val="25316C"/>
          <w:sz w:val="36"/>
        </w:rPr>
        <w:fldChar w:fldCharType="begin"/>
      </w:r>
      <w:r>
        <w:rPr>
          <w:rFonts w:asciiTheme="minorHAnsi" w:eastAsia="Times New Roman" w:hAnsiTheme="minorHAnsi" w:cs="Times New Roman"/>
          <w:b/>
          <w:bCs/>
          <w:smallCaps/>
          <w:color w:val="25316C"/>
          <w:sz w:val="36"/>
        </w:rPr>
        <w:instrText xml:space="preserve"> TOC \h \z \t "Chapter Heading,1" </w:instrText>
      </w:r>
      <w:r>
        <w:rPr>
          <w:rFonts w:asciiTheme="minorHAnsi" w:eastAsia="Times New Roman" w:hAnsiTheme="minorHAnsi" w:cs="Times New Roman"/>
          <w:b/>
          <w:bCs/>
          <w:smallCaps/>
          <w:color w:val="25316C"/>
          <w:sz w:val="36"/>
        </w:rPr>
        <w:fldChar w:fldCharType="separate"/>
      </w:r>
      <w:hyperlink w:anchor="_Toc231975669" w:history="1">
        <w:r w:rsidR="00F92A61" w:rsidRPr="00B268F5">
          <w:rPr>
            <w:rStyle w:val="Hyperlink"/>
          </w:rPr>
          <w:t>Narrative Statement</w:t>
        </w:r>
        <w:r w:rsidR="00F92A61">
          <w:rPr>
            <w:webHidden/>
          </w:rPr>
          <w:tab/>
        </w:r>
        <w:r w:rsidR="00F92A61">
          <w:rPr>
            <w:webHidden/>
          </w:rPr>
          <w:fldChar w:fldCharType="begin"/>
        </w:r>
        <w:r w:rsidR="00F92A61">
          <w:rPr>
            <w:webHidden/>
          </w:rPr>
          <w:instrText xml:space="preserve"> PAGEREF _Toc231975669 \h </w:instrText>
        </w:r>
        <w:r w:rsidR="00F92A61">
          <w:rPr>
            <w:webHidden/>
          </w:rPr>
        </w:r>
        <w:r w:rsidR="00F92A61">
          <w:rPr>
            <w:webHidden/>
          </w:rPr>
          <w:fldChar w:fldCharType="separate"/>
        </w:r>
        <w:r w:rsidR="00F92A61">
          <w:rPr>
            <w:webHidden/>
          </w:rPr>
          <w:t>3</w:t>
        </w:r>
        <w:r w:rsidR="00F92A61">
          <w:rPr>
            <w:webHidden/>
          </w:rPr>
          <w:fldChar w:fldCharType="end"/>
        </w:r>
      </w:hyperlink>
    </w:p>
    <w:p w14:paraId="2179F7C6" w14:textId="3D34A795"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0" w:history="1">
        <w:r w:rsidRPr="00B268F5">
          <w:rPr>
            <w:rStyle w:val="Hyperlink"/>
          </w:rPr>
          <w:t>Statement of Responsibilities</w:t>
        </w:r>
        <w:r>
          <w:rPr>
            <w:webHidden/>
          </w:rPr>
          <w:tab/>
        </w:r>
        <w:r>
          <w:rPr>
            <w:webHidden/>
          </w:rPr>
          <w:fldChar w:fldCharType="begin"/>
        </w:r>
        <w:r>
          <w:rPr>
            <w:webHidden/>
          </w:rPr>
          <w:instrText xml:space="preserve"> PAGEREF _Toc231975670 \h </w:instrText>
        </w:r>
        <w:r>
          <w:rPr>
            <w:webHidden/>
          </w:rPr>
        </w:r>
        <w:r>
          <w:rPr>
            <w:webHidden/>
          </w:rPr>
          <w:fldChar w:fldCharType="separate"/>
        </w:r>
        <w:r>
          <w:rPr>
            <w:webHidden/>
          </w:rPr>
          <w:t>20</w:t>
        </w:r>
        <w:r>
          <w:rPr>
            <w:webHidden/>
          </w:rPr>
          <w:fldChar w:fldCharType="end"/>
        </w:r>
      </w:hyperlink>
    </w:p>
    <w:p w14:paraId="5F2332D5" w14:textId="36E4ACC8"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1" w:history="1">
        <w:r w:rsidRPr="00B268F5">
          <w:rPr>
            <w:rStyle w:val="Hyperlink"/>
            <w:lang w:val="pt-BR"/>
          </w:rPr>
          <w:t>Movement in Reserves Statement</w:t>
        </w:r>
        <w:r>
          <w:rPr>
            <w:webHidden/>
          </w:rPr>
          <w:tab/>
        </w:r>
        <w:r>
          <w:rPr>
            <w:webHidden/>
          </w:rPr>
          <w:fldChar w:fldCharType="begin"/>
        </w:r>
        <w:r>
          <w:rPr>
            <w:webHidden/>
          </w:rPr>
          <w:instrText xml:space="preserve"> PAGEREF _Toc231975671 \h </w:instrText>
        </w:r>
        <w:r>
          <w:rPr>
            <w:webHidden/>
          </w:rPr>
        </w:r>
        <w:r>
          <w:rPr>
            <w:webHidden/>
          </w:rPr>
          <w:fldChar w:fldCharType="separate"/>
        </w:r>
        <w:r>
          <w:rPr>
            <w:webHidden/>
          </w:rPr>
          <w:t>21</w:t>
        </w:r>
        <w:r>
          <w:rPr>
            <w:webHidden/>
          </w:rPr>
          <w:fldChar w:fldCharType="end"/>
        </w:r>
      </w:hyperlink>
    </w:p>
    <w:p w14:paraId="6461EF4A" w14:textId="16752365"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2" w:history="1">
        <w:r w:rsidRPr="00B268F5">
          <w:rPr>
            <w:rStyle w:val="Hyperlink"/>
          </w:rPr>
          <w:t>Comprehensive Income and Expenditure Statement</w:t>
        </w:r>
        <w:r>
          <w:rPr>
            <w:webHidden/>
          </w:rPr>
          <w:tab/>
        </w:r>
        <w:r>
          <w:rPr>
            <w:webHidden/>
          </w:rPr>
          <w:fldChar w:fldCharType="begin"/>
        </w:r>
        <w:r>
          <w:rPr>
            <w:webHidden/>
          </w:rPr>
          <w:instrText xml:space="preserve"> PAGEREF _Toc231975672 \h </w:instrText>
        </w:r>
        <w:r>
          <w:rPr>
            <w:webHidden/>
          </w:rPr>
        </w:r>
        <w:r>
          <w:rPr>
            <w:webHidden/>
          </w:rPr>
          <w:fldChar w:fldCharType="separate"/>
        </w:r>
        <w:r>
          <w:rPr>
            <w:webHidden/>
          </w:rPr>
          <w:t>22</w:t>
        </w:r>
        <w:r>
          <w:rPr>
            <w:webHidden/>
          </w:rPr>
          <w:fldChar w:fldCharType="end"/>
        </w:r>
      </w:hyperlink>
    </w:p>
    <w:p w14:paraId="1C25E8E4" w14:textId="53ABCF49"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3" w:history="1">
        <w:r w:rsidRPr="00B268F5">
          <w:rPr>
            <w:rStyle w:val="Hyperlink"/>
            <w:lang w:val="pt-BR"/>
          </w:rPr>
          <w:t>Balance Sheet</w:t>
        </w:r>
        <w:r>
          <w:rPr>
            <w:webHidden/>
          </w:rPr>
          <w:tab/>
        </w:r>
        <w:r>
          <w:rPr>
            <w:webHidden/>
          </w:rPr>
          <w:fldChar w:fldCharType="begin"/>
        </w:r>
        <w:r>
          <w:rPr>
            <w:webHidden/>
          </w:rPr>
          <w:instrText xml:space="preserve"> PAGEREF _Toc231975673 \h </w:instrText>
        </w:r>
        <w:r>
          <w:rPr>
            <w:webHidden/>
          </w:rPr>
        </w:r>
        <w:r>
          <w:rPr>
            <w:webHidden/>
          </w:rPr>
          <w:fldChar w:fldCharType="separate"/>
        </w:r>
        <w:r>
          <w:rPr>
            <w:webHidden/>
          </w:rPr>
          <w:t>23</w:t>
        </w:r>
        <w:r>
          <w:rPr>
            <w:webHidden/>
          </w:rPr>
          <w:fldChar w:fldCharType="end"/>
        </w:r>
      </w:hyperlink>
    </w:p>
    <w:p w14:paraId="756421BB" w14:textId="78EE9C00"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4" w:history="1">
        <w:r w:rsidRPr="00B268F5">
          <w:rPr>
            <w:rStyle w:val="Hyperlink"/>
            <w:lang w:val="pt-BR"/>
          </w:rPr>
          <w:t>Cash Flow Statement</w:t>
        </w:r>
        <w:r>
          <w:rPr>
            <w:webHidden/>
          </w:rPr>
          <w:tab/>
        </w:r>
        <w:r>
          <w:rPr>
            <w:webHidden/>
          </w:rPr>
          <w:fldChar w:fldCharType="begin"/>
        </w:r>
        <w:r>
          <w:rPr>
            <w:webHidden/>
          </w:rPr>
          <w:instrText xml:space="preserve"> PAGEREF _Toc231975674 \h </w:instrText>
        </w:r>
        <w:r>
          <w:rPr>
            <w:webHidden/>
          </w:rPr>
        </w:r>
        <w:r>
          <w:rPr>
            <w:webHidden/>
          </w:rPr>
          <w:fldChar w:fldCharType="separate"/>
        </w:r>
        <w:r>
          <w:rPr>
            <w:webHidden/>
          </w:rPr>
          <w:t>24</w:t>
        </w:r>
        <w:r>
          <w:rPr>
            <w:webHidden/>
          </w:rPr>
          <w:fldChar w:fldCharType="end"/>
        </w:r>
      </w:hyperlink>
    </w:p>
    <w:p w14:paraId="1D6EF7E6" w14:textId="5B8638DE"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5" w:history="1">
        <w:r w:rsidRPr="00B268F5">
          <w:rPr>
            <w:rStyle w:val="Hyperlink"/>
          </w:rPr>
          <w:t>Notes to the Accounts</w:t>
        </w:r>
        <w:r>
          <w:rPr>
            <w:webHidden/>
          </w:rPr>
          <w:tab/>
        </w:r>
        <w:r>
          <w:rPr>
            <w:webHidden/>
          </w:rPr>
          <w:fldChar w:fldCharType="begin"/>
        </w:r>
        <w:r>
          <w:rPr>
            <w:webHidden/>
          </w:rPr>
          <w:instrText xml:space="preserve"> PAGEREF _Toc231975675 \h </w:instrText>
        </w:r>
        <w:r>
          <w:rPr>
            <w:webHidden/>
          </w:rPr>
        </w:r>
        <w:r>
          <w:rPr>
            <w:webHidden/>
          </w:rPr>
          <w:fldChar w:fldCharType="separate"/>
        </w:r>
        <w:r>
          <w:rPr>
            <w:webHidden/>
          </w:rPr>
          <w:t>25</w:t>
        </w:r>
        <w:r>
          <w:rPr>
            <w:webHidden/>
          </w:rPr>
          <w:fldChar w:fldCharType="end"/>
        </w:r>
      </w:hyperlink>
    </w:p>
    <w:p w14:paraId="4528FADC" w14:textId="10F7151A"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6" w:history="1">
        <w:r w:rsidRPr="00B268F5">
          <w:rPr>
            <w:rStyle w:val="Hyperlink"/>
          </w:rPr>
          <w:t>Annual Governance Statement (OCC)</w:t>
        </w:r>
        <w:r>
          <w:rPr>
            <w:webHidden/>
          </w:rPr>
          <w:tab/>
        </w:r>
        <w:r>
          <w:rPr>
            <w:webHidden/>
          </w:rPr>
          <w:fldChar w:fldCharType="begin"/>
        </w:r>
        <w:r>
          <w:rPr>
            <w:webHidden/>
          </w:rPr>
          <w:instrText xml:space="preserve"> PAGEREF _Toc231975676 \h </w:instrText>
        </w:r>
        <w:r>
          <w:rPr>
            <w:webHidden/>
          </w:rPr>
        </w:r>
        <w:r>
          <w:rPr>
            <w:webHidden/>
          </w:rPr>
          <w:fldChar w:fldCharType="separate"/>
        </w:r>
        <w:r>
          <w:rPr>
            <w:webHidden/>
          </w:rPr>
          <w:t>66</w:t>
        </w:r>
        <w:r>
          <w:rPr>
            <w:webHidden/>
          </w:rPr>
          <w:fldChar w:fldCharType="end"/>
        </w:r>
      </w:hyperlink>
    </w:p>
    <w:p w14:paraId="502CAEA0" w14:textId="4CB57683"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7" w:history="1">
        <w:r w:rsidRPr="00B268F5">
          <w:rPr>
            <w:rStyle w:val="Hyperlink"/>
          </w:rPr>
          <w:t>Annual Governance Statement (Collaboration)</w:t>
        </w:r>
        <w:r>
          <w:rPr>
            <w:webHidden/>
          </w:rPr>
          <w:tab/>
        </w:r>
        <w:r>
          <w:rPr>
            <w:webHidden/>
          </w:rPr>
          <w:fldChar w:fldCharType="begin"/>
        </w:r>
        <w:r>
          <w:rPr>
            <w:webHidden/>
          </w:rPr>
          <w:instrText xml:space="preserve"> PAGEREF _Toc231975677 \h </w:instrText>
        </w:r>
        <w:r>
          <w:rPr>
            <w:webHidden/>
          </w:rPr>
        </w:r>
        <w:r>
          <w:rPr>
            <w:webHidden/>
          </w:rPr>
          <w:fldChar w:fldCharType="separate"/>
        </w:r>
        <w:r>
          <w:rPr>
            <w:webHidden/>
          </w:rPr>
          <w:t>78</w:t>
        </w:r>
        <w:r>
          <w:rPr>
            <w:webHidden/>
          </w:rPr>
          <w:fldChar w:fldCharType="end"/>
        </w:r>
      </w:hyperlink>
    </w:p>
    <w:p w14:paraId="5D340EC2" w14:textId="04F1A091"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8" w:history="1">
        <w:r w:rsidRPr="00B268F5">
          <w:rPr>
            <w:rStyle w:val="Hyperlink"/>
          </w:rPr>
          <w:t>Glossary of Terms</w:t>
        </w:r>
        <w:r>
          <w:rPr>
            <w:webHidden/>
          </w:rPr>
          <w:tab/>
        </w:r>
        <w:r>
          <w:rPr>
            <w:webHidden/>
          </w:rPr>
          <w:fldChar w:fldCharType="begin"/>
        </w:r>
        <w:r>
          <w:rPr>
            <w:webHidden/>
          </w:rPr>
          <w:instrText xml:space="preserve"> PAGEREF _Toc231975678 \h </w:instrText>
        </w:r>
        <w:r>
          <w:rPr>
            <w:webHidden/>
          </w:rPr>
        </w:r>
        <w:r>
          <w:rPr>
            <w:webHidden/>
          </w:rPr>
          <w:fldChar w:fldCharType="separate"/>
        </w:r>
        <w:r>
          <w:rPr>
            <w:webHidden/>
          </w:rPr>
          <w:t>80</w:t>
        </w:r>
        <w:r>
          <w:rPr>
            <w:webHidden/>
          </w:rPr>
          <w:fldChar w:fldCharType="end"/>
        </w:r>
      </w:hyperlink>
    </w:p>
    <w:p w14:paraId="31271220" w14:textId="394BEDFE" w:rsidR="00F92A61" w:rsidRDefault="00F92A61">
      <w:pPr>
        <w:pStyle w:val="TOC1"/>
        <w:rPr>
          <w:rFonts w:asciiTheme="minorHAnsi" w:eastAsiaTheme="minorEastAsia" w:hAnsiTheme="minorHAnsi"/>
          <w:color w:val="auto"/>
          <w:kern w:val="2"/>
          <w:sz w:val="24"/>
          <w:szCs w:val="24"/>
          <w:lang w:val="en-GB" w:eastAsia="en-GB"/>
          <w14:ligatures w14:val="standardContextual"/>
        </w:rPr>
      </w:pPr>
      <w:hyperlink w:anchor="_Toc231975679" w:history="1">
        <w:r w:rsidRPr="00B268F5">
          <w:rPr>
            <w:rStyle w:val="Hyperlink"/>
          </w:rPr>
          <w:t>Audit Report</w:t>
        </w:r>
        <w:r>
          <w:rPr>
            <w:webHidden/>
          </w:rPr>
          <w:tab/>
        </w:r>
        <w:r>
          <w:rPr>
            <w:webHidden/>
          </w:rPr>
          <w:fldChar w:fldCharType="begin"/>
        </w:r>
        <w:r>
          <w:rPr>
            <w:webHidden/>
          </w:rPr>
          <w:instrText xml:space="preserve"> PAGEREF _Toc231975679 \h </w:instrText>
        </w:r>
        <w:r>
          <w:rPr>
            <w:webHidden/>
          </w:rPr>
        </w:r>
        <w:r>
          <w:rPr>
            <w:webHidden/>
          </w:rPr>
          <w:fldChar w:fldCharType="separate"/>
        </w:r>
        <w:r>
          <w:rPr>
            <w:webHidden/>
          </w:rPr>
          <w:t>84</w:t>
        </w:r>
        <w:r>
          <w:rPr>
            <w:webHidden/>
          </w:rPr>
          <w:fldChar w:fldCharType="end"/>
        </w:r>
      </w:hyperlink>
    </w:p>
    <w:p w14:paraId="356CAF9D" w14:textId="42EF33CF" w:rsidR="00C91B58" w:rsidRDefault="005C5B6E" w:rsidP="003356AE">
      <w:pPr>
        <w:spacing w:line="240" w:lineRule="auto"/>
        <w:rPr>
          <w:rFonts w:asciiTheme="minorHAnsi" w:eastAsia="Times New Roman" w:hAnsiTheme="minorHAnsi" w:cs="Times New Roman"/>
          <w:b/>
          <w:bCs/>
          <w:smallCaps/>
          <w:noProof/>
          <w:color w:val="25316C"/>
          <w:sz w:val="36"/>
          <w:szCs w:val="18"/>
          <w:lang w:val="en-AU"/>
        </w:rPr>
        <w:sectPr w:rsidR="00C91B58" w:rsidSect="00C91B58">
          <w:type w:val="continuous"/>
          <w:pgSz w:w="11900" w:h="16840"/>
          <w:pgMar w:top="1440" w:right="1080" w:bottom="1440" w:left="1080" w:header="709" w:footer="397" w:gutter="0"/>
          <w:cols w:space="708"/>
          <w:docGrid w:linePitch="360"/>
        </w:sectPr>
      </w:pPr>
      <w:r>
        <w:rPr>
          <w:rFonts w:asciiTheme="minorHAnsi" w:eastAsia="Times New Roman" w:hAnsiTheme="minorHAnsi" w:cs="Times New Roman"/>
          <w:b/>
          <w:bCs/>
          <w:smallCaps/>
          <w:noProof/>
          <w:color w:val="25316C"/>
          <w:sz w:val="36"/>
          <w:szCs w:val="18"/>
          <w:lang w:val="en-AU"/>
        </w:rPr>
        <w:fldChar w:fldCharType="end"/>
      </w:r>
    </w:p>
    <w:p w14:paraId="67D5666C" w14:textId="0E7214D0" w:rsidR="00B451E3" w:rsidRDefault="00B451E3" w:rsidP="003356AE">
      <w:pPr>
        <w:spacing w:line="240" w:lineRule="auto"/>
      </w:pPr>
    </w:p>
    <w:p w14:paraId="1A7C6EFA" w14:textId="620B7DA4" w:rsidR="00B451E3" w:rsidRDefault="00B451E3" w:rsidP="003356AE">
      <w:pPr>
        <w:spacing w:line="240" w:lineRule="auto"/>
        <w:jc w:val="left"/>
        <w:rPr>
          <w:rFonts w:asciiTheme="minorHAnsi" w:eastAsia="Times New Roman" w:hAnsiTheme="minorHAnsi" w:cs="Times New Roman"/>
          <w:b/>
          <w:bCs/>
          <w:smallCaps/>
          <w:color w:val="25316C"/>
          <w:sz w:val="36"/>
        </w:rPr>
      </w:pPr>
      <w:r>
        <w:rPr>
          <w:rFonts w:asciiTheme="minorHAnsi" w:eastAsia="Times New Roman" w:hAnsiTheme="minorHAnsi" w:cs="Times New Roman"/>
          <w:b/>
          <w:bCs/>
          <w:smallCaps/>
          <w:color w:val="25316C"/>
          <w:sz w:val="36"/>
        </w:rPr>
        <w:br w:type="page"/>
      </w:r>
    </w:p>
    <w:p w14:paraId="1B8BE3E0" w14:textId="32BA1DD3" w:rsidR="00C63119" w:rsidRPr="004D4D25" w:rsidRDefault="00C63119" w:rsidP="003356AE">
      <w:pPr>
        <w:pStyle w:val="ChapterHeading"/>
        <w:spacing w:line="240" w:lineRule="auto"/>
        <w:rPr>
          <w:b w:val="0"/>
          <w:bCs w:val="0"/>
          <w:smallCaps w:val="0"/>
        </w:rPr>
      </w:pPr>
      <w:bookmarkStart w:id="8" w:name="_Toc231975669"/>
      <w:r w:rsidRPr="004D4D25">
        <w:lastRenderedPageBreak/>
        <w:t>Narrative Statement</w:t>
      </w:r>
      <w:bookmarkEnd w:id="5"/>
      <w:bookmarkEnd w:id="8"/>
    </w:p>
    <w:p w14:paraId="68A3F0C9" w14:textId="77777777" w:rsidR="00C63119" w:rsidRPr="004D4D25" w:rsidRDefault="00C63119" w:rsidP="003356AE">
      <w:pPr>
        <w:spacing w:line="240" w:lineRule="auto"/>
      </w:pPr>
      <w:bookmarkStart w:id="9" w:name="_Toc517077264"/>
      <w:bookmarkStart w:id="10" w:name="_Toc9493437"/>
      <w:bookmarkStart w:id="11" w:name="Narrative"/>
    </w:p>
    <w:p w14:paraId="1E9FDEF0" w14:textId="799873EB" w:rsidR="00C63119" w:rsidRPr="004D4D25" w:rsidRDefault="00C63119" w:rsidP="003356AE">
      <w:pPr>
        <w:pStyle w:val="VAHeading"/>
        <w:spacing w:line="240" w:lineRule="auto"/>
      </w:pPr>
      <w:r w:rsidRPr="004D4D25">
        <w:t>Contents</w:t>
      </w:r>
    </w:p>
    <w:p w14:paraId="736ED170" w14:textId="77777777" w:rsidR="0031763A" w:rsidRPr="004D4D25" w:rsidRDefault="0031763A" w:rsidP="003356AE">
      <w:pPr>
        <w:pStyle w:val="TOC2"/>
        <w:spacing w:line="240" w:lineRule="auto"/>
      </w:pPr>
    </w:p>
    <w:p w14:paraId="27418057" w14:textId="62E951A8" w:rsidR="00F51568" w:rsidRDefault="00F66578">
      <w:pPr>
        <w:pStyle w:val="TOC1"/>
        <w:rPr>
          <w:rFonts w:asciiTheme="minorHAnsi" w:eastAsiaTheme="minorEastAsia" w:hAnsiTheme="minorHAnsi"/>
          <w:color w:val="auto"/>
          <w:kern w:val="2"/>
          <w:sz w:val="24"/>
          <w:szCs w:val="24"/>
          <w:lang w:val="en-GB" w:eastAsia="en-GB"/>
          <w14:ligatures w14:val="standardContextual"/>
        </w:rPr>
      </w:pPr>
      <w:r w:rsidRPr="004D4D25">
        <w:fldChar w:fldCharType="begin"/>
      </w:r>
      <w:r w:rsidRPr="004D4D25">
        <w:instrText xml:space="preserve"> TOC \h \z \t "Narrative Heading,1" </w:instrText>
      </w:r>
      <w:r w:rsidRPr="004D4D25">
        <w:fldChar w:fldCharType="separate"/>
      </w:r>
      <w:hyperlink w:anchor="_Toc231216700" w:history="1">
        <w:r w:rsidR="00F51568" w:rsidRPr="00D07D1A">
          <w:rPr>
            <w:rStyle w:val="Hyperlink"/>
          </w:rPr>
          <w:t>Foreword by Chief Finance Officer</w:t>
        </w:r>
        <w:r w:rsidR="00F51568">
          <w:rPr>
            <w:webHidden/>
          </w:rPr>
          <w:tab/>
        </w:r>
        <w:r w:rsidR="00F51568">
          <w:rPr>
            <w:webHidden/>
          </w:rPr>
          <w:fldChar w:fldCharType="begin"/>
        </w:r>
        <w:r w:rsidR="00F51568">
          <w:rPr>
            <w:webHidden/>
          </w:rPr>
          <w:instrText xml:space="preserve"> PAGEREF _Toc231216700 \h </w:instrText>
        </w:r>
        <w:r w:rsidR="00F51568">
          <w:rPr>
            <w:webHidden/>
          </w:rPr>
        </w:r>
        <w:r w:rsidR="00F51568">
          <w:rPr>
            <w:webHidden/>
          </w:rPr>
          <w:fldChar w:fldCharType="separate"/>
        </w:r>
        <w:r w:rsidR="00F51568">
          <w:rPr>
            <w:webHidden/>
          </w:rPr>
          <w:t>3</w:t>
        </w:r>
        <w:r w:rsidR="00F51568">
          <w:rPr>
            <w:webHidden/>
          </w:rPr>
          <w:fldChar w:fldCharType="end"/>
        </w:r>
      </w:hyperlink>
    </w:p>
    <w:p w14:paraId="16E5404E" w14:textId="7A694F6F"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1" w:history="1">
        <w:r w:rsidRPr="00D07D1A">
          <w:rPr>
            <w:rStyle w:val="Hyperlink"/>
          </w:rPr>
          <w:t>Northamptonshire</w:t>
        </w:r>
        <w:r>
          <w:rPr>
            <w:webHidden/>
          </w:rPr>
          <w:tab/>
        </w:r>
        <w:r>
          <w:rPr>
            <w:webHidden/>
          </w:rPr>
          <w:fldChar w:fldCharType="begin"/>
        </w:r>
        <w:r>
          <w:rPr>
            <w:webHidden/>
          </w:rPr>
          <w:instrText xml:space="preserve"> PAGEREF _Toc231216701 \h </w:instrText>
        </w:r>
        <w:r>
          <w:rPr>
            <w:webHidden/>
          </w:rPr>
        </w:r>
        <w:r>
          <w:rPr>
            <w:webHidden/>
          </w:rPr>
          <w:fldChar w:fldCharType="separate"/>
        </w:r>
        <w:r>
          <w:rPr>
            <w:webHidden/>
          </w:rPr>
          <w:t>4</w:t>
        </w:r>
        <w:r>
          <w:rPr>
            <w:webHidden/>
          </w:rPr>
          <w:fldChar w:fldCharType="end"/>
        </w:r>
      </w:hyperlink>
    </w:p>
    <w:p w14:paraId="73E0BABD" w14:textId="259748F3"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2" w:history="1">
        <w:r w:rsidRPr="00D07D1A">
          <w:rPr>
            <w:rStyle w:val="Hyperlink"/>
          </w:rPr>
          <w:t>Safe and Sound</w:t>
        </w:r>
        <w:r>
          <w:rPr>
            <w:webHidden/>
          </w:rPr>
          <w:tab/>
        </w:r>
        <w:r>
          <w:rPr>
            <w:webHidden/>
          </w:rPr>
          <w:fldChar w:fldCharType="begin"/>
        </w:r>
        <w:r>
          <w:rPr>
            <w:webHidden/>
          </w:rPr>
          <w:instrText xml:space="preserve"> PAGEREF _Toc231216702 \h </w:instrText>
        </w:r>
        <w:r>
          <w:rPr>
            <w:webHidden/>
          </w:rPr>
        </w:r>
        <w:r>
          <w:rPr>
            <w:webHidden/>
          </w:rPr>
          <w:fldChar w:fldCharType="separate"/>
        </w:r>
        <w:r>
          <w:rPr>
            <w:webHidden/>
          </w:rPr>
          <w:t>4</w:t>
        </w:r>
        <w:r>
          <w:rPr>
            <w:webHidden/>
          </w:rPr>
          <w:fldChar w:fldCharType="end"/>
        </w:r>
      </w:hyperlink>
    </w:p>
    <w:p w14:paraId="0F68CCAA" w14:textId="366EFE8C"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3" w:history="1">
        <w:r w:rsidRPr="00D07D1A">
          <w:rPr>
            <w:rStyle w:val="Hyperlink"/>
          </w:rPr>
          <w:t>The Chief Constable’s Strategic Plan</w:t>
        </w:r>
        <w:r>
          <w:rPr>
            <w:webHidden/>
          </w:rPr>
          <w:tab/>
        </w:r>
        <w:r>
          <w:rPr>
            <w:webHidden/>
          </w:rPr>
          <w:fldChar w:fldCharType="begin"/>
        </w:r>
        <w:r>
          <w:rPr>
            <w:webHidden/>
          </w:rPr>
          <w:instrText xml:space="preserve"> PAGEREF _Toc231216703 \h </w:instrText>
        </w:r>
        <w:r>
          <w:rPr>
            <w:webHidden/>
          </w:rPr>
        </w:r>
        <w:r>
          <w:rPr>
            <w:webHidden/>
          </w:rPr>
          <w:fldChar w:fldCharType="separate"/>
        </w:r>
        <w:r>
          <w:rPr>
            <w:webHidden/>
          </w:rPr>
          <w:t>5</w:t>
        </w:r>
        <w:r>
          <w:rPr>
            <w:webHidden/>
          </w:rPr>
          <w:fldChar w:fldCharType="end"/>
        </w:r>
      </w:hyperlink>
    </w:p>
    <w:p w14:paraId="42804DBB" w14:textId="2C1F3C01"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4" w:history="1">
        <w:r w:rsidRPr="00D07D1A">
          <w:rPr>
            <w:rStyle w:val="Hyperlink"/>
          </w:rPr>
          <w:t>Statutory Framework</w:t>
        </w:r>
        <w:r>
          <w:rPr>
            <w:webHidden/>
          </w:rPr>
          <w:tab/>
        </w:r>
        <w:r>
          <w:rPr>
            <w:webHidden/>
          </w:rPr>
          <w:fldChar w:fldCharType="begin"/>
        </w:r>
        <w:r>
          <w:rPr>
            <w:webHidden/>
          </w:rPr>
          <w:instrText xml:space="preserve"> PAGEREF _Toc231216704 \h </w:instrText>
        </w:r>
        <w:r>
          <w:rPr>
            <w:webHidden/>
          </w:rPr>
        </w:r>
        <w:r>
          <w:rPr>
            <w:webHidden/>
          </w:rPr>
          <w:fldChar w:fldCharType="separate"/>
        </w:r>
        <w:r>
          <w:rPr>
            <w:webHidden/>
          </w:rPr>
          <w:t>6</w:t>
        </w:r>
        <w:r>
          <w:rPr>
            <w:webHidden/>
          </w:rPr>
          <w:fldChar w:fldCharType="end"/>
        </w:r>
      </w:hyperlink>
    </w:p>
    <w:p w14:paraId="4F32CCB5" w14:textId="5121C0C8"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5" w:history="1">
        <w:r w:rsidRPr="00D07D1A">
          <w:rPr>
            <w:rStyle w:val="Hyperlink"/>
          </w:rPr>
          <w:t>Group Boundary</w:t>
        </w:r>
        <w:r>
          <w:rPr>
            <w:webHidden/>
          </w:rPr>
          <w:tab/>
        </w:r>
        <w:r>
          <w:rPr>
            <w:webHidden/>
          </w:rPr>
          <w:fldChar w:fldCharType="begin"/>
        </w:r>
        <w:r>
          <w:rPr>
            <w:webHidden/>
          </w:rPr>
          <w:instrText xml:space="preserve"> PAGEREF _Toc231216705 \h </w:instrText>
        </w:r>
        <w:r>
          <w:rPr>
            <w:webHidden/>
          </w:rPr>
        </w:r>
        <w:r>
          <w:rPr>
            <w:webHidden/>
          </w:rPr>
          <w:fldChar w:fldCharType="separate"/>
        </w:r>
        <w:r>
          <w:rPr>
            <w:webHidden/>
          </w:rPr>
          <w:t>6</w:t>
        </w:r>
        <w:r>
          <w:rPr>
            <w:webHidden/>
          </w:rPr>
          <w:fldChar w:fldCharType="end"/>
        </w:r>
      </w:hyperlink>
    </w:p>
    <w:p w14:paraId="6AE42A6C" w14:textId="3561698E"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6" w:history="1">
        <w:r w:rsidRPr="00D07D1A">
          <w:rPr>
            <w:rStyle w:val="Hyperlink"/>
          </w:rPr>
          <w:t>Responsibilities</w:t>
        </w:r>
        <w:r>
          <w:rPr>
            <w:webHidden/>
          </w:rPr>
          <w:tab/>
        </w:r>
        <w:r>
          <w:rPr>
            <w:webHidden/>
          </w:rPr>
          <w:fldChar w:fldCharType="begin"/>
        </w:r>
        <w:r>
          <w:rPr>
            <w:webHidden/>
          </w:rPr>
          <w:instrText xml:space="preserve"> PAGEREF _Toc231216706 \h </w:instrText>
        </w:r>
        <w:r>
          <w:rPr>
            <w:webHidden/>
          </w:rPr>
        </w:r>
        <w:r>
          <w:rPr>
            <w:webHidden/>
          </w:rPr>
          <w:fldChar w:fldCharType="separate"/>
        </w:r>
        <w:r>
          <w:rPr>
            <w:webHidden/>
          </w:rPr>
          <w:t>7</w:t>
        </w:r>
        <w:r>
          <w:rPr>
            <w:webHidden/>
          </w:rPr>
          <w:fldChar w:fldCharType="end"/>
        </w:r>
      </w:hyperlink>
    </w:p>
    <w:p w14:paraId="4E3C55F0" w14:textId="3374E93E"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7" w:history="1">
        <w:r w:rsidRPr="00D07D1A">
          <w:rPr>
            <w:rStyle w:val="Hyperlink"/>
          </w:rPr>
          <w:t>Operational Model</w:t>
        </w:r>
        <w:r>
          <w:rPr>
            <w:webHidden/>
          </w:rPr>
          <w:tab/>
        </w:r>
        <w:r>
          <w:rPr>
            <w:webHidden/>
          </w:rPr>
          <w:fldChar w:fldCharType="begin"/>
        </w:r>
        <w:r>
          <w:rPr>
            <w:webHidden/>
          </w:rPr>
          <w:instrText xml:space="preserve"> PAGEREF _Toc231216707 \h </w:instrText>
        </w:r>
        <w:r>
          <w:rPr>
            <w:webHidden/>
          </w:rPr>
        </w:r>
        <w:r>
          <w:rPr>
            <w:webHidden/>
          </w:rPr>
          <w:fldChar w:fldCharType="separate"/>
        </w:r>
        <w:r>
          <w:rPr>
            <w:webHidden/>
          </w:rPr>
          <w:t>7</w:t>
        </w:r>
        <w:r>
          <w:rPr>
            <w:webHidden/>
          </w:rPr>
          <w:fldChar w:fldCharType="end"/>
        </w:r>
      </w:hyperlink>
    </w:p>
    <w:p w14:paraId="7BB9B6D2" w14:textId="494DC675"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8" w:history="1">
        <w:r w:rsidRPr="00D07D1A">
          <w:rPr>
            <w:rStyle w:val="Hyperlink"/>
          </w:rPr>
          <w:t>Strategy and Resources</w:t>
        </w:r>
        <w:r>
          <w:rPr>
            <w:webHidden/>
          </w:rPr>
          <w:tab/>
        </w:r>
        <w:r>
          <w:rPr>
            <w:webHidden/>
          </w:rPr>
          <w:fldChar w:fldCharType="begin"/>
        </w:r>
        <w:r>
          <w:rPr>
            <w:webHidden/>
          </w:rPr>
          <w:instrText xml:space="preserve"> PAGEREF _Toc231216708 \h </w:instrText>
        </w:r>
        <w:r>
          <w:rPr>
            <w:webHidden/>
          </w:rPr>
        </w:r>
        <w:r>
          <w:rPr>
            <w:webHidden/>
          </w:rPr>
          <w:fldChar w:fldCharType="separate"/>
        </w:r>
        <w:r>
          <w:rPr>
            <w:webHidden/>
          </w:rPr>
          <w:t>9</w:t>
        </w:r>
        <w:r>
          <w:rPr>
            <w:webHidden/>
          </w:rPr>
          <w:fldChar w:fldCharType="end"/>
        </w:r>
      </w:hyperlink>
    </w:p>
    <w:p w14:paraId="1EA77FF1" w14:textId="2ADCD26B"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09" w:history="1">
        <w:r w:rsidRPr="00D07D1A">
          <w:rPr>
            <w:rStyle w:val="Hyperlink"/>
          </w:rPr>
          <w:t>Financial Performance</w:t>
        </w:r>
        <w:r>
          <w:rPr>
            <w:webHidden/>
          </w:rPr>
          <w:tab/>
        </w:r>
        <w:r>
          <w:rPr>
            <w:webHidden/>
          </w:rPr>
          <w:fldChar w:fldCharType="begin"/>
        </w:r>
        <w:r>
          <w:rPr>
            <w:webHidden/>
          </w:rPr>
          <w:instrText xml:space="preserve"> PAGEREF _Toc231216709 \h </w:instrText>
        </w:r>
        <w:r>
          <w:rPr>
            <w:webHidden/>
          </w:rPr>
        </w:r>
        <w:r>
          <w:rPr>
            <w:webHidden/>
          </w:rPr>
          <w:fldChar w:fldCharType="separate"/>
        </w:r>
        <w:r>
          <w:rPr>
            <w:webHidden/>
          </w:rPr>
          <w:t>10</w:t>
        </w:r>
        <w:r>
          <w:rPr>
            <w:webHidden/>
          </w:rPr>
          <w:fldChar w:fldCharType="end"/>
        </w:r>
      </w:hyperlink>
    </w:p>
    <w:p w14:paraId="1AE3F886" w14:textId="1880AC1B"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10" w:history="1">
        <w:r w:rsidRPr="00D07D1A">
          <w:rPr>
            <w:rStyle w:val="Hyperlink"/>
          </w:rPr>
          <w:t>Force Operational Performance</w:t>
        </w:r>
        <w:r>
          <w:rPr>
            <w:webHidden/>
          </w:rPr>
          <w:tab/>
        </w:r>
        <w:r>
          <w:rPr>
            <w:webHidden/>
          </w:rPr>
          <w:fldChar w:fldCharType="begin"/>
        </w:r>
        <w:r>
          <w:rPr>
            <w:webHidden/>
          </w:rPr>
          <w:instrText xml:space="preserve"> PAGEREF _Toc231216710 \h </w:instrText>
        </w:r>
        <w:r>
          <w:rPr>
            <w:webHidden/>
          </w:rPr>
        </w:r>
        <w:r>
          <w:rPr>
            <w:webHidden/>
          </w:rPr>
          <w:fldChar w:fldCharType="separate"/>
        </w:r>
        <w:r>
          <w:rPr>
            <w:webHidden/>
          </w:rPr>
          <w:t>12</w:t>
        </w:r>
        <w:r>
          <w:rPr>
            <w:webHidden/>
          </w:rPr>
          <w:fldChar w:fldCharType="end"/>
        </w:r>
      </w:hyperlink>
    </w:p>
    <w:p w14:paraId="36C1FA75" w14:textId="7D9E24C6"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11" w:history="1">
        <w:r w:rsidRPr="00D07D1A">
          <w:rPr>
            <w:rStyle w:val="Hyperlink"/>
          </w:rPr>
          <w:t>External Factors</w:t>
        </w:r>
        <w:r>
          <w:rPr>
            <w:webHidden/>
          </w:rPr>
          <w:tab/>
        </w:r>
        <w:r>
          <w:rPr>
            <w:webHidden/>
          </w:rPr>
          <w:fldChar w:fldCharType="begin"/>
        </w:r>
        <w:r>
          <w:rPr>
            <w:webHidden/>
          </w:rPr>
          <w:instrText xml:space="preserve"> PAGEREF _Toc231216711 \h </w:instrText>
        </w:r>
        <w:r>
          <w:rPr>
            <w:webHidden/>
          </w:rPr>
        </w:r>
        <w:r>
          <w:rPr>
            <w:webHidden/>
          </w:rPr>
          <w:fldChar w:fldCharType="separate"/>
        </w:r>
        <w:r>
          <w:rPr>
            <w:webHidden/>
          </w:rPr>
          <w:t>14</w:t>
        </w:r>
        <w:r>
          <w:rPr>
            <w:webHidden/>
          </w:rPr>
          <w:fldChar w:fldCharType="end"/>
        </w:r>
      </w:hyperlink>
    </w:p>
    <w:p w14:paraId="4AB222CF" w14:textId="0AFB7F92"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12" w:history="1">
        <w:r w:rsidRPr="00D07D1A">
          <w:rPr>
            <w:rStyle w:val="Hyperlink"/>
          </w:rPr>
          <w:t>Outlook</w:t>
        </w:r>
        <w:r>
          <w:rPr>
            <w:webHidden/>
          </w:rPr>
          <w:tab/>
        </w:r>
        <w:r>
          <w:rPr>
            <w:webHidden/>
          </w:rPr>
          <w:fldChar w:fldCharType="begin"/>
        </w:r>
        <w:r>
          <w:rPr>
            <w:webHidden/>
          </w:rPr>
          <w:instrText xml:space="preserve"> PAGEREF _Toc231216712 \h </w:instrText>
        </w:r>
        <w:r>
          <w:rPr>
            <w:webHidden/>
          </w:rPr>
        </w:r>
        <w:r>
          <w:rPr>
            <w:webHidden/>
          </w:rPr>
          <w:fldChar w:fldCharType="separate"/>
        </w:r>
        <w:r>
          <w:rPr>
            <w:webHidden/>
          </w:rPr>
          <w:t>15</w:t>
        </w:r>
        <w:r>
          <w:rPr>
            <w:webHidden/>
          </w:rPr>
          <w:fldChar w:fldCharType="end"/>
        </w:r>
      </w:hyperlink>
    </w:p>
    <w:p w14:paraId="2EEE43E7" w14:textId="25E4F47F" w:rsidR="00F51568" w:rsidRDefault="00F51568">
      <w:pPr>
        <w:pStyle w:val="TOC1"/>
        <w:rPr>
          <w:rFonts w:asciiTheme="minorHAnsi" w:eastAsiaTheme="minorEastAsia" w:hAnsiTheme="minorHAnsi"/>
          <w:color w:val="auto"/>
          <w:kern w:val="2"/>
          <w:sz w:val="24"/>
          <w:szCs w:val="24"/>
          <w:lang w:val="en-GB" w:eastAsia="en-GB"/>
          <w14:ligatures w14:val="standardContextual"/>
        </w:rPr>
      </w:pPr>
      <w:hyperlink w:anchor="_Toc231216713" w:history="1">
        <w:r w:rsidRPr="00D07D1A">
          <w:rPr>
            <w:rStyle w:val="Hyperlink"/>
          </w:rPr>
          <w:t>The Financial Statements</w:t>
        </w:r>
        <w:r>
          <w:rPr>
            <w:webHidden/>
          </w:rPr>
          <w:tab/>
        </w:r>
        <w:r>
          <w:rPr>
            <w:webHidden/>
          </w:rPr>
          <w:fldChar w:fldCharType="begin"/>
        </w:r>
        <w:r>
          <w:rPr>
            <w:webHidden/>
          </w:rPr>
          <w:instrText xml:space="preserve"> PAGEREF _Toc231216713 \h </w:instrText>
        </w:r>
        <w:r>
          <w:rPr>
            <w:webHidden/>
          </w:rPr>
        </w:r>
        <w:r>
          <w:rPr>
            <w:webHidden/>
          </w:rPr>
          <w:fldChar w:fldCharType="separate"/>
        </w:r>
        <w:r>
          <w:rPr>
            <w:webHidden/>
          </w:rPr>
          <w:t>16</w:t>
        </w:r>
        <w:r>
          <w:rPr>
            <w:webHidden/>
          </w:rPr>
          <w:fldChar w:fldCharType="end"/>
        </w:r>
      </w:hyperlink>
    </w:p>
    <w:p w14:paraId="59E4E673" w14:textId="05AFD38E" w:rsidR="003363FA" w:rsidRPr="004D4D25" w:rsidRDefault="00F66578" w:rsidP="003356AE">
      <w:pPr>
        <w:spacing w:line="240" w:lineRule="auto"/>
      </w:pPr>
      <w:r w:rsidRPr="004D4D25">
        <w:fldChar w:fldCharType="end"/>
      </w:r>
    </w:p>
    <w:p w14:paraId="66BD865F" w14:textId="6FAA693A" w:rsidR="00C63119" w:rsidRPr="004D4D25" w:rsidRDefault="00C63119" w:rsidP="003356AE">
      <w:pPr>
        <w:pStyle w:val="ChapterHeading"/>
        <w:spacing w:line="240" w:lineRule="auto"/>
      </w:pPr>
      <w:r w:rsidRPr="004D4D25">
        <w:br w:type="column"/>
      </w:r>
    </w:p>
    <w:p w14:paraId="7B9BE3AD" w14:textId="77777777" w:rsidR="00C43472" w:rsidRPr="004D4D25" w:rsidRDefault="00C43472" w:rsidP="003356AE">
      <w:pPr>
        <w:spacing w:line="240" w:lineRule="auto"/>
      </w:pPr>
      <w:bookmarkStart w:id="12" w:name="_Toc106968606"/>
      <w:bookmarkEnd w:id="9"/>
      <w:bookmarkEnd w:id="10"/>
    </w:p>
    <w:p w14:paraId="0FD8DB22" w14:textId="7793C93B" w:rsidR="003279EF" w:rsidRPr="00FA29ED" w:rsidRDefault="003279EF" w:rsidP="003356AE">
      <w:pPr>
        <w:pStyle w:val="NarrativeHeading"/>
      </w:pPr>
      <w:bookmarkStart w:id="13" w:name="_Toc231216700"/>
      <w:r w:rsidRPr="00FA29ED">
        <w:t>Foreword by Chief Finance Officer</w:t>
      </w:r>
      <w:bookmarkEnd w:id="12"/>
      <w:bookmarkEnd w:id="13"/>
    </w:p>
    <w:p w14:paraId="0D5B5B0E" w14:textId="77777777" w:rsidR="003279EF" w:rsidRPr="00FA29ED" w:rsidRDefault="003279EF" w:rsidP="003356AE">
      <w:pPr>
        <w:spacing w:line="240" w:lineRule="auto"/>
      </w:pPr>
    </w:p>
    <w:p w14:paraId="04C0E84E" w14:textId="77777777" w:rsidR="003279EF" w:rsidRPr="00FA29ED" w:rsidRDefault="003279EF" w:rsidP="003356AE">
      <w:pPr>
        <w:spacing w:line="240" w:lineRule="auto"/>
      </w:pPr>
      <w:r w:rsidRPr="00FA29ED">
        <w:t xml:space="preserve">These accounts are produced annually to give local taxpayers, employees and other interested parties clear information about Northamptonshire Police finances.  They reflect the financial performance of the </w:t>
      </w:r>
      <w:r w:rsidRPr="00FF25C2">
        <w:rPr>
          <w:b/>
        </w:rPr>
        <w:t>Office of the Chief Constable for Northamptonshire (OCC)</w:t>
      </w:r>
      <w:r w:rsidRPr="00FA29ED">
        <w:t xml:space="preserve"> and are in accordance with the Police Reform and Social Responsibility Act 2011.  They should be read in conjunction with the accounts produced by the Office of the Police, Fire and Crime Commissioner for Northamptonshire (OPFCC) and the Group accounts into which they are consolidated.</w:t>
      </w:r>
    </w:p>
    <w:p w14:paraId="779C9EFF" w14:textId="77777777" w:rsidR="003279EF" w:rsidRPr="00FA29ED" w:rsidRDefault="003279EF" w:rsidP="003356AE">
      <w:pPr>
        <w:spacing w:line="240" w:lineRule="auto"/>
      </w:pPr>
    </w:p>
    <w:p w14:paraId="2BCF12F4" w14:textId="7D207AF8" w:rsidR="003279EF" w:rsidRPr="00FA29ED" w:rsidRDefault="003279EF" w:rsidP="003356AE">
      <w:pPr>
        <w:spacing w:line="240" w:lineRule="auto"/>
      </w:pPr>
      <w:r w:rsidRPr="00FA29ED">
        <w:t>They are prepared on a going concern basis</w:t>
      </w:r>
      <w:r w:rsidR="00AD1CD5">
        <w:t xml:space="preserve"> and</w:t>
      </w:r>
      <w:r w:rsidRPr="00FA29ED">
        <w:t xml:space="preserve"> assum</w:t>
      </w:r>
      <w:r w:rsidR="00AD1CD5">
        <w:t>es</w:t>
      </w:r>
      <w:r w:rsidRPr="00FA29ED">
        <w:t xml:space="preserve"> that the </w:t>
      </w:r>
      <w:r w:rsidR="00913001" w:rsidRPr="00FA29ED">
        <w:t>entity</w:t>
      </w:r>
      <w:r w:rsidRPr="00FA29ED">
        <w:t xml:space="preserve"> will continue in operation for the foreseeable future.  They have been prepared in accordance with the Accounts and Audit Regulations 2015, the CIPFA Code of Practice on Local Authority Accounting and the Service Reporting Code of Practice 202</w:t>
      </w:r>
      <w:r w:rsidR="00FA29ED" w:rsidRPr="00FA29ED">
        <w:t>5</w:t>
      </w:r>
      <w:r w:rsidRPr="00FA29ED">
        <w:t>/2</w:t>
      </w:r>
      <w:r w:rsidR="00FA29ED" w:rsidRPr="00FA29ED">
        <w:t>6</w:t>
      </w:r>
      <w:r w:rsidRPr="00FA29ED">
        <w:t>.</w:t>
      </w:r>
    </w:p>
    <w:p w14:paraId="01D747F6" w14:textId="77777777" w:rsidR="003279EF" w:rsidRPr="00FA29ED" w:rsidRDefault="003279EF" w:rsidP="003356AE">
      <w:pPr>
        <w:spacing w:line="240" w:lineRule="auto"/>
      </w:pPr>
    </w:p>
    <w:p w14:paraId="3AF063DC" w14:textId="1EBE46A6" w:rsidR="003279EF" w:rsidRPr="00734D84" w:rsidRDefault="003279EF" w:rsidP="003356AE">
      <w:pPr>
        <w:spacing w:line="240" w:lineRule="auto"/>
      </w:pPr>
      <w:r w:rsidRPr="00734D84">
        <w:t xml:space="preserve">The information provided also allows for an assessment of the Chief’s performance in terms of stewardship and the management of the resources entrusted to them.  </w:t>
      </w:r>
    </w:p>
    <w:p w14:paraId="3333D14E" w14:textId="77777777" w:rsidR="003279EF" w:rsidRPr="00734D84" w:rsidRDefault="003279EF" w:rsidP="003356AE">
      <w:pPr>
        <w:spacing w:line="240" w:lineRule="auto"/>
      </w:pPr>
    </w:p>
    <w:p w14:paraId="65F17AC5" w14:textId="77777777" w:rsidR="003279EF" w:rsidRPr="00734D84" w:rsidRDefault="003279EF" w:rsidP="003356AE">
      <w:pPr>
        <w:spacing w:line="240" w:lineRule="auto"/>
      </w:pPr>
      <w:r w:rsidRPr="00734D84">
        <w:t xml:space="preserve">The purpose of this narrative report is to offer a guide on the most important matters reported in the accounts as well as providing information about the strategic direction of the Force.  It provides an explanation of the financial position and assists in the interpretation of the financial statements.  It contains information about the activities of the OCC and the main influences on the financial statements to provide a link between the Police activities, Police, Fire and Crime Plan, future challenges and how these impact on its financial resources. </w:t>
      </w:r>
    </w:p>
    <w:p w14:paraId="7BFFC4CF" w14:textId="77777777" w:rsidR="003279EF" w:rsidRPr="00734D84" w:rsidRDefault="003279EF" w:rsidP="003356AE">
      <w:pPr>
        <w:spacing w:line="240" w:lineRule="auto"/>
      </w:pPr>
    </w:p>
    <w:p w14:paraId="1E2E32F6" w14:textId="486BA5C3" w:rsidR="003279EF" w:rsidRPr="00734D84" w:rsidRDefault="003279EF" w:rsidP="003356AE">
      <w:pPr>
        <w:spacing w:line="240" w:lineRule="auto"/>
      </w:pPr>
      <w:r w:rsidRPr="00734D84">
        <w:t xml:space="preserve">It includes information on the budget preparation process, final accounts, performance information, </w:t>
      </w:r>
      <w:r w:rsidR="00434D6F" w:rsidRPr="00734D84">
        <w:t xml:space="preserve">the </w:t>
      </w:r>
      <w:proofErr w:type="gramStart"/>
      <w:r w:rsidR="00434D6F" w:rsidRPr="00734D84">
        <w:t>M</w:t>
      </w:r>
      <w:r w:rsidRPr="00734D84">
        <w:t xml:space="preserve">edium </w:t>
      </w:r>
      <w:r w:rsidR="00434D6F" w:rsidRPr="00734D84">
        <w:t>T</w:t>
      </w:r>
      <w:r w:rsidRPr="00734D84">
        <w:t>erm</w:t>
      </w:r>
      <w:proofErr w:type="gramEnd"/>
      <w:r w:rsidRPr="00734D84">
        <w:t xml:space="preserve"> </w:t>
      </w:r>
      <w:r w:rsidR="00434D6F" w:rsidRPr="00734D84">
        <w:t>F</w:t>
      </w:r>
      <w:r w:rsidRPr="00734D84">
        <w:t xml:space="preserve">inancial </w:t>
      </w:r>
      <w:r w:rsidR="00434D6F" w:rsidRPr="00734D84">
        <w:t>P</w:t>
      </w:r>
      <w:r w:rsidRPr="00734D84">
        <w:t>la</w:t>
      </w:r>
      <w:r w:rsidR="00434D6F" w:rsidRPr="00734D84">
        <w:t>n (MTFP)</w:t>
      </w:r>
      <w:r w:rsidRPr="00734D84">
        <w:t xml:space="preserve"> and other contextual information such as workforce numbers and strategic risks.</w:t>
      </w:r>
    </w:p>
    <w:p w14:paraId="73B4F704" w14:textId="21A8CF3A" w:rsidR="00C63119" w:rsidRPr="000E2186" w:rsidRDefault="00C63119" w:rsidP="003356AE">
      <w:pPr>
        <w:spacing w:line="240" w:lineRule="auto"/>
        <w:rPr>
          <w:rFonts w:asciiTheme="minorHAnsi" w:eastAsia="Times New Roman" w:hAnsiTheme="minorHAnsi" w:cs="Times New Roman"/>
          <w:smallCaps/>
          <w:color w:val="25316C"/>
          <w:sz w:val="32"/>
          <w:highlight w:val="yellow"/>
        </w:rPr>
        <w:sectPr w:rsidR="00C63119" w:rsidRPr="000E2186" w:rsidSect="00C63119">
          <w:type w:val="continuous"/>
          <w:pgSz w:w="11900" w:h="16840"/>
          <w:pgMar w:top="1440" w:right="1080" w:bottom="1440" w:left="1080" w:header="709" w:footer="397" w:gutter="0"/>
          <w:cols w:num="2" w:space="708"/>
          <w:docGrid w:linePitch="360"/>
        </w:sectPr>
      </w:pPr>
      <w:bookmarkStart w:id="14" w:name="_Toc106968607"/>
    </w:p>
    <w:p w14:paraId="1F99FAA6" w14:textId="16A04471" w:rsidR="00E966F6" w:rsidRPr="00E07BD5" w:rsidRDefault="009402E9" w:rsidP="003356AE">
      <w:pPr>
        <w:pStyle w:val="NarrativeHeading"/>
        <w:rPr>
          <w:noProof/>
          <w:lang w:eastAsia="en-GB"/>
        </w:rPr>
      </w:pPr>
      <w:bookmarkStart w:id="15" w:name="_Toc167977819"/>
      <w:bookmarkEnd w:id="14"/>
      <w:r>
        <w:br w:type="column"/>
      </w:r>
      <w:r w:rsidR="00D772EA">
        <w:br w:type="column"/>
      </w:r>
      <w:bookmarkStart w:id="16" w:name="_Toc231216701"/>
      <w:r w:rsidR="00E966F6" w:rsidRPr="00E07BD5">
        <w:lastRenderedPageBreak/>
        <w:t>Northamptonshire</w:t>
      </w:r>
      <w:bookmarkEnd w:id="16"/>
    </w:p>
    <w:p w14:paraId="71317E51" w14:textId="77777777" w:rsidR="00E966F6" w:rsidRPr="000E2186" w:rsidRDefault="00E966F6" w:rsidP="003356AE">
      <w:pPr>
        <w:spacing w:line="240" w:lineRule="auto"/>
        <w:rPr>
          <w:highlight w:val="yellow"/>
        </w:rPr>
      </w:pPr>
    </w:p>
    <w:p w14:paraId="00A3DAF3" w14:textId="40EABDB7" w:rsidR="00E07BD5" w:rsidRPr="00D01BD8" w:rsidRDefault="00E07BD5" w:rsidP="003356AE">
      <w:pPr>
        <w:spacing w:line="240" w:lineRule="auto"/>
      </w:pPr>
      <w:r w:rsidRPr="0066546E">
        <w:t xml:space="preserve">The county of Northamptonshire covers an area of 913 square </w:t>
      </w:r>
      <w:r w:rsidRPr="00D8191F">
        <w:t>miles and has an estimated population of over 813,000 people</w:t>
      </w:r>
      <w:r w:rsidR="008306B8" w:rsidRPr="00D8191F">
        <w:t xml:space="preserve">.  </w:t>
      </w:r>
      <w:r w:rsidRPr="00D8191F">
        <w:t xml:space="preserve">It is the southern-most county in the East Midlands </w:t>
      </w:r>
      <w:r w:rsidR="00324DF7" w:rsidRPr="00D8191F">
        <w:t>region,</w:t>
      </w:r>
      <w:r w:rsidRPr="00D8191F">
        <w:t xml:space="preserve"> and its most populated towns are Northampton</w:t>
      </w:r>
      <w:r w:rsidRPr="00157179">
        <w:t>, Kettering, Corby and Wellingborough</w:t>
      </w:r>
      <w:r w:rsidR="008306B8" w:rsidRPr="00157179">
        <w:t xml:space="preserve">.  </w:t>
      </w:r>
      <w:r w:rsidRPr="00157179">
        <w:t xml:space="preserve">There has been a notable increase in population in recent years with some major new housing development projects </w:t>
      </w:r>
      <w:r w:rsidRPr="00D01BD8">
        <w:t>and more to come.</w:t>
      </w:r>
    </w:p>
    <w:p w14:paraId="291352C0" w14:textId="77777777" w:rsidR="00E07BD5" w:rsidRPr="00D01BD8" w:rsidRDefault="00E07BD5" w:rsidP="003356AE">
      <w:pPr>
        <w:spacing w:line="240" w:lineRule="auto"/>
      </w:pPr>
    </w:p>
    <w:p w14:paraId="655A6B9C" w14:textId="77777777" w:rsidR="00E07BD5" w:rsidRPr="00D01BD8" w:rsidRDefault="00E07BD5" w:rsidP="003356AE">
      <w:pPr>
        <w:spacing w:line="240" w:lineRule="auto"/>
      </w:pPr>
      <w:r w:rsidRPr="00D01BD8">
        <w:t>The county is serviced by two unitary authorities (North and West Northamptonshire).</w:t>
      </w:r>
    </w:p>
    <w:p w14:paraId="5A448F34" w14:textId="77777777" w:rsidR="00102598" w:rsidRPr="000E2186" w:rsidRDefault="00102598" w:rsidP="003356AE">
      <w:pPr>
        <w:spacing w:line="240" w:lineRule="auto"/>
        <w:rPr>
          <w:highlight w:val="yellow"/>
        </w:rPr>
      </w:pPr>
    </w:p>
    <w:p w14:paraId="78829944" w14:textId="7BBE31D0" w:rsidR="00E966F6" w:rsidRPr="000E2186" w:rsidRDefault="00E13B7B" w:rsidP="003356AE">
      <w:pPr>
        <w:spacing w:line="240" w:lineRule="auto"/>
        <w:rPr>
          <w:highlight w:val="yellow"/>
        </w:rPr>
      </w:pPr>
      <w:r>
        <w:rPr>
          <w:noProof/>
        </w:rPr>
        <w:drawing>
          <wp:inline distT="0" distB="0" distL="0" distR="0" wp14:anchorId="4A89F864" wp14:editId="597244C7">
            <wp:extent cx="2867660" cy="2028190"/>
            <wp:effectExtent l="0" t="0" r="0" b="0"/>
            <wp:docPr id="5648096" name="Picture 1" descr="A map of the north and west Northamptonshir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096" name="Picture 1" descr="A map of the north and west Northamptonshire&#10;&#10;&#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7660" cy="2028190"/>
                    </a:xfrm>
                    <a:prstGeom prst="rect">
                      <a:avLst/>
                    </a:prstGeom>
                  </pic:spPr>
                </pic:pic>
              </a:graphicData>
            </a:graphic>
          </wp:inline>
        </w:drawing>
      </w:r>
    </w:p>
    <w:p w14:paraId="453ECF1F" w14:textId="77777777" w:rsidR="00E966F6" w:rsidRPr="000E2186" w:rsidRDefault="00E966F6" w:rsidP="003356AE">
      <w:pPr>
        <w:spacing w:line="240" w:lineRule="auto"/>
        <w:rPr>
          <w:highlight w:val="yellow"/>
        </w:rPr>
      </w:pPr>
    </w:p>
    <w:p w14:paraId="159CB733" w14:textId="77777777" w:rsidR="00E966F6" w:rsidRPr="000E2186" w:rsidRDefault="00E966F6" w:rsidP="003356AE">
      <w:pPr>
        <w:spacing w:line="240" w:lineRule="auto"/>
        <w:rPr>
          <w:highlight w:val="yellow"/>
        </w:rPr>
      </w:pPr>
    </w:p>
    <w:p w14:paraId="382CD853" w14:textId="77777777" w:rsidR="00E966F6" w:rsidRPr="000E2186" w:rsidRDefault="00E966F6" w:rsidP="003356AE">
      <w:pPr>
        <w:spacing w:line="240" w:lineRule="auto"/>
        <w:rPr>
          <w:highlight w:val="yellow"/>
        </w:rPr>
      </w:pPr>
    </w:p>
    <w:p w14:paraId="2B73B5DB" w14:textId="77777777" w:rsidR="00E966F6" w:rsidRPr="000E2186" w:rsidRDefault="00E966F6" w:rsidP="003356AE">
      <w:pPr>
        <w:spacing w:line="240" w:lineRule="auto"/>
        <w:rPr>
          <w:highlight w:val="yellow"/>
        </w:rPr>
      </w:pPr>
    </w:p>
    <w:p w14:paraId="2C723C81" w14:textId="77777777" w:rsidR="00E13B7B" w:rsidRDefault="00E13B7B" w:rsidP="003356AE">
      <w:pPr>
        <w:spacing w:line="240" w:lineRule="auto"/>
        <w:rPr>
          <w:highlight w:val="yellow"/>
        </w:rPr>
      </w:pPr>
    </w:p>
    <w:p w14:paraId="69F6C50F" w14:textId="77777777" w:rsidR="00E13B7B" w:rsidRDefault="00E13B7B" w:rsidP="003356AE">
      <w:pPr>
        <w:spacing w:line="240" w:lineRule="auto"/>
        <w:rPr>
          <w:highlight w:val="yellow"/>
        </w:rPr>
      </w:pPr>
    </w:p>
    <w:p w14:paraId="0B927E03" w14:textId="77777777" w:rsidR="00E13B7B" w:rsidRPr="000E2186" w:rsidRDefault="00E13B7B" w:rsidP="003356AE">
      <w:pPr>
        <w:spacing w:line="240" w:lineRule="auto"/>
        <w:rPr>
          <w:highlight w:val="yellow"/>
        </w:rPr>
      </w:pPr>
    </w:p>
    <w:p w14:paraId="189B115A" w14:textId="77777777" w:rsidR="00E966F6" w:rsidRPr="000E2186" w:rsidRDefault="00E966F6" w:rsidP="003356AE">
      <w:pPr>
        <w:spacing w:line="240" w:lineRule="auto"/>
        <w:rPr>
          <w:highlight w:val="yellow"/>
        </w:rPr>
      </w:pPr>
    </w:p>
    <w:p w14:paraId="0FF564F8" w14:textId="7ED5DFE7" w:rsidR="00E966F6" w:rsidRPr="008900FC" w:rsidRDefault="0051434E" w:rsidP="003356AE">
      <w:pPr>
        <w:pStyle w:val="NarrativeHeading"/>
      </w:pPr>
      <w:r>
        <w:br w:type="column"/>
      </w:r>
      <w:bookmarkStart w:id="17" w:name="_Toc231216702"/>
      <w:r w:rsidR="00E966F6" w:rsidRPr="008900FC">
        <w:t>Safe and Sound</w:t>
      </w:r>
      <w:bookmarkEnd w:id="17"/>
    </w:p>
    <w:p w14:paraId="542F2535" w14:textId="77777777" w:rsidR="00E966F6" w:rsidRPr="008900FC" w:rsidRDefault="00E966F6" w:rsidP="003356AE">
      <w:pPr>
        <w:pStyle w:val="VAHeadingLevel2"/>
        <w:spacing w:line="240" w:lineRule="auto"/>
      </w:pPr>
      <w:r w:rsidRPr="008900FC">
        <w:t>The Public Safety Plan for Northamptonshire 2025-2030</w:t>
      </w:r>
    </w:p>
    <w:p w14:paraId="2FB3350D" w14:textId="77777777" w:rsidR="00E966F6" w:rsidRPr="008900FC" w:rsidRDefault="00E966F6" w:rsidP="003356AE">
      <w:pPr>
        <w:spacing w:line="240" w:lineRule="auto"/>
      </w:pPr>
    </w:p>
    <w:p w14:paraId="3D62B502" w14:textId="2618233A" w:rsidR="00E966F6" w:rsidRPr="008900FC" w:rsidRDefault="00E966F6" w:rsidP="003356AE">
      <w:pPr>
        <w:spacing w:line="240" w:lineRule="auto"/>
      </w:pPr>
      <w:r w:rsidRPr="008900FC">
        <w:t>Safe and Sound is the Commissioner’s public safety plan, which sets out the strategic direction for police and fire services in Northamptonshire.</w:t>
      </w:r>
      <w:r w:rsidR="00780939">
        <w:t xml:space="preserve">  </w:t>
      </w:r>
      <w:r w:rsidRPr="008900FC">
        <w:t xml:space="preserve">The plan has one goal – to make Northamptonshire safe and sound.  </w:t>
      </w:r>
    </w:p>
    <w:p w14:paraId="0EC6F1C2" w14:textId="77777777" w:rsidR="00E966F6" w:rsidRPr="008900FC" w:rsidRDefault="00E966F6" w:rsidP="003356AE">
      <w:pPr>
        <w:spacing w:line="240" w:lineRule="auto"/>
      </w:pPr>
    </w:p>
    <w:p w14:paraId="013565C3" w14:textId="7922F6D1" w:rsidR="00E966F6" w:rsidRPr="008900FC" w:rsidRDefault="0012631E" w:rsidP="003356AE">
      <w:pPr>
        <w:spacing w:line="240" w:lineRule="auto"/>
      </w:pPr>
      <w:r>
        <w:t>It</w:t>
      </w:r>
      <w:r w:rsidR="00E966F6" w:rsidRPr="008900FC">
        <w:t xml:space="preserve"> </w:t>
      </w:r>
      <w:r w:rsidR="00780939">
        <w:t>has</w:t>
      </w:r>
      <w:r w:rsidR="00E966F6" w:rsidRPr="008900FC">
        <w:t xml:space="preserve"> three missions span</w:t>
      </w:r>
      <w:r w:rsidR="00780939">
        <w:t>ning</w:t>
      </w:r>
      <w:r w:rsidR="00E966F6" w:rsidRPr="008900FC">
        <w:t xml:space="preserve"> the Commissioner’s responsibilities across policing, fire and rescue, community safety and criminal justice.  It is a strategy and reporting framework that will help us work in partnership to best serve victims and communities across Northamptonshire.  The three missions are:</w:t>
      </w:r>
    </w:p>
    <w:p w14:paraId="788DABD9" w14:textId="77777777" w:rsidR="00E966F6" w:rsidRPr="008900FC" w:rsidRDefault="00E966F6" w:rsidP="003356AE">
      <w:pPr>
        <w:spacing w:line="240" w:lineRule="auto"/>
      </w:pPr>
    </w:p>
    <w:p w14:paraId="6E06A502" w14:textId="77777777" w:rsidR="00E966F6" w:rsidRPr="008900FC" w:rsidRDefault="00E966F6" w:rsidP="003356AE">
      <w:pPr>
        <w:pStyle w:val="VAHeadingLevel3"/>
        <w:spacing w:line="240" w:lineRule="auto"/>
      </w:pPr>
      <w:r w:rsidRPr="008900FC">
        <w:t>Visible and accessible community services</w:t>
      </w:r>
    </w:p>
    <w:p w14:paraId="0FF528CD"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Rebuilding public trust and confidence</w:t>
      </w:r>
    </w:p>
    <w:p w14:paraId="4B2B09AD"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Increasing accessibility</w:t>
      </w:r>
    </w:p>
    <w:p w14:paraId="4D1F1D72"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Bringing police and fire staff out into the community</w:t>
      </w:r>
    </w:p>
    <w:p w14:paraId="3DB971F6"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Putting prevention first</w:t>
      </w:r>
    </w:p>
    <w:p w14:paraId="0E55B227" w14:textId="77777777" w:rsidR="00E966F6" w:rsidRPr="008900FC" w:rsidRDefault="00E966F6" w:rsidP="003356AE">
      <w:pPr>
        <w:tabs>
          <w:tab w:val="left" w:pos="1985"/>
        </w:tabs>
        <w:spacing w:line="240" w:lineRule="auto"/>
        <w:ind w:left="426"/>
        <w:jc w:val="left"/>
        <w:rPr>
          <w:rFonts w:eastAsia="Times New Roman" w:cs="Times New Roman"/>
          <w:bCs/>
          <w:color w:val="25316C"/>
        </w:rPr>
      </w:pPr>
    </w:p>
    <w:p w14:paraId="08A03619" w14:textId="77777777" w:rsidR="00E966F6" w:rsidRPr="008900FC" w:rsidRDefault="00E966F6" w:rsidP="003356AE">
      <w:pPr>
        <w:pStyle w:val="VAHeadingLevel3"/>
        <w:spacing w:line="240" w:lineRule="auto"/>
      </w:pPr>
      <w:r w:rsidRPr="008900FC">
        <w:t>Professionalism and standards</w:t>
      </w:r>
    </w:p>
    <w:p w14:paraId="05480BD7"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Setting the tone from the top</w:t>
      </w:r>
    </w:p>
    <w:p w14:paraId="37FAF7C5"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Making sure the workforce understands and reflects the community they serve</w:t>
      </w:r>
    </w:p>
    <w:p w14:paraId="3200110A"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Putting values at the heart of everything we do</w:t>
      </w:r>
    </w:p>
    <w:p w14:paraId="479A899E"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Providing a high-quality service and support</w:t>
      </w:r>
    </w:p>
    <w:p w14:paraId="0E9E5C33" w14:textId="77777777" w:rsidR="00E966F6" w:rsidRPr="008900FC" w:rsidRDefault="00E966F6" w:rsidP="003356AE">
      <w:pPr>
        <w:spacing w:line="240" w:lineRule="auto"/>
      </w:pPr>
    </w:p>
    <w:p w14:paraId="6C43D649" w14:textId="77777777" w:rsidR="00E966F6" w:rsidRPr="008900FC" w:rsidRDefault="00E966F6" w:rsidP="003356AE">
      <w:pPr>
        <w:pStyle w:val="VAHeadingLevel3"/>
        <w:spacing w:line="240" w:lineRule="auto"/>
      </w:pPr>
      <w:r w:rsidRPr="008900FC">
        <w:t>Strong partnerships</w:t>
      </w:r>
    </w:p>
    <w:p w14:paraId="01808C7C"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Tackle problems with a multi-agency approach</w:t>
      </w:r>
    </w:p>
    <w:p w14:paraId="3B9A1C22"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Reduce reoffending</w:t>
      </w:r>
    </w:p>
    <w:p w14:paraId="223608D7"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Invest in partnerships to reduce harm</w:t>
      </w:r>
    </w:p>
    <w:p w14:paraId="0DFDDFCC" w14:textId="77777777" w:rsidR="00E966F6" w:rsidRPr="008900FC" w:rsidRDefault="00E966F6" w:rsidP="003356AE">
      <w:pPr>
        <w:numPr>
          <w:ilvl w:val="0"/>
          <w:numId w:val="2"/>
        </w:numPr>
        <w:spacing w:line="240" w:lineRule="auto"/>
        <w:ind w:left="426"/>
        <w:rPr>
          <w:rFonts w:asciiTheme="minorHAnsi" w:eastAsia="Times New Roman" w:hAnsiTheme="minorHAnsi" w:cs="Times New Roman"/>
          <w:szCs w:val="20"/>
        </w:rPr>
      </w:pPr>
      <w:r w:rsidRPr="008900FC">
        <w:rPr>
          <w:rFonts w:asciiTheme="minorHAnsi" w:eastAsia="Times New Roman" w:hAnsiTheme="minorHAnsi" w:cs="Times New Roman"/>
          <w:szCs w:val="20"/>
        </w:rPr>
        <w:t>Work collaboratively to support vulnerable people</w:t>
      </w:r>
    </w:p>
    <w:p w14:paraId="5F7F57B8" w14:textId="77777777" w:rsidR="00E966F6" w:rsidRPr="00B63966" w:rsidRDefault="00E966F6" w:rsidP="003356AE">
      <w:pPr>
        <w:spacing w:line="240" w:lineRule="auto"/>
      </w:pPr>
    </w:p>
    <w:p w14:paraId="1A381F7E" w14:textId="22024E62" w:rsidR="00E966F6" w:rsidRPr="00B63966" w:rsidRDefault="00E966F6" w:rsidP="003356AE">
      <w:pPr>
        <w:spacing w:line="240" w:lineRule="auto"/>
      </w:pPr>
      <w:r w:rsidRPr="00B63966">
        <w:t>The plan is based on a “big conversation” – focus groups and surveys that took place in communities across Northamptonshire to understand what people want and expect from their emergency services.  This told us that people just want to feel safe where they live, work and visit.</w:t>
      </w:r>
      <w:r w:rsidR="00AE0212">
        <w:t xml:space="preserve">  </w:t>
      </w:r>
      <w:r w:rsidRPr="00B63966">
        <w:t>The Big Conversation report and full Public Safety Plan can be found on the OPFCC website:</w:t>
      </w:r>
    </w:p>
    <w:p w14:paraId="42E43E8C" w14:textId="545326D3" w:rsidR="00E966F6" w:rsidRPr="00F6678B" w:rsidRDefault="00E966F6" w:rsidP="003356AE">
      <w:pPr>
        <w:numPr>
          <w:ilvl w:val="2"/>
          <w:numId w:val="0"/>
        </w:numPr>
        <w:tabs>
          <w:tab w:val="left" w:pos="1985"/>
        </w:tabs>
        <w:spacing w:line="240" w:lineRule="auto"/>
        <w:jc w:val="left"/>
        <w:rPr>
          <w:rFonts w:eastAsia="Times New Roman" w:cs="Times New Roman"/>
          <w:b/>
          <w:color w:val="25316C"/>
        </w:rPr>
      </w:pPr>
      <w:hyperlink r:id="rId19" w:history="1">
        <w:r w:rsidRPr="00F6678B">
          <w:rPr>
            <w:rStyle w:val="Hyperlink"/>
            <w:rFonts w:eastAsia="Times New Roman" w:cs="Times New Roman"/>
            <w:b/>
            <w:u w:val="none"/>
          </w:rPr>
          <w:t>www.northantspfcc.org.uk</w:t>
        </w:r>
      </w:hyperlink>
    </w:p>
    <w:bookmarkEnd w:id="6"/>
    <w:bookmarkEnd w:id="7"/>
    <w:bookmarkEnd w:id="11"/>
    <w:bookmarkEnd w:id="15"/>
    <w:p w14:paraId="367412CD" w14:textId="3CCEBE1D" w:rsidR="00353005" w:rsidRPr="008900FC" w:rsidRDefault="008F5A1C" w:rsidP="003356AE">
      <w:pPr>
        <w:pStyle w:val="NarrativeHeading"/>
        <w:jc w:val="left"/>
      </w:pPr>
      <w:r>
        <w:br w:type="column"/>
      </w:r>
      <w:bookmarkStart w:id="18" w:name="_Toc231216703"/>
      <w:r w:rsidR="00353005" w:rsidRPr="008900FC">
        <w:lastRenderedPageBreak/>
        <w:t>The Chief Constable’s Strategic Plan</w:t>
      </w:r>
      <w:bookmarkEnd w:id="18"/>
    </w:p>
    <w:p w14:paraId="1E0222FC" w14:textId="77777777" w:rsidR="00353005" w:rsidRPr="008900FC" w:rsidRDefault="00353005" w:rsidP="003356AE">
      <w:pPr>
        <w:spacing w:line="240" w:lineRule="auto"/>
      </w:pPr>
    </w:p>
    <w:p w14:paraId="5CE62245" w14:textId="77777777" w:rsidR="00AC0108" w:rsidRPr="008900FC" w:rsidRDefault="00AC0108" w:rsidP="003356AE">
      <w:pPr>
        <w:spacing w:line="240" w:lineRule="auto"/>
      </w:pPr>
      <w:r w:rsidRPr="008900FC">
        <w:t xml:space="preserve">The Force Policing Plan sets out the areas of focus for Northamptonshire Police through the course of the next 3 years, working to a policing vision to make Northamptonshire the safest county in the UK.  </w:t>
      </w:r>
    </w:p>
    <w:p w14:paraId="03BD9ACC" w14:textId="66178D6A" w:rsidR="00AC0108" w:rsidRPr="008900FC" w:rsidRDefault="00AC0108" w:rsidP="003356AE">
      <w:pPr>
        <w:spacing w:line="240" w:lineRule="auto"/>
      </w:pPr>
      <w:r w:rsidRPr="008900FC">
        <w:t xml:space="preserve">The three areas of focus have been determined through consultation with the Federation and considered strategic analysis both locally and nationally. </w:t>
      </w:r>
      <w:r w:rsidR="00E57FCB" w:rsidRPr="008900FC">
        <w:t xml:space="preserve"> </w:t>
      </w:r>
      <w:r w:rsidRPr="008900FC">
        <w:t xml:space="preserve">These are the areas of focus we need to improve and excel: </w:t>
      </w:r>
    </w:p>
    <w:p w14:paraId="1BE8338B" w14:textId="77777777" w:rsidR="00AC0108" w:rsidRPr="00AE0212" w:rsidRDefault="00AC0108" w:rsidP="003356AE">
      <w:pPr>
        <w:pStyle w:val="RedBullet"/>
        <w:spacing w:line="240" w:lineRule="auto"/>
        <w:jc w:val="left"/>
      </w:pPr>
      <w:r w:rsidRPr="00AE0212">
        <w:t xml:space="preserve">Focus 1: Build and Maintain Trust and Confidence in Northamptonshire Police </w:t>
      </w:r>
    </w:p>
    <w:p w14:paraId="360E0E26" w14:textId="77777777" w:rsidR="00AC0108" w:rsidRPr="00AE0212" w:rsidRDefault="00AC0108" w:rsidP="003356AE">
      <w:pPr>
        <w:pStyle w:val="RedBullet"/>
        <w:spacing w:line="240" w:lineRule="auto"/>
        <w:jc w:val="left"/>
      </w:pPr>
      <w:r w:rsidRPr="00AE0212">
        <w:t xml:space="preserve">Focus 2: Quality of Investigation Standards </w:t>
      </w:r>
    </w:p>
    <w:p w14:paraId="5441998D" w14:textId="77777777" w:rsidR="00AC0108" w:rsidRPr="00AE0212" w:rsidRDefault="00AC0108" w:rsidP="003356AE">
      <w:pPr>
        <w:pStyle w:val="RedBullet"/>
        <w:spacing w:line="240" w:lineRule="auto"/>
        <w:jc w:val="left"/>
      </w:pPr>
      <w:r w:rsidRPr="00AE0212">
        <w:t xml:space="preserve">Focus 3: Developing the workforce to close the skills gap across the force </w:t>
      </w:r>
    </w:p>
    <w:p w14:paraId="73AC9694" w14:textId="77777777" w:rsidR="00AC0108" w:rsidRPr="008900FC" w:rsidRDefault="00AC0108" w:rsidP="009201B6">
      <w:pPr>
        <w:pStyle w:val="VAHeadingLevel3"/>
        <w:spacing w:line="240" w:lineRule="auto"/>
      </w:pPr>
      <w:r w:rsidRPr="008900FC">
        <w:t xml:space="preserve">  </w:t>
      </w:r>
    </w:p>
    <w:p w14:paraId="371BF6C1" w14:textId="77777777" w:rsidR="00AC0108" w:rsidRPr="008900FC" w:rsidRDefault="00AC0108" w:rsidP="009201B6">
      <w:pPr>
        <w:pStyle w:val="VAHeadingLevel3"/>
        <w:spacing w:line="240" w:lineRule="auto"/>
      </w:pPr>
      <w:r w:rsidRPr="008900FC">
        <w:t xml:space="preserve">Control Strategy </w:t>
      </w:r>
    </w:p>
    <w:p w14:paraId="46D620E1" w14:textId="04BB90B0" w:rsidR="00AC0108" w:rsidRPr="008900FC" w:rsidRDefault="00AC0108" w:rsidP="003356AE">
      <w:pPr>
        <w:spacing w:line="240" w:lineRule="auto"/>
      </w:pPr>
      <w:r w:rsidRPr="008900FC">
        <w:t>In line with the new Policing Plan, the force has replaced its Matters of Priority with a Control Strategy.</w:t>
      </w:r>
      <w:r w:rsidR="00E57FCB" w:rsidRPr="008900FC">
        <w:t xml:space="preserve"> </w:t>
      </w:r>
      <w:r w:rsidRPr="008900FC">
        <w:t xml:space="preserve"> The control strategy takes an intelligence approach to understanding where the force should focus its efforts. </w:t>
      </w:r>
    </w:p>
    <w:p w14:paraId="1FB83E9E" w14:textId="13A682DD" w:rsidR="00AC0108" w:rsidRPr="008900FC" w:rsidRDefault="00AC0108" w:rsidP="003356AE">
      <w:pPr>
        <w:spacing w:line="240" w:lineRule="auto"/>
      </w:pPr>
      <w:r w:rsidRPr="008900FC">
        <w:t>The Control Strategy illustrates the operational thematic priorities of the Force and sets the long-term priorities for crime prevention, Intelligence, reassurance, and enforcement</w:t>
      </w:r>
      <w:r w:rsidR="008306B8" w:rsidRPr="008900FC">
        <w:t xml:space="preserve">.  </w:t>
      </w:r>
      <w:r w:rsidRPr="008900FC">
        <w:t xml:space="preserve">It provides a framework </w:t>
      </w:r>
      <w:r w:rsidRPr="008900FC">
        <w:t xml:space="preserve">to implement decisions on prioritising the allocation of resources. </w:t>
      </w:r>
    </w:p>
    <w:p w14:paraId="7A46F5EE" w14:textId="77777777" w:rsidR="00AC0108" w:rsidRPr="008900FC" w:rsidRDefault="00AC0108" w:rsidP="003356AE">
      <w:pPr>
        <w:spacing w:line="240" w:lineRule="auto"/>
      </w:pPr>
      <w:r w:rsidRPr="008900FC">
        <w:t xml:space="preserve">The strategy has a number of themes; neighbourhood concerns, serious and organised crime, serious violence, vulnerability and violence against women and girls &amp; of these ‘outer ring themes’ the force has identified areas of risk, these are: </w:t>
      </w:r>
    </w:p>
    <w:p w14:paraId="0F55B70E" w14:textId="77777777" w:rsidR="00AC0108" w:rsidRPr="008900FC" w:rsidRDefault="00AC0108" w:rsidP="003356AE">
      <w:pPr>
        <w:pStyle w:val="RedBullet"/>
        <w:spacing w:line="240" w:lineRule="auto"/>
      </w:pPr>
      <w:r w:rsidRPr="008900FC">
        <w:t xml:space="preserve">Antisocial behaviour </w:t>
      </w:r>
    </w:p>
    <w:p w14:paraId="665C56D8" w14:textId="77777777" w:rsidR="00AC0108" w:rsidRPr="008900FC" w:rsidRDefault="00AC0108" w:rsidP="003356AE">
      <w:pPr>
        <w:pStyle w:val="RedBullet"/>
        <w:spacing w:line="240" w:lineRule="auto"/>
      </w:pPr>
      <w:r w:rsidRPr="008900FC">
        <w:t xml:space="preserve">Organised and acquisitive crime </w:t>
      </w:r>
    </w:p>
    <w:p w14:paraId="7F7C9699" w14:textId="77777777" w:rsidR="00AC0108" w:rsidRPr="008900FC" w:rsidRDefault="00AC0108" w:rsidP="003356AE">
      <w:pPr>
        <w:pStyle w:val="RedBullet"/>
        <w:spacing w:line="240" w:lineRule="auto"/>
      </w:pPr>
      <w:r w:rsidRPr="008900FC">
        <w:t xml:space="preserve">Drug Exploitation </w:t>
      </w:r>
    </w:p>
    <w:p w14:paraId="69AA6EA1" w14:textId="77777777" w:rsidR="00AC0108" w:rsidRPr="008900FC" w:rsidRDefault="00AC0108" w:rsidP="003356AE">
      <w:pPr>
        <w:pStyle w:val="RedBullet"/>
        <w:spacing w:line="240" w:lineRule="auto"/>
      </w:pPr>
      <w:r w:rsidRPr="008900FC">
        <w:t xml:space="preserve">Knife crime </w:t>
      </w:r>
    </w:p>
    <w:p w14:paraId="4A630ADA" w14:textId="77777777" w:rsidR="00AC0108" w:rsidRPr="008900FC" w:rsidRDefault="00AC0108" w:rsidP="003356AE">
      <w:pPr>
        <w:pStyle w:val="RedBullet"/>
        <w:spacing w:line="240" w:lineRule="auto"/>
      </w:pPr>
      <w:r w:rsidRPr="008900FC">
        <w:t xml:space="preserve">Near miss homicide </w:t>
      </w:r>
    </w:p>
    <w:p w14:paraId="54A42A68" w14:textId="77777777" w:rsidR="00AC0108" w:rsidRPr="008900FC" w:rsidRDefault="00AC0108" w:rsidP="003356AE">
      <w:pPr>
        <w:pStyle w:val="RedBullet"/>
        <w:spacing w:line="240" w:lineRule="auto"/>
      </w:pPr>
      <w:r w:rsidRPr="008900FC">
        <w:t xml:space="preserve">Child abuse and exploitation </w:t>
      </w:r>
    </w:p>
    <w:p w14:paraId="38FBB01F" w14:textId="0AC25B7F" w:rsidR="00AC0108" w:rsidRPr="008900FC" w:rsidRDefault="00AC0108" w:rsidP="003356AE">
      <w:pPr>
        <w:pStyle w:val="RedBullet"/>
        <w:spacing w:line="240" w:lineRule="auto"/>
      </w:pPr>
      <w:r w:rsidRPr="008900FC">
        <w:t xml:space="preserve">Domestic abuse and rape </w:t>
      </w:r>
    </w:p>
    <w:p w14:paraId="2AA07506" w14:textId="77777777" w:rsidR="00AC0108" w:rsidRPr="008900FC" w:rsidRDefault="00AC0108" w:rsidP="003356AE">
      <w:pPr>
        <w:spacing w:line="240" w:lineRule="auto"/>
      </w:pPr>
      <w:r w:rsidRPr="008900FC">
        <w:t xml:space="preserve">In addition to the areas of identified risk, 3 cross cutting priorities will be considered through all activity, these are: </w:t>
      </w:r>
    </w:p>
    <w:p w14:paraId="68B61FE6" w14:textId="77777777" w:rsidR="00AC0108" w:rsidRPr="008900FC" w:rsidRDefault="00AC0108" w:rsidP="003356AE">
      <w:pPr>
        <w:pStyle w:val="RedBullet"/>
        <w:spacing w:line="240" w:lineRule="auto"/>
      </w:pPr>
      <w:r w:rsidRPr="008900FC">
        <w:t xml:space="preserve">Prevention and Intervention </w:t>
      </w:r>
    </w:p>
    <w:p w14:paraId="2DF2A7A7" w14:textId="77777777" w:rsidR="00AC0108" w:rsidRPr="008900FC" w:rsidRDefault="00AC0108" w:rsidP="003356AE">
      <w:pPr>
        <w:pStyle w:val="RedBullet"/>
        <w:spacing w:line="240" w:lineRule="auto"/>
      </w:pPr>
      <w:r w:rsidRPr="008900FC">
        <w:t xml:space="preserve">Structural Equality </w:t>
      </w:r>
    </w:p>
    <w:p w14:paraId="51167720" w14:textId="6993DC13" w:rsidR="00AC0108" w:rsidRPr="008900FC" w:rsidRDefault="00AC0108" w:rsidP="003356AE">
      <w:pPr>
        <w:pStyle w:val="RedBullet"/>
        <w:spacing w:line="240" w:lineRule="auto"/>
      </w:pPr>
      <w:r w:rsidRPr="008900FC">
        <w:t xml:space="preserve">Policing Standards </w:t>
      </w:r>
    </w:p>
    <w:p w14:paraId="65E4EF13" w14:textId="77777777" w:rsidR="00AC0108" w:rsidRPr="008900FC" w:rsidRDefault="00AC0108" w:rsidP="003356AE">
      <w:pPr>
        <w:spacing w:line="240" w:lineRule="auto"/>
      </w:pPr>
      <w:r w:rsidRPr="008900FC">
        <w:t xml:space="preserve">   </w:t>
      </w:r>
    </w:p>
    <w:p w14:paraId="1BAC4DFD" w14:textId="77777777" w:rsidR="00AC0108" w:rsidRPr="008900FC" w:rsidRDefault="00AC0108" w:rsidP="003356AE">
      <w:pPr>
        <w:pStyle w:val="VAHeadingLevel3"/>
        <w:spacing w:line="240" w:lineRule="auto"/>
      </w:pPr>
      <w:r w:rsidRPr="008900FC">
        <w:t xml:space="preserve">Performance and Accountability </w:t>
      </w:r>
    </w:p>
    <w:p w14:paraId="0258DA98" w14:textId="07695229" w:rsidR="00AE4258" w:rsidRPr="008900FC" w:rsidRDefault="00AC0108" w:rsidP="003356AE">
      <w:pPr>
        <w:spacing w:line="240" w:lineRule="auto"/>
        <w:sectPr w:rsidR="00AE4258" w:rsidRPr="008900FC" w:rsidSect="00353005">
          <w:type w:val="continuous"/>
          <w:pgSz w:w="11900" w:h="16840"/>
          <w:pgMar w:top="1440" w:right="1080" w:bottom="1440" w:left="1080" w:header="709" w:footer="397" w:gutter="0"/>
          <w:cols w:num="2" w:space="708"/>
          <w:docGrid w:linePitch="360"/>
        </w:sectPr>
      </w:pPr>
      <w:r w:rsidRPr="008900FC">
        <w:t>The plan is underpinned by a comprehensive performance framework, using considered and relevant indicators that will enable the organisation to assess its progress in delivery against the plan.  Oversight and scrutiny of delivery of the control strategy takes place through the Performance Force Executive Meeting</w:t>
      </w:r>
      <w:r w:rsidR="008B0068" w:rsidRPr="008900FC">
        <w:t xml:space="preserve"> and the Commissioner’s Accountability Board.</w:t>
      </w:r>
    </w:p>
    <w:p w14:paraId="695BD074" w14:textId="77777777" w:rsidR="00AE4258" w:rsidRPr="008900FC" w:rsidRDefault="00AE4258" w:rsidP="003356AE">
      <w:pPr>
        <w:spacing w:line="240" w:lineRule="auto"/>
      </w:pPr>
    </w:p>
    <w:p w14:paraId="257DBEE4" w14:textId="5A950E72" w:rsidR="00353005" w:rsidRPr="008900FC" w:rsidRDefault="00AE4258" w:rsidP="003356AE">
      <w:pPr>
        <w:spacing w:line="240" w:lineRule="auto"/>
        <w:ind w:left="-284"/>
      </w:pPr>
      <w:r w:rsidRPr="008900FC">
        <w:rPr>
          <w:rStyle w:val="wacimagecontainer"/>
          <w:rFonts w:ascii="Segoe UI" w:hAnsi="Segoe UI" w:cs="Segoe UI"/>
          <w:noProof/>
          <w:color w:val="000000"/>
          <w:sz w:val="18"/>
          <w:szCs w:val="18"/>
          <w:shd w:val="clear" w:color="auto" w:fill="FFFFFF"/>
        </w:rPr>
        <w:drawing>
          <wp:inline distT="0" distB="0" distL="0" distR="0" wp14:anchorId="23580DA6" wp14:editId="0922B9D9">
            <wp:extent cx="6343650" cy="1543050"/>
            <wp:effectExtent l="133350" t="57150" r="76200" b="133350"/>
            <wp:docPr id="39637884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78845" name="Picture 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58088" cy="154656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5EE6D7CD" w14:textId="77777777" w:rsidR="001E5202" w:rsidRPr="008900FC" w:rsidRDefault="001E5202" w:rsidP="003356AE">
      <w:pPr>
        <w:pStyle w:val="NarrativeHeading"/>
        <w:sectPr w:rsidR="001E5202" w:rsidRPr="008900FC" w:rsidSect="001E5202">
          <w:type w:val="continuous"/>
          <w:pgSz w:w="11900" w:h="16840"/>
          <w:pgMar w:top="1440" w:right="1080" w:bottom="1440" w:left="1080" w:header="709" w:footer="397" w:gutter="0"/>
          <w:cols w:space="708"/>
          <w:docGrid w:linePitch="360"/>
        </w:sectPr>
      </w:pPr>
    </w:p>
    <w:p w14:paraId="7E1C62FB" w14:textId="77777777" w:rsidR="001E5202" w:rsidRPr="008900FC" w:rsidRDefault="001E5202" w:rsidP="003356AE">
      <w:pPr>
        <w:spacing w:line="240" w:lineRule="auto"/>
        <w:jc w:val="left"/>
        <w:rPr>
          <w:rFonts w:asciiTheme="minorHAnsi" w:eastAsia="Times New Roman" w:hAnsiTheme="minorHAnsi" w:cs="Times New Roman"/>
          <w:bCs/>
          <w:smallCaps/>
          <w:color w:val="25316C"/>
          <w:sz w:val="32"/>
        </w:rPr>
      </w:pPr>
      <w:r w:rsidRPr="008900FC">
        <w:br w:type="page"/>
      </w:r>
    </w:p>
    <w:p w14:paraId="64110439" w14:textId="77777777" w:rsidR="00353005" w:rsidRPr="00D87A27" w:rsidRDefault="00353005" w:rsidP="003356AE">
      <w:pPr>
        <w:pStyle w:val="NarrativeHeading"/>
      </w:pPr>
      <w:bookmarkStart w:id="19" w:name="_Toc231216704"/>
      <w:r w:rsidRPr="00D87A27">
        <w:lastRenderedPageBreak/>
        <w:t>Statutory Framework</w:t>
      </w:r>
      <w:bookmarkEnd w:id="19"/>
    </w:p>
    <w:p w14:paraId="7BDBDEE9" w14:textId="77777777" w:rsidR="00353005" w:rsidRPr="00D87A27" w:rsidRDefault="00353005" w:rsidP="00B668F9"/>
    <w:p w14:paraId="3D03998A" w14:textId="77777777" w:rsidR="00353005" w:rsidRPr="00D87A27" w:rsidRDefault="00353005" w:rsidP="00B668F9">
      <w:r w:rsidRPr="00D87A27">
        <w:t>The PFCC and Chief Constable were established as separate legal entities under the Police Reform and Social Responsibility Act 2011.  The Act sets out the statutory financial framework for both entities and is supported by the Financial Management Code of Practice, which sets out their financial relationships and responsibilities.</w:t>
      </w:r>
    </w:p>
    <w:p w14:paraId="4E261794" w14:textId="77777777" w:rsidR="00353005" w:rsidRPr="00D87A27" w:rsidRDefault="00353005" w:rsidP="00B668F9"/>
    <w:p w14:paraId="26635771" w14:textId="77777777" w:rsidR="00353005" w:rsidRPr="00D87A27" w:rsidRDefault="00353005" w:rsidP="00B668F9">
      <w:r w:rsidRPr="00D87A27">
        <w:t>The PFCC has overall responsibility for the finances of the group in that they receive all external funding and sets the annual budget and precept.  The Chief Constable has produced this separate set of accounts which explains how the resources provided by the PFCC have been used to deliver operational policing services.</w:t>
      </w:r>
    </w:p>
    <w:p w14:paraId="4C1E5940" w14:textId="77777777" w:rsidR="00353005" w:rsidRPr="00D87A27" w:rsidRDefault="00353005" w:rsidP="00B668F9"/>
    <w:p w14:paraId="4352C5DD" w14:textId="77777777" w:rsidR="00353005" w:rsidRPr="00D87A27" w:rsidRDefault="00353005" w:rsidP="003356AE">
      <w:pPr>
        <w:spacing w:line="240" w:lineRule="auto"/>
      </w:pPr>
      <w:r w:rsidRPr="00D87A27">
        <w:t xml:space="preserve">The Policing and Crime Act 2017 provided legislation to: </w:t>
      </w:r>
    </w:p>
    <w:p w14:paraId="597D926A" w14:textId="09EAA078" w:rsidR="00353005" w:rsidRPr="00D87A27" w:rsidRDefault="00353005" w:rsidP="003356AE">
      <w:pPr>
        <w:numPr>
          <w:ilvl w:val="0"/>
          <w:numId w:val="2"/>
        </w:numPr>
        <w:spacing w:line="240" w:lineRule="auto"/>
        <w:ind w:left="426"/>
        <w:rPr>
          <w:rFonts w:asciiTheme="minorHAnsi" w:eastAsia="Times New Roman" w:hAnsiTheme="minorHAnsi" w:cs="Times New Roman"/>
          <w:szCs w:val="20"/>
        </w:rPr>
      </w:pPr>
      <w:r w:rsidRPr="00D87A27">
        <w:rPr>
          <w:rFonts w:asciiTheme="minorHAnsi" w:eastAsia="Times New Roman" w:hAnsiTheme="minorHAnsi" w:cs="Times New Roman"/>
          <w:szCs w:val="20"/>
        </w:rPr>
        <w:t>Place a statutory duty on the three emergency services to collaborate</w:t>
      </w:r>
    </w:p>
    <w:p w14:paraId="4166D243" w14:textId="091AD72A" w:rsidR="00353005" w:rsidRPr="00D87A27" w:rsidRDefault="00353005" w:rsidP="003356AE">
      <w:pPr>
        <w:numPr>
          <w:ilvl w:val="0"/>
          <w:numId w:val="2"/>
        </w:numPr>
        <w:spacing w:line="240" w:lineRule="auto"/>
        <w:ind w:left="426"/>
        <w:rPr>
          <w:rFonts w:asciiTheme="minorHAnsi" w:eastAsia="Times New Roman" w:hAnsiTheme="minorHAnsi" w:cs="Times New Roman"/>
          <w:szCs w:val="20"/>
        </w:rPr>
      </w:pPr>
      <w:r w:rsidRPr="00D87A27">
        <w:rPr>
          <w:rFonts w:asciiTheme="minorHAnsi" w:eastAsia="Times New Roman" w:hAnsiTheme="minorHAnsi" w:cs="Times New Roman"/>
          <w:szCs w:val="20"/>
        </w:rPr>
        <w:t>Enable PFCCs (PCCs) to be represented on the Fire Authority</w:t>
      </w:r>
    </w:p>
    <w:p w14:paraId="209D2171" w14:textId="65BD293E" w:rsidR="00353005" w:rsidRPr="00D87A27" w:rsidRDefault="00353005" w:rsidP="003356AE">
      <w:pPr>
        <w:numPr>
          <w:ilvl w:val="0"/>
          <w:numId w:val="2"/>
        </w:numPr>
        <w:spacing w:line="240" w:lineRule="auto"/>
        <w:ind w:left="426"/>
        <w:rPr>
          <w:rFonts w:asciiTheme="minorHAnsi" w:eastAsia="Times New Roman" w:hAnsiTheme="minorHAnsi" w:cs="Times New Roman"/>
          <w:szCs w:val="20"/>
        </w:rPr>
      </w:pPr>
      <w:r w:rsidRPr="00D87A27">
        <w:rPr>
          <w:rFonts w:asciiTheme="minorHAnsi" w:eastAsia="Times New Roman" w:hAnsiTheme="minorHAnsi" w:cs="Times New Roman"/>
          <w:szCs w:val="20"/>
        </w:rPr>
        <w:t>Enable PFCCs (PCCs) to make a local case to take on governance of the fire and rescue service as the Fire Authority</w:t>
      </w:r>
    </w:p>
    <w:p w14:paraId="4718C25E" w14:textId="24E41833" w:rsidR="00353005" w:rsidRPr="00D87A27" w:rsidRDefault="00353005" w:rsidP="003356AE">
      <w:pPr>
        <w:numPr>
          <w:ilvl w:val="0"/>
          <w:numId w:val="2"/>
        </w:numPr>
        <w:spacing w:line="240" w:lineRule="auto"/>
        <w:ind w:left="426"/>
        <w:rPr>
          <w:rFonts w:asciiTheme="minorHAnsi" w:eastAsia="Times New Roman" w:hAnsiTheme="minorHAnsi" w:cs="Times New Roman"/>
          <w:szCs w:val="20"/>
        </w:rPr>
      </w:pPr>
      <w:r w:rsidRPr="00D87A27">
        <w:rPr>
          <w:rFonts w:asciiTheme="minorHAnsi" w:eastAsia="Times New Roman" w:hAnsiTheme="minorHAnsi" w:cs="Times New Roman"/>
          <w:szCs w:val="20"/>
        </w:rPr>
        <w:t>Further enable the PFCC to make a local case for fire and rescue and police to become a single organisation under a single chief officer</w:t>
      </w:r>
    </w:p>
    <w:p w14:paraId="1BE57395" w14:textId="77777777" w:rsidR="00353005" w:rsidRPr="00D87A27" w:rsidRDefault="00353005" w:rsidP="00B668F9"/>
    <w:p w14:paraId="020B4270" w14:textId="5F15864F" w:rsidR="00FB2CCF" w:rsidRPr="00FB2CCF" w:rsidRDefault="00353005" w:rsidP="00B668F9">
      <w:r w:rsidRPr="00D87A27">
        <w:t>The transfer of governance of Northamptonshire Fire and Rescue Service (NFRS) to the PCC from the County Council took place on 1 January 2019 and the PCC thereby became the Police, Fire and Crime Commissioner (PFCC) for Policing and the Northamptonshire Commissioner Fire and Rescue Authority for Fire (NCFRA).</w:t>
      </w:r>
    </w:p>
    <w:p w14:paraId="7A250F7E" w14:textId="0DE665C1" w:rsidR="00353005" w:rsidRPr="003306C2" w:rsidRDefault="002853B3" w:rsidP="003356AE">
      <w:pPr>
        <w:pStyle w:val="NarrativeHeading"/>
        <w:rPr>
          <w:rFonts w:cs="Arial"/>
          <w:b/>
          <w:szCs w:val="20"/>
        </w:rPr>
      </w:pPr>
      <w:r>
        <w:br w:type="column"/>
      </w:r>
      <w:bookmarkStart w:id="20" w:name="_Toc231216705"/>
      <w:r w:rsidR="00353005" w:rsidRPr="00FB2CCF">
        <w:t xml:space="preserve">Group </w:t>
      </w:r>
      <w:r w:rsidR="00353005" w:rsidRPr="003306C2">
        <w:t>Boundary</w:t>
      </w:r>
      <w:bookmarkEnd w:id="20"/>
    </w:p>
    <w:p w14:paraId="7AD0507A" w14:textId="77777777" w:rsidR="00353005" w:rsidRPr="003306C2" w:rsidRDefault="00353005" w:rsidP="00B668F9"/>
    <w:p w14:paraId="24AC5454" w14:textId="77777777" w:rsidR="00353005" w:rsidRPr="003306C2" w:rsidRDefault="00353005" w:rsidP="00B668F9">
      <w:r w:rsidRPr="003306C2">
        <w:t>The Police, Fire and Crime Commissioner for Northamptonshire (Fire and Rescue Authority) Order 2018 utilised existing legislation (Specifically Section 4A of the Fire and Rescue Services Act 2004) to create a new corporation sole NCFRA, a role which is held by the Police, Fire and Commissioner, but acting as NCFRA.  This legislation outlines the key responsibilities for oversight and ensuring good governance within the NCFRA.</w:t>
      </w:r>
    </w:p>
    <w:p w14:paraId="680E52CB" w14:textId="77777777" w:rsidR="00353005" w:rsidRPr="003306C2" w:rsidRDefault="00353005" w:rsidP="00B668F9"/>
    <w:p w14:paraId="45383D0B" w14:textId="77777777" w:rsidR="00353005" w:rsidRPr="003306C2" w:rsidRDefault="00353005" w:rsidP="00B668F9">
      <w:r w:rsidRPr="003306C2">
        <w:t>This reflects that the government provides funding to NCFRA and is ultimately responsible for the NCFRA.</w:t>
      </w:r>
    </w:p>
    <w:p w14:paraId="198ABBA5" w14:textId="77777777" w:rsidR="00353005" w:rsidRPr="003306C2" w:rsidRDefault="00353005" w:rsidP="00B668F9"/>
    <w:p w14:paraId="15FE5AAD" w14:textId="2554C3D2" w:rsidR="00353005" w:rsidRPr="003306C2" w:rsidRDefault="00353005" w:rsidP="00B668F9">
      <w:r w:rsidRPr="003306C2">
        <w:t xml:space="preserve">Therefore, whilst there is some commonality within the OPFCC, Chief Constable and NCFRA, they are three separate corporations sole, with Fire and Police created under separate legislation and with the responsibility to set up and maintain separate “Funds” for each organisation, with separate legal responsibilities and no ability to </w:t>
      </w:r>
      <w:proofErr w:type="spellStart"/>
      <w:r w:rsidRPr="003306C2">
        <w:t>vire</w:t>
      </w:r>
      <w:proofErr w:type="spellEnd"/>
      <w:r w:rsidRPr="003306C2">
        <w:t xml:space="preserve"> funds between them.  As set out by CIPFA, there is not a requirement for the NCFRA </w:t>
      </w:r>
      <w:r w:rsidR="006F57B0">
        <w:t xml:space="preserve">financial statements </w:t>
      </w:r>
      <w:r w:rsidRPr="003306C2">
        <w:t>to be included within the OPFCC group accounts.</w:t>
      </w:r>
      <w:r w:rsidR="007B4E80">
        <w:t xml:space="preserve">  </w:t>
      </w:r>
      <w:r w:rsidRPr="003306C2">
        <w:t xml:space="preserve">The </w:t>
      </w:r>
      <w:r w:rsidR="00D23904">
        <w:t>Statement of A</w:t>
      </w:r>
      <w:r w:rsidRPr="003306C2">
        <w:t>ccounts of Fire and Policing are operated separately in line with the legislation.</w:t>
      </w:r>
    </w:p>
    <w:p w14:paraId="59E96907" w14:textId="77777777" w:rsidR="00353005" w:rsidRPr="003306C2" w:rsidRDefault="00353005" w:rsidP="00B668F9"/>
    <w:p w14:paraId="6A6F04A3" w14:textId="35EFFB5C" w:rsidR="00353005" w:rsidRPr="003306C2" w:rsidRDefault="00353005" w:rsidP="00B668F9">
      <w:r w:rsidRPr="003306C2">
        <w:t>In line with the Home Office Financial Management Code of Practice, a collaboration agreement is in place between the three separate organisations</w:t>
      </w:r>
      <w:r w:rsidR="00AA625E">
        <w:t xml:space="preserve"> (OPFCC</w:t>
      </w:r>
      <w:r w:rsidR="00ED7D08">
        <w:t xml:space="preserve">, </w:t>
      </w:r>
      <w:r w:rsidRPr="003306C2">
        <w:t>Northamptonshire Police</w:t>
      </w:r>
      <w:r w:rsidR="00734548">
        <w:t xml:space="preserve"> and Northamptonshire Fire and Rescue) </w:t>
      </w:r>
      <w:r w:rsidRPr="003306C2">
        <w:t>to set out the arrangements for working together where it would be advantageous to the parties to do so, mirroring such collaboration arrangements that Northamptonshire Police have with other police forces.</w:t>
      </w:r>
    </w:p>
    <w:p w14:paraId="4011CBEA" w14:textId="77777777" w:rsidR="00353005" w:rsidRPr="003306C2" w:rsidRDefault="00353005" w:rsidP="00B668F9"/>
    <w:p w14:paraId="05C89CAA" w14:textId="1C6BC065" w:rsidR="00353005" w:rsidRPr="003306C2" w:rsidRDefault="00353005" w:rsidP="00B668F9">
      <w:r w:rsidRPr="003306C2">
        <w:t xml:space="preserve">The arrangements outlined in the legislation result in a requirement to disclose the nature of the transactions between OPFCC and the NCFRA and this is provided within the related parties note within the statement of accounts.  </w:t>
      </w:r>
      <w:r w:rsidR="00843113">
        <w:t>T</w:t>
      </w:r>
      <w:r w:rsidRPr="003306C2">
        <w:t xml:space="preserve">his note </w:t>
      </w:r>
      <w:r w:rsidR="00843113">
        <w:t>discloses</w:t>
      </w:r>
      <w:r w:rsidRPr="003306C2">
        <w:t xml:space="preserve"> governance services provided by the Office of the PFCC to Fire, and charges for services and shared staff between Fire and Policing.</w:t>
      </w:r>
    </w:p>
    <w:p w14:paraId="7C2ED243" w14:textId="77777777" w:rsidR="00353005" w:rsidRPr="003306C2" w:rsidRDefault="00353005" w:rsidP="00B668F9"/>
    <w:p w14:paraId="2B45507F" w14:textId="59DBFB34" w:rsidR="00353005" w:rsidRPr="00C36EEB" w:rsidRDefault="00353005" w:rsidP="003356AE">
      <w:pPr>
        <w:pStyle w:val="NarrativeHeading"/>
        <w:rPr>
          <w:szCs w:val="20"/>
        </w:rPr>
      </w:pPr>
      <w:bookmarkStart w:id="21" w:name="_Toc231216706"/>
      <w:r w:rsidRPr="00C36EEB">
        <w:lastRenderedPageBreak/>
        <w:t>Responsibilities</w:t>
      </w:r>
      <w:bookmarkEnd w:id="21"/>
    </w:p>
    <w:p w14:paraId="1D2DF13B" w14:textId="77777777" w:rsidR="00353005" w:rsidRPr="00C36EEB" w:rsidRDefault="00353005" w:rsidP="00843113"/>
    <w:p w14:paraId="068C16CA" w14:textId="77777777" w:rsidR="00353005" w:rsidRPr="00C36EEB" w:rsidRDefault="00353005" w:rsidP="00843113">
      <w:r w:rsidRPr="00C36EEB">
        <w:t>The Police Reform and Social Responsibility Act 2011 and the Financial Management Code of Practice for the Police (England) describe the high-level responsibilities and the working financial relationship between the PFCC and the Chief Constable, summarised as:</w:t>
      </w:r>
    </w:p>
    <w:p w14:paraId="36C3B7A3" w14:textId="77777777" w:rsidR="00A96EBA" w:rsidRPr="00C36EEB" w:rsidRDefault="00A96EBA" w:rsidP="00843113"/>
    <w:p w14:paraId="55312374" w14:textId="77777777" w:rsidR="00353005" w:rsidRPr="00C36EEB" w:rsidRDefault="00353005" w:rsidP="003356AE">
      <w:pPr>
        <w:pStyle w:val="VAHeadingLevel3"/>
        <w:spacing w:line="240" w:lineRule="auto"/>
      </w:pPr>
      <w:r w:rsidRPr="00C36EEB">
        <w:t>The Police, Fire and Crime Commissioner:</w:t>
      </w:r>
    </w:p>
    <w:p w14:paraId="592A081C" w14:textId="5D812CD9"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Appoints the Chief Constable and may suspend them or require them to resign or retire</w:t>
      </w:r>
    </w:p>
    <w:p w14:paraId="3C85F463" w14:textId="3FA2763F"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Must maintain the Police Force and ensure that it is efficient and effective</w:t>
      </w:r>
    </w:p>
    <w:p w14:paraId="79FD481D" w14:textId="77777777"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Must issue a Police and Crime Plan</w:t>
      </w:r>
    </w:p>
    <w:p w14:paraId="04C46BB0" w14:textId="569F1A90"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Must hold the Chief Constable to account for their actions and those of their officers and staff</w:t>
      </w:r>
    </w:p>
    <w:p w14:paraId="7E63E8D2" w14:textId="30CAF1B0"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Receives all income from grants, precept and charges</w:t>
      </w:r>
    </w:p>
    <w:p w14:paraId="59E7AEBB" w14:textId="77777777" w:rsidR="00353005" w:rsidRPr="00C36EEB" w:rsidRDefault="00353005" w:rsidP="003356AE">
      <w:pPr>
        <w:spacing w:line="240" w:lineRule="auto"/>
      </w:pPr>
    </w:p>
    <w:p w14:paraId="2827323F" w14:textId="77777777" w:rsidR="00353005" w:rsidRPr="00C36EEB" w:rsidRDefault="00353005" w:rsidP="003356AE">
      <w:pPr>
        <w:pStyle w:val="VAHeadingLevel3"/>
        <w:spacing w:line="240" w:lineRule="auto"/>
        <w:rPr>
          <w:i/>
        </w:rPr>
      </w:pPr>
      <w:r w:rsidRPr="00C36EEB">
        <w:t>The Chief Constable</w:t>
      </w:r>
      <w:r w:rsidRPr="00C36EEB">
        <w:rPr>
          <w:i/>
        </w:rPr>
        <w:t xml:space="preserve">: </w:t>
      </w:r>
    </w:p>
    <w:p w14:paraId="02BF6D76" w14:textId="74A6AB93"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Holds office as a servant of the crown and is not an employee</w:t>
      </w:r>
    </w:p>
    <w:p w14:paraId="04D701CA" w14:textId="391120E9"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Has direction and control over police officers and is the employer of police staff</w:t>
      </w:r>
    </w:p>
    <w:p w14:paraId="476C6585" w14:textId="612863E2"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Is operationally independent</w:t>
      </w:r>
    </w:p>
    <w:p w14:paraId="247F868F" w14:textId="658CBBC0"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Must have regard to the Commissioner’s Police and Crime Plan</w:t>
      </w:r>
    </w:p>
    <w:p w14:paraId="4B59F20B" w14:textId="77777777"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Holds no property, rights or liabilities.</w:t>
      </w:r>
    </w:p>
    <w:p w14:paraId="54A75E85" w14:textId="630BAF1B" w:rsidR="00353005" w:rsidRPr="00C36EEB" w:rsidRDefault="00353005" w:rsidP="003356AE">
      <w:pPr>
        <w:numPr>
          <w:ilvl w:val="0"/>
          <w:numId w:val="2"/>
        </w:numPr>
        <w:spacing w:line="240" w:lineRule="auto"/>
        <w:ind w:left="426"/>
        <w:rPr>
          <w:rFonts w:asciiTheme="minorHAnsi" w:eastAsia="Times New Roman" w:hAnsiTheme="minorHAnsi" w:cs="Times New Roman"/>
          <w:szCs w:val="20"/>
        </w:rPr>
      </w:pPr>
      <w:r w:rsidRPr="00C36EEB">
        <w:rPr>
          <w:rFonts w:asciiTheme="minorHAnsi" w:eastAsia="Times New Roman" w:hAnsiTheme="minorHAnsi" w:cs="Times New Roman"/>
          <w:szCs w:val="20"/>
        </w:rPr>
        <w:t>May not borrow money</w:t>
      </w:r>
    </w:p>
    <w:p w14:paraId="33E1FBF1" w14:textId="77777777" w:rsidR="00353005" w:rsidRDefault="00353005" w:rsidP="003356AE">
      <w:pPr>
        <w:spacing w:line="240" w:lineRule="auto"/>
      </w:pPr>
    </w:p>
    <w:p w14:paraId="7F8B2E67" w14:textId="33A90D4C" w:rsidR="00353005" w:rsidRPr="00C36EEB" w:rsidRDefault="0051434E" w:rsidP="003356AE">
      <w:pPr>
        <w:pStyle w:val="NarrativeHeading"/>
      </w:pPr>
      <w:r>
        <w:br w:type="column"/>
      </w:r>
      <w:bookmarkStart w:id="22" w:name="_Toc231216707"/>
      <w:r w:rsidR="00353005" w:rsidRPr="00C36EEB">
        <w:t>Operational Model</w:t>
      </w:r>
      <w:bookmarkEnd w:id="22"/>
    </w:p>
    <w:p w14:paraId="19802E2A" w14:textId="77777777" w:rsidR="00353005" w:rsidRPr="00C36EEB" w:rsidRDefault="00353005" w:rsidP="003356AE">
      <w:pPr>
        <w:spacing w:line="240" w:lineRule="auto"/>
      </w:pPr>
    </w:p>
    <w:p w14:paraId="6577C7C3" w14:textId="77777777" w:rsidR="00353005" w:rsidRPr="006E5E18" w:rsidRDefault="00353005" w:rsidP="003356AE">
      <w:pPr>
        <w:pStyle w:val="VAHeadingLevel2"/>
        <w:spacing w:line="240" w:lineRule="auto"/>
      </w:pPr>
      <w:r w:rsidRPr="006E5E18">
        <w:t>Our People</w:t>
      </w:r>
    </w:p>
    <w:p w14:paraId="3F37811F" w14:textId="41EA6685" w:rsidR="00353005" w:rsidRPr="005040D1" w:rsidRDefault="00353005" w:rsidP="00192384">
      <w:proofErr w:type="gramStart"/>
      <w:r w:rsidRPr="006E5E18">
        <w:t>At</w:t>
      </w:r>
      <w:proofErr w:type="gramEnd"/>
      <w:r w:rsidRPr="006E5E18">
        <w:t xml:space="preserve"> 31 </w:t>
      </w:r>
      <w:r w:rsidRPr="005040D1">
        <w:t>March 202</w:t>
      </w:r>
      <w:r w:rsidR="006E5E18" w:rsidRPr="005040D1">
        <w:t>6</w:t>
      </w:r>
      <w:r w:rsidRPr="005040D1">
        <w:t>, the Chief Constable’s budgeted establishment was 2</w:t>
      </w:r>
      <w:r w:rsidR="005040D1" w:rsidRPr="005040D1">
        <w:t>,774</w:t>
      </w:r>
      <w:r w:rsidRPr="005040D1">
        <w:t xml:space="preserve"> FTE.  The analysis is shown in the table below:</w:t>
      </w:r>
    </w:p>
    <w:p w14:paraId="4F6150B6" w14:textId="77777777" w:rsidR="00353005" w:rsidRPr="005040D1" w:rsidRDefault="00353005" w:rsidP="003356AE">
      <w:pPr>
        <w:spacing w:line="240" w:lineRule="auto"/>
      </w:pPr>
    </w:p>
    <w:tbl>
      <w:tblPr>
        <w:tblW w:w="4427" w:type="dxa"/>
        <w:tblLook w:val="04A0" w:firstRow="1" w:lastRow="0" w:firstColumn="1" w:lastColumn="0" w:noHBand="0" w:noVBand="1"/>
      </w:tblPr>
      <w:tblGrid>
        <w:gridCol w:w="2605"/>
        <w:gridCol w:w="911"/>
        <w:gridCol w:w="911"/>
      </w:tblGrid>
      <w:tr w:rsidR="00353005" w:rsidRPr="005040D1" w14:paraId="2B9F15D7" w14:textId="77777777">
        <w:trPr>
          <w:trHeight w:val="426"/>
        </w:trPr>
        <w:tc>
          <w:tcPr>
            <w:tcW w:w="2605" w:type="dxa"/>
            <w:shd w:val="clear" w:color="auto" w:fill="000099"/>
            <w:vAlign w:val="center"/>
            <w:hideMark/>
          </w:tcPr>
          <w:p w14:paraId="636236C6" w14:textId="77777777" w:rsidR="00353005" w:rsidRPr="005040D1" w:rsidRDefault="00353005" w:rsidP="003356AE">
            <w:pPr>
              <w:spacing w:line="240" w:lineRule="auto"/>
              <w:rPr>
                <w:rFonts w:cs="Times New Roman"/>
                <w:b/>
                <w:bCs/>
                <w:color w:val="FFFFFF" w:themeColor="background1"/>
                <w:lang w:eastAsia="en-GB"/>
              </w:rPr>
            </w:pPr>
            <w:r w:rsidRPr="005040D1">
              <w:rPr>
                <w:b/>
                <w:bCs/>
                <w:color w:val="FFFFFF" w:themeColor="background1"/>
                <w:lang w:eastAsia="en-GB"/>
              </w:rPr>
              <w:t>Category of employee</w:t>
            </w:r>
          </w:p>
        </w:tc>
        <w:tc>
          <w:tcPr>
            <w:tcW w:w="911" w:type="dxa"/>
            <w:shd w:val="clear" w:color="auto" w:fill="000099"/>
            <w:vAlign w:val="center"/>
            <w:hideMark/>
          </w:tcPr>
          <w:p w14:paraId="49DC2FE8" w14:textId="4CE1F62F" w:rsidR="00353005" w:rsidRPr="005040D1" w:rsidRDefault="00353005" w:rsidP="003356AE">
            <w:pPr>
              <w:spacing w:line="240" w:lineRule="auto"/>
              <w:jc w:val="right"/>
              <w:rPr>
                <w:rFonts w:cs="Times New Roman"/>
                <w:b/>
                <w:bCs/>
                <w:color w:val="FFFFFF" w:themeColor="background1"/>
                <w:lang w:eastAsia="en-GB"/>
              </w:rPr>
            </w:pPr>
            <w:r w:rsidRPr="005040D1">
              <w:rPr>
                <w:b/>
                <w:bCs/>
                <w:color w:val="FFFFFF" w:themeColor="background1"/>
                <w:lang w:eastAsia="en-GB"/>
              </w:rPr>
              <w:t>202</w:t>
            </w:r>
            <w:r w:rsidR="00040483" w:rsidRPr="005040D1">
              <w:rPr>
                <w:b/>
                <w:bCs/>
                <w:color w:val="FFFFFF" w:themeColor="background1"/>
                <w:lang w:eastAsia="en-GB"/>
              </w:rPr>
              <w:t>4</w:t>
            </w:r>
            <w:r w:rsidRPr="005040D1">
              <w:rPr>
                <w:b/>
                <w:bCs/>
                <w:color w:val="FFFFFF" w:themeColor="background1"/>
                <w:lang w:eastAsia="en-GB"/>
              </w:rPr>
              <w:t>/2</w:t>
            </w:r>
            <w:r w:rsidR="00040483" w:rsidRPr="005040D1">
              <w:rPr>
                <w:b/>
                <w:bCs/>
                <w:color w:val="FFFFFF" w:themeColor="background1"/>
                <w:lang w:eastAsia="en-GB"/>
              </w:rPr>
              <w:t>5</w:t>
            </w:r>
          </w:p>
        </w:tc>
        <w:tc>
          <w:tcPr>
            <w:tcW w:w="911" w:type="dxa"/>
            <w:shd w:val="clear" w:color="auto" w:fill="000099"/>
            <w:vAlign w:val="center"/>
            <w:hideMark/>
          </w:tcPr>
          <w:p w14:paraId="1F26B94A" w14:textId="5746AF47" w:rsidR="00353005" w:rsidRPr="005040D1" w:rsidRDefault="00353005" w:rsidP="003356AE">
            <w:pPr>
              <w:spacing w:line="240" w:lineRule="auto"/>
              <w:jc w:val="right"/>
              <w:rPr>
                <w:rFonts w:cs="Times New Roman"/>
                <w:b/>
                <w:bCs/>
                <w:color w:val="FFFFFF" w:themeColor="background1"/>
                <w:lang w:eastAsia="en-GB"/>
              </w:rPr>
            </w:pPr>
            <w:r w:rsidRPr="005040D1">
              <w:rPr>
                <w:b/>
                <w:bCs/>
                <w:color w:val="FFFFFF" w:themeColor="background1"/>
                <w:lang w:eastAsia="en-GB"/>
              </w:rPr>
              <w:t>202</w:t>
            </w:r>
            <w:r w:rsidR="00040483" w:rsidRPr="005040D1">
              <w:rPr>
                <w:b/>
                <w:bCs/>
                <w:color w:val="FFFFFF" w:themeColor="background1"/>
                <w:lang w:eastAsia="en-GB"/>
              </w:rPr>
              <w:t>5</w:t>
            </w:r>
            <w:r w:rsidRPr="005040D1">
              <w:rPr>
                <w:b/>
                <w:bCs/>
                <w:color w:val="FFFFFF" w:themeColor="background1"/>
                <w:lang w:eastAsia="en-GB"/>
              </w:rPr>
              <w:t>/2</w:t>
            </w:r>
            <w:r w:rsidR="00040483" w:rsidRPr="005040D1">
              <w:rPr>
                <w:b/>
                <w:bCs/>
                <w:color w:val="FFFFFF" w:themeColor="background1"/>
                <w:lang w:eastAsia="en-GB"/>
              </w:rPr>
              <w:t>6</w:t>
            </w:r>
          </w:p>
        </w:tc>
      </w:tr>
      <w:tr w:rsidR="00353005" w:rsidRPr="005040D1" w14:paraId="33DD2F82" w14:textId="77777777">
        <w:trPr>
          <w:trHeight w:val="417"/>
        </w:trPr>
        <w:tc>
          <w:tcPr>
            <w:tcW w:w="2605" w:type="dxa"/>
            <w:shd w:val="clear" w:color="000000" w:fill="FFFFFF"/>
            <w:vAlign w:val="center"/>
            <w:hideMark/>
          </w:tcPr>
          <w:p w14:paraId="1115974D" w14:textId="77777777" w:rsidR="00353005" w:rsidRPr="005040D1" w:rsidRDefault="00353005" w:rsidP="003356AE">
            <w:pPr>
              <w:spacing w:line="240" w:lineRule="auto"/>
              <w:rPr>
                <w:rFonts w:cs="Times New Roman"/>
                <w:lang w:eastAsia="en-GB"/>
              </w:rPr>
            </w:pPr>
            <w:r w:rsidRPr="005040D1">
              <w:rPr>
                <w:lang w:eastAsia="en-GB"/>
              </w:rPr>
              <w:t>Police Officers</w:t>
            </w:r>
          </w:p>
        </w:tc>
        <w:tc>
          <w:tcPr>
            <w:tcW w:w="911" w:type="dxa"/>
            <w:shd w:val="clear" w:color="000000" w:fill="FFFFFF"/>
            <w:vAlign w:val="center"/>
            <w:hideMark/>
          </w:tcPr>
          <w:p w14:paraId="045A0F50" w14:textId="77777777" w:rsidR="00353005" w:rsidRPr="005040D1" w:rsidRDefault="00353005" w:rsidP="003356AE">
            <w:pPr>
              <w:spacing w:line="240" w:lineRule="auto"/>
              <w:jc w:val="right"/>
              <w:rPr>
                <w:lang w:eastAsia="en-GB"/>
              </w:rPr>
            </w:pPr>
            <w:r w:rsidRPr="005040D1">
              <w:rPr>
                <w:lang w:eastAsia="en-GB"/>
              </w:rPr>
              <w:t>1,501</w:t>
            </w:r>
          </w:p>
        </w:tc>
        <w:tc>
          <w:tcPr>
            <w:tcW w:w="911" w:type="dxa"/>
            <w:shd w:val="clear" w:color="auto" w:fill="CCECFF"/>
            <w:vAlign w:val="center"/>
          </w:tcPr>
          <w:p w14:paraId="0E0A153B" w14:textId="3AB2AF62" w:rsidR="00353005" w:rsidRPr="005040D1" w:rsidRDefault="00353005" w:rsidP="003356AE">
            <w:pPr>
              <w:spacing w:line="240" w:lineRule="auto"/>
              <w:jc w:val="right"/>
              <w:rPr>
                <w:lang w:eastAsia="en-GB"/>
              </w:rPr>
            </w:pPr>
            <w:r w:rsidRPr="005040D1">
              <w:rPr>
                <w:lang w:eastAsia="en-GB"/>
              </w:rPr>
              <w:t>1,5</w:t>
            </w:r>
            <w:r w:rsidR="000E78FE" w:rsidRPr="005040D1">
              <w:rPr>
                <w:lang w:eastAsia="en-GB"/>
              </w:rPr>
              <w:t>1</w:t>
            </w:r>
            <w:r w:rsidRPr="005040D1">
              <w:rPr>
                <w:lang w:eastAsia="en-GB"/>
              </w:rPr>
              <w:t>1</w:t>
            </w:r>
          </w:p>
        </w:tc>
      </w:tr>
      <w:tr w:rsidR="00353005" w:rsidRPr="005040D1" w14:paraId="7C5848A1" w14:textId="77777777">
        <w:trPr>
          <w:trHeight w:val="707"/>
        </w:trPr>
        <w:tc>
          <w:tcPr>
            <w:tcW w:w="2605" w:type="dxa"/>
            <w:shd w:val="clear" w:color="000000" w:fill="FFFFFF"/>
            <w:vAlign w:val="center"/>
            <w:hideMark/>
          </w:tcPr>
          <w:p w14:paraId="4774551C" w14:textId="77777777" w:rsidR="00353005" w:rsidRPr="005040D1" w:rsidRDefault="00353005" w:rsidP="003356AE">
            <w:pPr>
              <w:spacing w:line="240" w:lineRule="auto"/>
              <w:jc w:val="left"/>
              <w:rPr>
                <w:rFonts w:cs="Times New Roman"/>
                <w:lang w:eastAsia="en-GB"/>
              </w:rPr>
            </w:pPr>
            <w:r w:rsidRPr="005040D1">
              <w:rPr>
                <w:lang w:eastAsia="en-GB"/>
              </w:rPr>
              <w:t>Police Community Support Officers (PCSOs)</w:t>
            </w:r>
          </w:p>
        </w:tc>
        <w:tc>
          <w:tcPr>
            <w:tcW w:w="911" w:type="dxa"/>
            <w:shd w:val="clear" w:color="000000" w:fill="FFFFFF"/>
            <w:vAlign w:val="center"/>
            <w:hideMark/>
          </w:tcPr>
          <w:p w14:paraId="54F1E691" w14:textId="77777777" w:rsidR="00353005" w:rsidRPr="005040D1" w:rsidRDefault="00353005" w:rsidP="003356AE">
            <w:pPr>
              <w:spacing w:line="240" w:lineRule="auto"/>
              <w:jc w:val="right"/>
              <w:rPr>
                <w:lang w:eastAsia="en-GB"/>
              </w:rPr>
            </w:pPr>
            <w:r w:rsidRPr="005040D1">
              <w:rPr>
                <w:lang w:eastAsia="en-GB"/>
              </w:rPr>
              <w:t>80</w:t>
            </w:r>
          </w:p>
        </w:tc>
        <w:tc>
          <w:tcPr>
            <w:tcW w:w="911" w:type="dxa"/>
            <w:shd w:val="clear" w:color="auto" w:fill="CCECFF"/>
            <w:vAlign w:val="center"/>
          </w:tcPr>
          <w:p w14:paraId="5F2728E2" w14:textId="60E1B575" w:rsidR="00353005" w:rsidRPr="005040D1" w:rsidRDefault="00353005" w:rsidP="003356AE">
            <w:pPr>
              <w:spacing w:line="240" w:lineRule="auto"/>
              <w:jc w:val="right"/>
              <w:rPr>
                <w:lang w:eastAsia="en-GB"/>
              </w:rPr>
            </w:pPr>
            <w:r w:rsidRPr="005040D1">
              <w:rPr>
                <w:lang w:eastAsia="en-GB"/>
              </w:rPr>
              <w:t>8</w:t>
            </w:r>
            <w:r w:rsidR="000E78FE" w:rsidRPr="005040D1">
              <w:rPr>
                <w:lang w:eastAsia="en-GB"/>
              </w:rPr>
              <w:t>1</w:t>
            </w:r>
          </w:p>
        </w:tc>
      </w:tr>
      <w:tr w:rsidR="00353005" w:rsidRPr="005040D1" w14:paraId="1228E40B" w14:textId="77777777">
        <w:trPr>
          <w:trHeight w:val="419"/>
        </w:trPr>
        <w:tc>
          <w:tcPr>
            <w:tcW w:w="2605" w:type="dxa"/>
            <w:tcBorders>
              <w:bottom w:val="single" w:sz="4" w:space="0" w:color="auto"/>
            </w:tcBorders>
            <w:shd w:val="clear" w:color="000000" w:fill="FFFFFF"/>
            <w:vAlign w:val="center"/>
            <w:hideMark/>
          </w:tcPr>
          <w:p w14:paraId="61E74338" w14:textId="77777777" w:rsidR="00353005" w:rsidRPr="005040D1" w:rsidRDefault="00353005" w:rsidP="003356AE">
            <w:pPr>
              <w:spacing w:line="240" w:lineRule="auto"/>
              <w:rPr>
                <w:rFonts w:cs="Times New Roman"/>
                <w:lang w:eastAsia="en-GB"/>
              </w:rPr>
            </w:pPr>
            <w:r w:rsidRPr="005040D1">
              <w:rPr>
                <w:lang w:eastAsia="en-GB"/>
              </w:rPr>
              <w:t>Police Staff*</w:t>
            </w:r>
          </w:p>
        </w:tc>
        <w:tc>
          <w:tcPr>
            <w:tcW w:w="911" w:type="dxa"/>
            <w:tcBorders>
              <w:bottom w:val="single" w:sz="4" w:space="0" w:color="auto"/>
            </w:tcBorders>
            <w:shd w:val="clear" w:color="000000" w:fill="FFFFFF"/>
            <w:vAlign w:val="center"/>
            <w:hideMark/>
          </w:tcPr>
          <w:p w14:paraId="000AA991" w14:textId="08D00EDB" w:rsidR="00353005" w:rsidRPr="005040D1" w:rsidRDefault="00353005" w:rsidP="003356AE">
            <w:pPr>
              <w:spacing w:line="240" w:lineRule="auto"/>
              <w:jc w:val="right"/>
              <w:rPr>
                <w:lang w:eastAsia="en-GB"/>
              </w:rPr>
            </w:pPr>
            <w:r w:rsidRPr="005040D1">
              <w:rPr>
                <w:lang w:eastAsia="en-GB"/>
              </w:rPr>
              <w:t>1,0</w:t>
            </w:r>
            <w:r w:rsidR="00040483" w:rsidRPr="005040D1">
              <w:rPr>
                <w:lang w:eastAsia="en-GB"/>
              </w:rPr>
              <w:t>62</w:t>
            </w:r>
          </w:p>
        </w:tc>
        <w:tc>
          <w:tcPr>
            <w:tcW w:w="911" w:type="dxa"/>
            <w:tcBorders>
              <w:bottom w:val="single" w:sz="4" w:space="0" w:color="auto"/>
            </w:tcBorders>
            <w:shd w:val="clear" w:color="auto" w:fill="CCECFF"/>
            <w:vAlign w:val="center"/>
          </w:tcPr>
          <w:p w14:paraId="3417DA92" w14:textId="64FEE8C4" w:rsidR="00353005" w:rsidRPr="005040D1" w:rsidRDefault="00353005" w:rsidP="003356AE">
            <w:pPr>
              <w:spacing w:line="240" w:lineRule="auto"/>
              <w:jc w:val="right"/>
              <w:rPr>
                <w:lang w:eastAsia="en-GB"/>
              </w:rPr>
            </w:pPr>
            <w:r w:rsidRPr="005040D1">
              <w:rPr>
                <w:lang w:eastAsia="en-GB"/>
              </w:rPr>
              <w:t>1,</w:t>
            </w:r>
            <w:r w:rsidR="00E83410" w:rsidRPr="005040D1">
              <w:rPr>
                <w:lang w:eastAsia="en-GB"/>
              </w:rPr>
              <w:t>182</w:t>
            </w:r>
          </w:p>
        </w:tc>
      </w:tr>
      <w:tr w:rsidR="00353005" w:rsidRPr="005040D1" w14:paraId="59C9F8C0" w14:textId="77777777">
        <w:trPr>
          <w:trHeight w:val="415"/>
        </w:trPr>
        <w:tc>
          <w:tcPr>
            <w:tcW w:w="2605" w:type="dxa"/>
            <w:tcBorders>
              <w:top w:val="single" w:sz="4" w:space="0" w:color="auto"/>
              <w:bottom w:val="single" w:sz="4" w:space="0" w:color="auto"/>
            </w:tcBorders>
            <w:shd w:val="clear" w:color="000000" w:fill="FFFFFF"/>
            <w:vAlign w:val="center"/>
            <w:hideMark/>
          </w:tcPr>
          <w:p w14:paraId="45C1224F" w14:textId="77777777" w:rsidR="00353005" w:rsidRPr="005040D1" w:rsidRDefault="00353005" w:rsidP="003356AE">
            <w:pPr>
              <w:spacing w:line="240" w:lineRule="auto"/>
              <w:rPr>
                <w:rFonts w:cs="Times New Roman"/>
                <w:b/>
                <w:bCs/>
                <w:lang w:eastAsia="en-GB"/>
              </w:rPr>
            </w:pPr>
            <w:r w:rsidRPr="005040D1">
              <w:rPr>
                <w:b/>
                <w:bCs/>
                <w:lang w:eastAsia="en-GB"/>
              </w:rPr>
              <w:t>Total</w:t>
            </w:r>
          </w:p>
        </w:tc>
        <w:tc>
          <w:tcPr>
            <w:tcW w:w="911" w:type="dxa"/>
            <w:tcBorders>
              <w:top w:val="single" w:sz="4" w:space="0" w:color="auto"/>
              <w:bottom w:val="single" w:sz="4" w:space="0" w:color="auto"/>
            </w:tcBorders>
            <w:shd w:val="clear" w:color="000000" w:fill="FFFFFF"/>
            <w:vAlign w:val="center"/>
            <w:hideMark/>
          </w:tcPr>
          <w:p w14:paraId="1D4DFFE7" w14:textId="4449AD17" w:rsidR="00353005" w:rsidRPr="005040D1" w:rsidRDefault="00353005" w:rsidP="003356AE">
            <w:pPr>
              <w:spacing w:line="240" w:lineRule="auto"/>
              <w:jc w:val="right"/>
              <w:rPr>
                <w:b/>
                <w:bCs/>
                <w:lang w:eastAsia="en-GB"/>
              </w:rPr>
            </w:pPr>
            <w:r w:rsidRPr="005040D1">
              <w:rPr>
                <w:b/>
                <w:bCs/>
                <w:lang w:eastAsia="en-GB"/>
              </w:rPr>
              <w:t>2,</w:t>
            </w:r>
            <w:r w:rsidR="00040483" w:rsidRPr="005040D1">
              <w:rPr>
                <w:b/>
                <w:bCs/>
                <w:lang w:eastAsia="en-GB"/>
              </w:rPr>
              <w:t>643</w:t>
            </w:r>
          </w:p>
        </w:tc>
        <w:tc>
          <w:tcPr>
            <w:tcW w:w="911" w:type="dxa"/>
            <w:tcBorders>
              <w:top w:val="single" w:sz="4" w:space="0" w:color="auto"/>
              <w:bottom w:val="single" w:sz="4" w:space="0" w:color="auto"/>
            </w:tcBorders>
            <w:shd w:val="clear" w:color="auto" w:fill="CCECFF"/>
            <w:vAlign w:val="center"/>
          </w:tcPr>
          <w:p w14:paraId="545EF42B" w14:textId="7FD04F0D" w:rsidR="00353005" w:rsidRPr="005040D1" w:rsidRDefault="00353005" w:rsidP="003356AE">
            <w:pPr>
              <w:spacing w:line="240" w:lineRule="auto"/>
              <w:jc w:val="right"/>
              <w:rPr>
                <w:b/>
                <w:bCs/>
                <w:lang w:eastAsia="en-GB"/>
              </w:rPr>
            </w:pPr>
            <w:r w:rsidRPr="005040D1">
              <w:rPr>
                <w:b/>
                <w:bCs/>
                <w:lang w:eastAsia="en-GB"/>
              </w:rPr>
              <w:t>2,</w:t>
            </w:r>
            <w:r w:rsidR="005040D1" w:rsidRPr="005040D1">
              <w:rPr>
                <w:b/>
                <w:bCs/>
                <w:lang w:eastAsia="en-GB"/>
              </w:rPr>
              <w:t>774</w:t>
            </w:r>
          </w:p>
        </w:tc>
      </w:tr>
    </w:tbl>
    <w:p w14:paraId="3458C381" w14:textId="77777777" w:rsidR="00353005" w:rsidRPr="005040D1" w:rsidRDefault="00353005" w:rsidP="00192384"/>
    <w:p w14:paraId="4C50F8F7" w14:textId="77777777" w:rsidR="00353005" w:rsidRPr="005743E8" w:rsidRDefault="00353005" w:rsidP="00192384">
      <w:r w:rsidRPr="005040D1">
        <w:t>*This includes staff employed under the CCO but where costs are shared with NCFRS (Fire).</w:t>
      </w:r>
    </w:p>
    <w:p w14:paraId="596BF20C" w14:textId="77777777" w:rsidR="00353005" w:rsidRPr="005743E8" w:rsidRDefault="00353005" w:rsidP="00192384"/>
    <w:p w14:paraId="1D3199CB" w14:textId="77777777" w:rsidR="00353005" w:rsidRPr="008422E6" w:rsidRDefault="00353005" w:rsidP="00192384">
      <w:r w:rsidRPr="005743E8">
        <w:t xml:space="preserve">In addition to this the Force has officers and staff seconded to national and regional projects and employs a </w:t>
      </w:r>
      <w:r w:rsidRPr="008422E6">
        <w:t>number of dedicated PCSOs, funded by local partners.</w:t>
      </w:r>
    </w:p>
    <w:p w14:paraId="4D23C676" w14:textId="77777777" w:rsidR="00DC2C2D" w:rsidRPr="008422E6" w:rsidRDefault="00DC2C2D" w:rsidP="003356AE">
      <w:pPr>
        <w:spacing w:line="240" w:lineRule="auto"/>
        <w:rPr>
          <w:rFonts w:asciiTheme="minorHAnsi" w:eastAsia="Times New Roman" w:hAnsiTheme="minorHAnsi" w:cs="Times New Roman"/>
          <w:bCs/>
          <w:color w:val="25316C"/>
          <w:sz w:val="24"/>
        </w:rPr>
      </w:pPr>
    </w:p>
    <w:p w14:paraId="750F10CB" w14:textId="77777777" w:rsidR="00353005" w:rsidRPr="008422E6" w:rsidRDefault="00353005" w:rsidP="003356AE">
      <w:pPr>
        <w:pStyle w:val="VAHeadingLevel2"/>
        <w:spacing w:line="240" w:lineRule="auto"/>
      </w:pPr>
      <w:r w:rsidRPr="008422E6">
        <w:t>Gender Pay Gap</w:t>
      </w:r>
    </w:p>
    <w:p w14:paraId="3DCF3C2E" w14:textId="79FDA9F8" w:rsidR="008422E6" w:rsidRPr="00897B8B" w:rsidRDefault="008422E6" w:rsidP="00192384">
      <w:bookmarkStart w:id="23" w:name="_Hlk160092746"/>
      <w:r w:rsidRPr="008422E6">
        <w:t>It is statutory for organisations with 250 or more employees to report annually on their gender pay gap</w:t>
      </w:r>
      <w:r w:rsidR="008306B8" w:rsidRPr="008422E6">
        <w:t xml:space="preserve">.  </w:t>
      </w:r>
      <w:r w:rsidRPr="008422E6">
        <w:t xml:space="preserve">The latest report for the group shows </w:t>
      </w:r>
      <w:r w:rsidRPr="00897B8B">
        <w:t>that 50.88% of the workforce is female.</w:t>
      </w:r>
    </w:p>
    <w:p w14:paraId="52448800" w14:textId="77777777" w:rsidR="008422E6" w:rsidRPr="00897B8B" w:rsidRDefault="008422E6" w:rsidP="00192384"/>
    <w:p w14:paraId="2A22594B" w14:textId="3100DFEF" w:rsidR="008422E6" w:rsidRDefault="008422E6" w:rsidP="00192384">
      <w:r w:rsidRPr="00897B8B">
        <w:t>The report also shows the difference in the average pay between all men and women in a workforce</w:t>
      </w:r>
      <w:r w:rsidR="008306B8" w:rsidRPr="00897B8B">
        <w:t xml:space="preserve">.  </w:t>
      </w:r>
      <w:r w:rsidRPr="00897B8B">
        <w:t>Our mean average gender pay gap is 8.13% which lower than the national average of 13.1% and an improvement on the previous year.</w:t>
      </w:r>
    </w:p>
    <w:p w14:paraId="02C85E4D" w14:textId="77777777" w:rsidR="008422E6" w:rsidRDefault="008422E6" w:rsidP="00192384"/>
    <w:p w14:paraId="2917CE0A" w14:textId="5FA79A40" w:rsidR="007C5B2D" w:rsidRDefault="008422E6" w:rsidP="00192384">
      <w:r>
        <w:t>Northamptonshire OPFCC and OCC support the fair treatment and reward of all staff, irrespective of gender</w:t>
      </w:r>
      <w:r w:rsidR="008306B8">
        <w:t xml:space="preserve">.  </w:t>
      </w:r>
      <w:r>
        <w:t>Our pay approach is based on the principles of consistency, fairness and transparency, supporting the fair treatment and reward of all staff, irrespective of gender.</w:t>
      </w:r>
    </w:p>
    <w:p w14:paraId="08A9A5F4" w14:textId="56CD9D49" w:rsidR="00353005" w:rsidRPr="000E2186" w:rsidRDefault="009F6F4C" w:rsidP="003356AE">
      <w:pPr>
        <w:spacing w:line="240" w:lineRule="auto"/>
        <w:rPr>
          <w:highlight w:val="yellow"/>
        </w:rPr>
      </w:pPr>
      <w:r w:rsidRPr="00BE750E">
        <w:rPr>
          <w:noProof/>
        </w:rPr>
        <w:lastRenderedPageBreak/>
        <w:drawing>
          <wp:inline distT="0" distB="0" distL="0" distR="0" wp14:anchorId="1B18FE63" wp14:editId="24804519">
            <wp:extent cx="2867660" cy="1969143"/>
            <wp:effectExtent l="0" t="0" r="8890" b="0"/>
            <wp:docPr id="1416276068" name="Picture 1" descr="A couple of people holding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76068" name="Picture 1" descr="A couple of people holding signs&#10;&#10;AI-generated content may be incorrect."/>
                    <pic:cNvPicPr/>
                  </pic:nvPicPr>
                  <pic:blipFill>
                    <a:blip r:embed="rId21"/>
                    <a:stretch>
                      <a:fillRect/>
                    </a:stretch>
                  </pic:blipFill>
                  <pic:spPr>
                    <a:xfrm>
                      <a:off x="0" y="0"/>
                      <a:ext cx="2867660" cy="1969143"/>
                    </a:xfrm>
                    <a:prstGeom prst="rect">
                      <a:avLst/>
                    </a:prstGeom>
                  </pic:spPr>
                </pic:pic>
              </a:graphicData>
            </a:graphic>
          </wp:inline>
        </w:drawing>
      </w:r>
    </w:p>
    <w:p w14:paraId="6F502A8D" w14:textId="77777777" w:rsidR="00353005" w:rsidRDefault="00353005" w:rsidP="003356AE">
      <w:pPr>
        <w:spacing w:line="240" w:lineRule="auto"/>
      </w:pPr>
    </w:p>
    <w:p w14:paraId="41BC5555" w14:textId="77777777" w:rsidR="003D6C68" w:rsidRDefault="003D6C68" w:rsidP="003356AE">
      <w:pPr>
        <w:pStyle w:val="VAHeadingLevel2"/>
        <w:spacing w:line="240" w:lineRule="auto"/>
      </w:pPr>
      <w:r>
        <w:t>Ethnicity Pay Gap</w:t>
      </w:r>
    </w:p>
    <w:p w14:paraId="71226A9A" w14:textId="77777777" w:rsidR="003D6C68" w:rsidRPr="00173F61" w:rsidRDefault="003D6C68" w:rsidP="00192384">
      <w:r w:rsidRPr="00173F61">
        <w:t>The Ethnicity Pay Gap (EPG) is different to equal pay, it shows the difference in the average hourly rate of pay between Black, Asian and Minority Ethnic employees, and White employees.  This information is generally expressed as a percentage of average White employees’ earnings, calculated using the same methodology as for gender pay gap reporting.</w:t>
      </w:r>
    </w:p>
    <w:p w14:paraId="50609626" w14:textId="77777777" w:rsidR="003D6C68" w:rsidRPr="00173F61" w:rsidRDefault="003D6C68" w:rsidP="00192384"/>
    <w:p w14:paraId="246D018E" w14:textId="77777777" w:rsidR="003D6C68" w:rsidRDefault="003D6C68" w:rsidP="00192384">
      <w:r w:rsidRPr="00173F61">
        <w:t xml:space="preserve">Northamptonshire Police support the fair treatment and reward of all staff, irrespective of ethnicity. </w:t>
      </w:r>
      <w:r>
        <w:t xml:space="preserve"> </w:t>
      </w:r>
      <w:r w:rsidRPr="00173F61">
        <w:t>Our pay approach is based on the principles of consistency, fairness and transparency, supporting the fair treatment and reward of all staff, irrespective of ethnicity.</w:t>
      </w:r>
    </w:p>
    <w:p w14:paraId="04E15E96" w14:textId="77777777" w:rsidR="003D6C68" w:rsidRDefault="003D6C68" w:rsidP="00192384">
      <w:pPr>
        <w:rPr>
          <w:rFonts w:cstheme="minorHAnsi"/>
        </w:rPr>
      </w:pPr>
    </w:p>
    <w:tbl>
      <w:tblPr>
        <w:tblW w:w="4540" w:type="dxa"/>
        <w:tblLook w:val="04A0" w:firstRow="1" w:lastRow="0" w:firstColumn="1" w:lastColumn="0" w:noHBand="0" w:noVBand="1"/>
      </w:tblPr>
      <w:tblGrid>
        <w:gridCol w:w="871"/>
        <w:gridCol w:w="740"/>
        <w:gridCol w:w="761"/>
        <w:gridCol w:w="740"/>
        <w:gridCol w:w="740"/>
        <w:gridCol w:w="740"/>
      </w:tblGrid>
      <w:tr w:rsidR="003C21A0" w:rsidRPr="003C21A0" w14:paraId="2E5E9259" w14:textId="77777777" w:rsidTr="003C21A0">
        <w:trPr>
          <w:trHeight w:val="480"/>
        </w:trPr>
        <w:tc>
          <w:tcPr>
            <w:tcW w:w="840" w:type="dxa"/>
            <w:tcBorders>
              <w:top w:val="nil"/>
              <w:left w:val="nil"/>
              <w:bottom w:val="nil"/>
              <w:right w:val="nil"/>
            </w:tcBorders>
            <w:shd w:val="clear" w:color="000000" w:fill="000099"/>
            <w:vAlign w:val="center"/>
            <w:hideMark/>
          </w:tcPr>
          <w:p w14:paraId="4A3D5AA5" w14:textId="77777777" w:rsidR="003C21A0" w:rsidRPr="003C21A0" w:rsidRDefault="003C21A0" w:rsidP="003356AE">
            <w:pPr>
              <w:spacing w:line="240" w:lineRule="auto"/>
              <w:jc w:val="left"/>
              <w:rPr>
                <w:rFonts w:eastAsia="Times New Roman" w:cs="Calibri"/>
                <w:b/>
                <w:bCs/>
                <w:color w:val="FFFFFF"/>
                <w:sz w:val="18"/>
                <w:szCs w:val="18"/>
                <w:lang w:eastAsia="en-GB"/>
              </w:rPr>
            </w:pPr>
            <w:r w:rsidRPr="003C21A0">
              <w:rPr>
                <w:rFonts w:eastAsia="Times New Roman" w:cs="Calibri"/>
                <w:b/>
                <w:bCs/>
                <w:color w:val="FFFFFF"/>
                <w:sz w:val="18"/>
                <w:szCs w:val="18"/>
                <w:lang w:eastAsia="en-GB"/>
              </w:rPr>
              <w:t>Mean Pay Gaps</w:t>
            </w:r>
          </w:p>
        </w:tc>
        <w:tc>
          <w:tcPr>
            <w:tcW w:w="740" w:type="dxa"/>
            <w:tcBorders>
              <w:top w:val="nil"/>
              <w:left w:val="nil"/>
              <w:bottom w:val="nil"/>
              <w:right w:val="nil"/>
            </w:tcBorders>
            <w:shd w:val="clear" w:color="000000" w:fill="000099"/>
            <w:noWrap/>
            <w:vAlign w:val="center"/>
            <w:hideMark/>
          </w:tcPr>
          <w:p w14:paraId="2ECB4016" w14:textId="77777777" w:rsidR="003C21A0" w:rsidRPr="003C21A0" w:rsidRDefault="003C21A0" w:rsidP="003356AE">
            <w:pPr>
              <w:spacing w:line="240" w:lineRule="auto"/>
              <w:jc w:val="center"/>
              <w:rPr>
                <w:rFonts w:eastAsia="Times New Roman" w:cs="Calibri"/>
                <w:b/>
                <w:bCs/>
                <w:color w:val="FFFFFF"/>
                <w:sz w:val="18"/>
                <w:szCs w:val="18"/>
                <w:lang w:eastAsia="en-GB"/>
              </w:rPr>
            </w:pPr>
            <w:r w:rsidRPr="003C21A0">
              <w:rPr>
                <w:rFonts w:eastAsia="Times New Roman" w:cs="Calibri"/>
                <w:b/>
                <w:bCs/>
                <w:color w:val="FFFFFF"/>
                <w:sz w:val="18"/>
                <w:szCs w:val="18"/>
                <w:lang w:eastAsia="en-GB"/>
              </w:rPr>
              <w:t>White</w:t>
            </w:r>
          </w:p>
        </w:tc>
        <w:tc>
          <w:tcPr>
            <w:tcW w:w="740" w:type="dxa"/>
            <w:tcBorders>
              <w:top w:val="nil"/>
              <w:left w:val="nil"/>
              <w:bottom w:val="nil"/>
              <w:right w:val="nil"/>
            </w:tcBorders>
            <w:shd w:val="clear" w:color="000000" w:fill="000099"/>
            <w:noWrap/>
            <w:vAlign w:val="center"/>
            <w:hideMark/>
          </w:tcPr>
          <w:p w14:paraId="46666528" w14:textId="77777777" w:rsidR="003C21A0" w:rsidRPr="003C21A0" w:rsidRDefault="003C21A0" w:rsidP="003356AE">
            <w:pPr>
              <w:spacing w:line="240" w:lineRule="auto"/>
              <w:jc w:val="center"/>
              <w:rPr>
                <w:rFonts w:eastAsia="Times New Roman" w:cs="Calibri"/>
                <w:b/>
                <w:bCs/>
                <w:color w:val="FFFFFF"/>
                <w:sz w:val="18"/>
                <w:szCs w:val="18"/>
                <w:lang w:eastAsia="en-GB"/>
              </w:rPr>
            </w:pPr>
            <w:r w:rsidRPr="003C21A0">
              <w:rPr>
                <w:rFonts w:eastAsia="Times New Roman" w:cs="Calibri"/>
                <w:b/>
                <w:bCs/>
                <w:color w:val="FFFFFF"/>
                <w:sz w:val="18"/>
                <w:szCs w:val="18"/>
                <w:lang w:eastAsia="en-GB"/>
              </w:rPr>
              <w:t>Asian</w:t>
            </w:r>
          </w:p>
        </w:tc>
        <w:tc>
          <w:tcPr>
            <w:tcW w:w="740" w:type="dxa"/>
            <w:tcBorders>
              <w:top w:val="nil"/>
              <w:left w:val="nil"/>
              <w:bottom w:val="nil"/>
              <w:right w:val="nil"/>
            </w:tcBorders>
            <w:shd w:val="clear" w:color="000000" w:fill="000099"/>
            <w:noWrap/>
            <w:vAlign w:val="center"/>
            <w:hideMark/>
          </w:tcPr>
          <w:p w14:paraId="61438F37" w14:textId="77777777" w:rsidR="003C21A0" w:rsidRPr="003C21A0" w:rsidRDefault="003C21A0" w:rsidP="003356AE">
            <w:pPr>
              <w:spacing w:line="240" w:lineRule="auto"/>
              <w:jc w:val="center"/>
              <w:rPr>
                <w:rFonts w:eastAsia="Times New Roman" w:cs="Calibri"/>
                <w:b/>
                <w:bCs/>
                <w:color w:val="FFFFFF"/>
                <w:sz w:val="18"/>
                <w:szCs w:val="18"/>
                <w:lang w:eastAsia="en-GB"/>
              </w:rPr>
            </w:pPr>
            <w:r w:rsidRPr="003C21A0">
              <w:rPr>
                <w:rFonts w:eastAsia="Times New Roman" w:cs="Calibri"/>
                <w:b/>
                <w:bCs/>
                <w:color w:val="FFFFFF"/>
                <w:sz w:val="18"/>
                <w:szCs w:val="18"/>
                <w:lang w:eastAsia="en-GB"/>
              </w:rPr>
              <w:t>Black</w:t>
            </w:r>
          </w:p>
        </w:tc>
        <w:tc>
          <w:tcPr>
            <w:tcW w:w="740" w:type="dxa"/>
            <w:tcBorders>
              <w:top w:val="nil"/>
              <w:left w:val="nil"/>
              <w:bottom w:val="nil"/>
              <w:right w:val="nil"/>
            </w:tcBorders>
            <w:shd w:val="clear" w:color="000000" w:fill="000099"/>
            <w:noWrap/>
            <w:vAlign w:val="center"/>
            <w:hideMark/>
          </w:tcPr>
          <w:p w14:paraId="77DA0918" w14:textId="77777777" w:rsidR="003C21A0" w:rsidRPr="003C21A0" w:rsidRDefault="003C21A0" w:rsidP="003356AE">
            <w:pPr>
              <w:spacing w:line="240" w:lineRule="auto"/>
              <w:jc w:val="center"/>
              <w:rPr>
                <w:rFonts w:eastAsia="Times New Roman" w:cs="Calibri"/>
                <w:b/>
                <w:bCs/>
                <w:color w:val="FFFFFF"/>
                <w:sz w:val="18"/>
                <w:szCs w:val="18"/>
                <w:lang w:eastAsia="en-GB"/>
              </w:rPr>
            </w:pPr>
            <w:r w:rsidRPr="003C21A0">
              <w:rPr>
                <w:rFonts w:eastAsia="Times New Roman" w:cs="Calibri"/>
                <w:b/>
                <w:bCs/>
                <w:color w:val="FFFFFF"/>
                <w:sz w:val="18"/>
                <w:szCs w:val="18"/>
                <w:lang w:eastAsia="en-GB"/>
              </w:rPr>
              <w:t>Mixed</w:t>
            </w:r>
          </w:p>
        </w:tc>
        <w:tc>
          <w:tcPr>
            <w:tcW w:w="740" w:type="dxa"/>
            <w:tcBorders>
              <w:top w:val="nil"/>
              <w:left w:val="nil"/>
              <w:bottom w:val="nil"/>
              <w:right w:val="nil"/>
            </w:tcBorders>
            <w:shd w:val="clear" w:color="000000" w:fill="000099"/>
            <w:vAlign w:val="center"/>
            <w:hideMark/>
          </w:tcPr>
          <w:p w14:paraId="029BCEF1" w14:textId="77777777" w:rsidR="003C21A0" w:rsidRPr="003C21A0" w:rsidRDefault="003C21A0" w:rsidP="003356AE">
            <w:pPr>
              <w:spacing w:line="240" w:lineRule="auto"/>
              <w:jc w:val="center"/>
              <w:rPr>
                <w:rFonts w:eastAsia="Times New Roman" w:cs="Calibri"/>
                <w:b/>
                <w:bCs/>
                <w:color w:val="FFFFFF"/>
                <w:sz w:val="18"/>
                <w:szCs w:val="18"/>
                <w:lang w:eastAsia="en-GB"/>
              </w:rPr>
            </w:pPr>
            <w:r w:rsidRPr="003C21A0">
              <w:rPr>
                <w:rFonts w:eastAsia="Times New Roman" w:cs="Calibri"/>
                <w:b/>
                <w:bCs/>
                <w:color w:val="FFFFFF"/>
                <w:sz w:val="18"/>
                <w:szCs w:val="18"/>
                <w:lang w:eastAsia="en-GB"/>
              </w:rPr>
              <w:t>All Other</w:t>
            </w:r>
          </w:p>
        </w:tc>
      </w:tr>
      <w:tr w:rsidR="003C21A0" w:rsidRPr="003C21A0" w14:paraId="68C727AF" w14:textId="77777777" w:rsidTr="003C21A0">
        <w:trPr>
          <w:trHeight w:val="288"/>
        </w:trPr>
        <w:tc>
          <w:tcPr>
            <w:tcW w:w="840" w:type="dxa"/>
            <w:tcBorders>
              <w:top w:val="nil"/>
              <w:left w:val="nil"/>
              <w:bottom w:val="nil"/>
              <w:right w:val="nil"/>
            </w:tcBorders>
            <w:shd w:val="clear" w:color="000000" w:fill="FFFFFF"/>
            <w:vAlign w:val="center"/>
            <w:hideMark/>
          </w:tcPr>
          <w:p w14:paraId="7D212CE8" w14:textId="77777777" w:rsidR="003C21A0" w:rsidRPr="003C21A0" w:rsidRDefault="003C21A0" w:rsidP="003356AE">
            <w:pPr>
              <w:spacing w:line="240" w:lineRule="auto"/>
              <w:jc w:val="left"/>
              <w:rPr>
                <w:rFonts w:eastAsia="Times New Roman" w:cs="Calibri"/>
                <w:color w:val="000000"/>
                <w:sz w:val="18"/>
                <w:szCs w:val="18"/>
                <w:lang w:eastAsia="en-GB"/>
              </w:rPr>
            </w:pPr>
            <w:r w:rsidRPr="003C21A0">
              <w:rPr>
                <w:rFonts w:eastAsia="Times New Roman" w:cstheme="minorHAnsi"/>
                <w:color w:val="000000"/>
                <w:sz w:val="18"/>
                <w:szCs w:val="18"/>
                <w:lang w:eastAsia="en-GB"/>
              </w:rPr>
              <w:t>Officers</w:t>
            </w:r>
          </w:p>
        </w:tc>
        <w:tc>
          <w:tcPr>
            <w:tcW w:w="740" w:type="dxa"/>
            <w:tcBorders>
              <w:top w:val="nil"/>
              <w:left w:val="nil"/>
              <w:bottom w:val="nil"/>
              <w:right w:val="nil"/>
            </w:tcBorders>
            <w:shd w:val="clear" w:color="000000" w:fill="FFFFFF"/>
            <w:noWrap/>
            <w:vAlign w:val="center"/>
            <w:hideMark/>
          </w:tcPr>
          <w:p w14:paraId="7CC4C98C" w14:textId="77777777" w:rsidR="003C21A0" w:rsidRPr="003C21A0" w:rsidRDefault="003C21A0" w:rsidP="003356AE">
            <w:pPr>
              <w:spacing w:line="240" w:lineRule="auto"/>
              <w:jc w:val="center"/>
              <w:rPr>
                <w:rFonts w:eastAsia="Times New Roman" w:cs="Calibri"/>
                <w:color w:val="000000"/>
                <w:sz w:val="18"/>
                <w:szCs w:val="18"/>
                <w:lang w:eastAsia="en-GB"/>
              </w:rPr>
            </w:pPr>
            <w:r w:rsidRPr="003C21A0">
              <w:rPr>
                <w:rFonts w:eastAsia="Times New Roman" w:cstheme="minorHAnsi"/>
                <w:color w:val="000000"/>
                <w:sz w:val="18"/>
                <w:szCs w:val="18"/>
                <w:lang w:eastAsia="en-GB"/>
              </w:rPr>
              <w:t>£21.83</w:t>
            </w:r>
          </w:p>
        </w:tc>
        <w:tc>
          <w:tcPr>
            <w:tcW w:w="740" w:type="dxa"/>
            <w:tcBorders>
              <w:top w:val="nil"/>
              <w:left w:val="nil"/>
              <w:bottom w:val="nil"/>
              <w:right w:val="nil"/>
            </w:tcBorders>
            <w:shd w:val="clear" w:color="000000" w:fill="FFFFFF"/>
            <w:noWrap/>
            <w:vAlign w:val="center"/>
            <w:hideMark/>
          </w:tcPr>
          <w:p w14:paraId="2474F713"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£18.42</w:t>
            </w:r>
          </w:p>
        </w:tc>
        <w:tc>
          <w:tcPr>
            <w:tcW w:w="740" w:type="dxa"/>
            <w:tcBorders>
              <w:top w:val="nil"/>
              <w:left w:val="nil"/>
              <w:bottom w:val="nil"/>
              <w:right w:val="nil"/>
            </w:tcBorders>
            <w:shd w:val="clear" w:color="000000" w:fill="FFFFFF"/>
            <w:noWrap/>
            <w:vAlign w:val="center"/>
            <w:hideMark/>
          </w:tcPr>
          <w:p w14:paraId="36374714"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£21.63</w:t>
            </w:r>
          </w:p>
        </w:tc>
        <w:tc>
          <w:tcPr>
            <w:tcW w:w="740" w:type="dxa"/>
            <w:tcBorders>
              <w:top w:val="nil"/>
              <w:left w:val="nil"/>
              <w:bottom w:val="nil"/>
              <w:right w:val="nil"/>
            </w:tcBorders>
            <w:shd w:val="clear" w:color="000000" w:fill="FFFFFF"/>
            <w:noWrap/>
            <w:vAlign w:val="center"/>
            <w:hideMark/>
          </w:tcPr>
          <w:p w14:paraId="01AEA66E"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£21.32</w:t>
            </w:r>
          </w:p>
        </w:tc>
        <w:tc>
          <w:tcPr>
            <w:tcW w:w="740" w:type="dxa"/>
            <w:tcBorders>
              <w:top w:val="nil"/>
              <w:left w:val="nil"/>
              <w:bottom w:val="nil"/>
              <w:right w:val="nil"/>
            </w:tcBorders>
            <w:shd w:val="clear" w:color="000000" w:fill="FFFFFF"/>
            <w:noWrap/>
            <w:vAlign w:val="center"/>
            <w:hideMark/>
          </w:tcPr>
          <w:p w14:paraId="24338D79"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£20.98</w:t>
            </w:r>
          </w:p>
        </w:tc>
      </w:tr>
      <w:tr w:rsidR="003C21A0" w:rsidRPr="003C21A0" w14:paraId="47BDB004" w14:textId="77777777" w:rsidTr="003C21A0">
        <w:trPr>
          <w:trHeight w:val="480"/>
        </w:trPr>
        <w:tc>
          <w:tcPr>
            <w:tcW w:w="840" w:type="dxa"/>
            <w:tcBorders>
              <w:top w:val="nil"/>
              <w:left w:val="nil"/>
              <w:bottom w:val="nil"/>
              <w:right w:val="nil"/>
            </w:tcBorders>
            <w:shd w:val="clear" w:color="000000" w:fill="FFFFFF"/>
            <w:vAlign w:val="center"/>
            <w:hideMark/>
          </w:tcPr>
          <w:p w14:paraId="3B4A556B" w14:textId="77777777" w:rsidR="003C21A0" w:rsidRPr="003C21A0" w:rsidRDefault="003C21A0" w:rsidP="003356AE">
            <w:pPr>
              <w:spacing w:line="240" w:lineRule="auto"/>
              <w:jc w:val="lef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Ethnicity Vs White</w:t>
            </w:r>
          </w:p>
        </w:tc>
        <w:tc>
          <w:tcPr>
            <w:tcW w:w="740" w:type="dxa"/>
            <w:tcBorders>
              <w:top w:val="nil"/>
              <w:left w:val="nil"/>
              <w:bottom w:val="nil"/>
              <w:right w:val="nil"/>
            </w:tcBorders>
            <w:shd w:val="clear" w:color="000000" w:fill="FFFFFF"/>
            <w:noWrap/>
            <w:vAlign w:val="center"/>
            <w:hideMark/>
          </w:tcPr>
          <w:p w14:paraId="2DBBB27A" w14:textId="77777777" w:rsidR="003C21A0" w:rsidRPr="003C21A0" w:rsidRDefault="003C21A0" w:rsidP="003356AE">
            <w:pPr>
              <w:spacing w:line="240" w:lineRule="auto"/>
              <w:jc w:val="center"/>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w:t>
            </w:r>
          </w:p>
        </w:tc>
        <w:tc>
          <w:tcPr>
            <w:tcW w:w="740" w:type="dxa"/>
            <w:tcBorders>
              <w:top w:val="nil"/>
              <w:left w:val="nil"/>
              <w:bottom w:val="nil"/>
              <w:right w:val="nil"/>
            </w:tcBorders>
            <w:shd w:val="clear" w:color="000000" w:fill="FFFFFF"/>
            <w:noWrap/>
            <w:vAlign w:val="center"/>
            <w:hideMark/>
          </w:tcPr>
          <w:p w14:paraId="14BACC89" w14:textId="77777777" w:rsidR="003C21A0" w:rsidRPr="003C21A0" w:rsidRDefault="003C21A0" w:rsidP="003356AE">
            <w:pPr>
              <w:spacing w:line="240" w:lineRule="auto"/>
              <w:jc w:val="righ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15.64%</w:t>
            </w:r>
          </w:p>
        </w:tc>
        <w:tc>
          <w:tcPr>
            <w:tcW w:w="740" w:type="dxa"/>
            <w:tcBorders>
              <w:top w:val="nil"/>
              <w:left w:val="nil"/>
              <w:bottom w:val="nil"/>
              <w:right w:val="nil"/>
            </w:tcBorders>
            <w:shd w:val="clear" w:color="000000" w:fill="FFFFFF"/>
            <w:noWrap/>
            <w:vAlign w:val="center"/>
            <w:hideMark/>
          </w:tcPr>
          <w:p w14:paraId="5D4571EB" w14:textId="77777777" w:rsidR="003C21A0" w:rsidRPr="003C21A0" w:rsidRDefault="003C21A0" w:rsidP="003356AE">
            <w:pPr>
              <w:spacing w:line="240" w:lineRule="auto"/>
              <w:jc w:val="righ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0.92%</w:t>
            </w:r>
          </w:p>
        </w:tc>
        <w:tc>
          <w:tcPr>
            <w:tcW w:w="740" w:type="dxa"/>
            <w:tcBorders>
              <w:top w:val="nil"/>
              <w:left w:val="nil"/>
              <w:bottom w:val="nil"/>
              <w:right w:val="nil"/>
            </w:tcBorders>
            <w:shd w:val="clear" w:color="000000" w:fill="FFFFFF"/>
            <w:noWrap/>
            <w:vAlign w:val="center"/>
            <w:hideMark/>
          </w:tcPr>
          <w:p w14:paraId="4C302F85" w14:textId="77777777" w:rsidR="003C21A0" w:rsidRPr="003C21A0" w:rsidRDefault="003C21A0" w:rsidP="003356AE">
            <w:pPr>
              <w:spacing w:line="240" w:lineRule="auto"/>
              <w:jc w:val="righ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2.34%</w:t>
            </w:r>
          </w:p>
        </w:tc>
        <w:tc>
          <w:tcPr>
            <w:tcW w:w="740" w:type="dxa"/>
            <w:tcBorders>
              <w:top w:val="nil"/>
              <w:left w:val="nil"/>
              <w:bottom w:val="nil"/>
              <w:right w:val="nil"/>
            </w:tcBorders>
            <w:shd w:val="clear" w:color="000000" w:fill="FFFFFF"/>
            <w:noWrap/>
            <w:vAlign w:val="center"/>
            <w:hideMark/>
          </w:tcPr>
          <w:p w14:paraId="6F9BD16A" w14:textId="77777777" w:rsidR="003C21A0" w:rsidRPr="003C21A0" w:rsidRDefault="003C21A0" w:rsidP="003356AE">
            <w:pPr>
              <w:spacing w:line="240" w:lineRule="auto"/>
              <w:jc w:val="righ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3.91%</w:t>
            </w:r>
          </w:p>
        </w:tc>
      </w:tr>
      <w:tr w:rsidR="003C21A0" w:rsidRPr="003C21A0" w14:paraId="49B786CF" w14:textId="77777777" w:rsidTr="003C21A0">
        <w:trPr>
          <w:trHeight w:val="288"/>
        </w:trPr>
        <w:tc>
          <w:tcPr>
            <w:tcW w:w="840" w:type="dxa"/>
            <w:tcBorders>
              <w:top w:val="single" w:sz="4" w:space="0" w:color="auto"/>
              <w:left w:val="nil"/>
              <w:bottom w:val="nil"/>
              <w:right w:val="nil"/>
            </w:tcBorders>
            <w:shd w:val="clear" w:color="000000" w:fill="FFFFFF"/>
            <w:vAlign w:val="center"/>
            <w:hideMark/>
          </w:tcPr>
          <w:p w14:paraId="5316617E" w14:textId="77777777" w:rsidR="003C21A0" w:rsidRPr="003C21A0" w:rsidRDefault="003C21A0" w:rsidP="003356AE">
            <w:pPr>
              <w:spacing w:line="240" w:lineRule="auto"/>
              <w:jc w:val="left"/>
              <w:rPr>
                <w:rFonts w:eastAsia="Times New Roman" w:cs="Calibri"/>
                <w:color w:val="000000"/>
                <w:sz w:val="18"/>
                <w:szCs w:val="18"/>
                <w:lang w:eastAsia="en-GB"/>
              </w:rPr>
            </w:pPr>
            <w:r w:rsidRPr="003C21A0">
              <w:rPr>
                <w:rFonts w:eastAsia="Times New Roman" w:cs="Calibri"/>
                <w:color w:val="000000"/>
                <w:sz w:val="18"/>
                <w:szCs w:val="18"/>
                <w:lang w:eastAsia="en-GB"/>
              </w:rPr>
              <w:t> </w:t>
            </w:r>
          </w:p>
        </w:tc>
        <w:tc>
          <w:tcPr>
            <w:tcW w:w="740" w:type="dxa"/>
            <w:tcBorders>
              <w:top w:val="single" w:sz="4" w:space="0" w:color="auto"/>
              <w:left w:val="nil"/>
              <w:bottom w:val="nil"/>
              <w:right w:val="nil"/>
            </w:tcBorders>
            <w:shd w:val="clear" w:color="000000" w:fill="FFFFFF"/>
            <w:noWrap/>
            <w:vAlign w:val="center"/>
            <w:hideMark/>
          </w:tcPr>
          <w:p w14:paraId="1CA70906" w14:textId="77777777" w:rsidR="003C21A0" w:rsidRPr="003C21A0" w:rsidRDefault="003C21A0" w:rsidP="003356AE">
            <w:pPr>
              <w:spacing w:line="240" w:lineRule="auto"/>
              <w:jc w:val="center"/>
              <w:rPr>
                <w:rFonts w:eastAsia="Times New Roman" w:cs="Calibri"/>
                <w:color w:val="000000"/>
                <w:sz w:val="18"/>
                <w:szCs w:val="18"/>
                <w:lang w:eastAsia="en-GB"/>
              </w:rPr>
            </w:pPr>
            <w:r w:rsidRPr="003C21A0">
              <w:rPr>
                <w:rFonts w:eastAsia="Times New Roman" w:cs="Calibri"/>
                <w:color w:val="000000"/>
                <w:sz w:val="18"/>
                <w:szCs w:val="18"/>
                <w:lang w:eastAsia="en-GB"/>
              </w:rPr>
              <w:t> </w:t>
            </w:r>
          </w:p>
        </w:tc>
        <w:tc>
          <w:tcPr>
            <w:tcW w:w="740" w:type="dxa"/>
            <w:tcBorders>
              <w:top w:val="single" w:sz="4" w:space="0" w:color="auto"/>
              <w:left w:val="nil"/>
              <w:bottom w:val="nil"/>
              <w:right w:val="nil"/>
            </w:tcBorders>
            <w:shd w:val="clear" w:color="000000" w:fill="FFFFFF"/>
            <w:noWrap/>
            <w:vAlign w:val="center"/>
            <w:hideMark/>
          </w:tcPr>
          <w:p w14:paraId="4F11F462" w14:textId="77777777" w:rsidR="003C21A0" w:rsidRPr="003C21A0" w:rsidRDefault="003C21A0" w:rsidP="003356AE">
            <w:pPr>
              <w:spacing w:line="240" w:lineRule="auto"/>
              <w:jc w:val="left"/>
              <w:rPr>
                <w:rFonts w:eastAsia="Times New Roman" w:cs="Calibri"/>
                <w:color w:val="000000"/>
                <w:sz w:val="18"/>
                <w:szCs w:val="18"/>
                <w:lang w:eastAsia="en-GB"/>
              </w:rPr>
            </w:pPr>
            <w:r w:rsidRPr="003C21A0">
              <w:rPr>
                <w:rFonts w:eastAsia="Times New Roman" w:cs="Calibri"/>
                <w:color w:val="000000"/>
                <w:sz w:val="18"/>
                <w:szCs w:val="18"/>
                <w:lang w:eastAsia="en-GB"/>
              </w:rPr>
              <w:t> </w:t>
            </w:r>
          </w:p>
        </w:tc>
        <w:tc>
          <w:tcPr>
            <w:tcW w:w="740" w:type="dxa"/>
            <w:tcBorders>
              <w:top w:val="single" w:sz="4" w:space="0" w:color="auto"/>
              <w:left w:val="nil"/>
              <w:bottom w:val="nil"/>
              <w:right w:val="nil"/>
            </w:tcBorders>
            <w:shd w:val="clear" w:color="000000" w:fill="FFFFFF"/>
            <w:noWrap/>
            <w:vAlign w:val="center"/>
            <w:hideMark/>
          </w:tcPr>
          <w:p w14:paraId="7ED93F32" w14:textId="77777777" w:rsidR="003C21A0" w:rsidRPr="003C21A0" w:rsidRDefault="003C21A0" w:rsidP="003356AE">
            <w:pPr>
              <w:spacing w:line="240" w:lineRule="auto"/>
              <w:jc w:val="left"/>
              <w:rPr>
                <w:rFonts w:eastAsia="Times New Roman" w:cs="Calibri"/>
                <w:color w:val="000000"/>
                <w:sz w:val="18"/>
                <w:szCs w:val="18"/>
                <w:lang w:eastAsia="en-GB"/>
              </w:rPr>
            </w:pPr>
            <w:r w:rsidRPr="003C21A0">
              <w:rPr>
                <w:rFonts w:eastAsia="Times New Roman" w:cs="Calibri"/>
                <w:color w:val="000000"/>
                <w:sz w:val="18"/>
                <w:szCs w:val="18"/>
                <w:lang w:eastAsia="en-GB"/>
              </w:rPr>
              <w:t> </w:t>
            </w:r>
          </w:p>
        </w:tc>
        <w:tc>
          <w:tcPr>
            <w:tcW w:w="740" w:type="dxa"/>
            <w:tcBorders>
              <w:top w:val="single" w:sz="4" w:space="0" w:color="auto"/>
              <w:left w:val="nil"/>
              <w:bottom w:val="nil"/>
              <w:right w:val="nil"/>
            </w:tcBorders>
            <w:shd w:val="clear" w:color="000000" w:fill="FFFFFF"/>
            <w:noWrap/>
            <w:vAlign w:val="center"/>
            <w:hideMark/>
          </w:tcPr>
          <w:p w14:paraId="6F5A5B12" w14:textId="77777777" w:rsidR="003C21A0" w:rsidRPr="003C21A0" w:rsidRDefault="003C21A0" w:rsidP="003356AE">
            <w:pPr>
              <w:spacing w:line="240" w:lineRule="auto"/>
              <w:jc w:val="left"/>
              <w:rPr>
                <w:rFonts w:eastAsia="Times New Roman" w:cs="Calibri"/>
                <w:color w:val="000000"/>
                <w:sz w:val="18"/>
                <w:szCs w:val="18"/>
                <w:lang w:eastAsia="en-GB"/>
              </w:rPr>
            </w:pPr>
            <w:r w:rsidRPr="003C21A0">
              <w:rPr>
                <w:rFonts w:eastAsia="Times New Roman" w:cs="Calibri"/>
                <w:color w:val="000000"/>
                <w:sz w:val="18"/>
                <w:szCs w:val="18"/>
                <w:lang w:eastAsia="en-GB"/>
              </w:rPr>
              <w:t> </w:t>
            </w:r>
          </w:p>
        </w:tc>
        <w:tc>
          <w:tcPr>
            <w:tcW w:w="740" w:type="dxa"/>
            <w:tcBorders>
              <w:top w:val="single" w:sz="4" w:space="0" w:color="auto"/>
              <w:left w:val="nil"/>
              <w:bottom w:val="nil"/>
              <w:right w:val="nil"/>
            </w:tcBorders>
            <w:shd w:val="clear" w:color="000000" w:fill="FFFFFF"/>
            <w:noWrap/>
            <w:vAlign w:val="center"/>
            <w:hideMark/>
          </w:tcPr>
          <w:p w14:paraId="7864AFC1" w14:textId="77777777" w:rsidR="003C21A0" w:rsidRPr="003C21A0" w:rsidRDefault="003C21A0" w:rsidP="003356AE">
            <w:pPr>
              <w:spacing w:line="240" w:lineRule="auto"/>
              <w:jc w:val="left"/>
              <w:rPr>
                <w:rFonts w:eastAsia="Times New Roman" w:cs="Calibri"/>
                <w:color w:val="000000"/>
                <w:sz w:val="18"/>
                <w:szCs w:val="18"/>
                <w:lang w:eastAsia="en-GB"/>
              </w:rPr>
            </w:pPr>
            <w:r w:rsidRPr="003C21A0">
              <w:rPr>
                <w:rFonts w:eastAsia="Times New Roman" w:cs="Calibri"/>
                <w:color w:val="000000"/>
                <w:sz w:val="18"/>
                <w:szCs w:val="18"/>
                <w:lang w:eastAsia="en-GB"/>
              </w:rPr>
              <w:t> </w:t>
            </w:r>
          </w:p>
        </w:tc>
      </w:tr>
      <w:tr w:rsidR="003C21A0" w:rsidRPr="003C21A0" w14:paraId="74FBEA83" w14:textId="77777777" w:rsidTr="003C21A0">
        <w:trPr>
          <w:trHeight w:val="288"/>
        </w:trPr>
        <w:tc>
          <w:tcPr>
            <w:tcW w:w="840" w:type="dxa"/>
            <w:tcBorders>
              <w:top w:val="nil"/>
              <w:left w:val="nil"/>
              <w:bottom w:val="nil"/>
              <w:right w:val="nil"/>
            </w:tcBorders>
            <w:shd w:val="clear" w:color="000000" w:fill="FFFFFF"/>
            <w:vAlign w:val="center"/>
            <w:hideMark/>
          </w:tcPr>
          <w:p w14:paraId="20BB8B3E" w14:textId="77777777" w:rsidR="003C21A0" w:rsidRPr="003C21A0" w:rsidRDefault="003C21A0" w:rsidP="003356AE">
            <w:pPr>
              <w:spacing w:line="240" w:lineRule="auto"/>
              <w:jc w:val="left"/>
              <w:rPr>
                <w:rFonts w:eastAsia="Times New Roman" w:cs="Calibri"/>
                <w:color w:val="000000"/>
                <w:sz w:val="18"/>
                <w:szCs w:val="18"/>
                <w:lang w:eastAsia="en-GB"/>
              </w:rPr>
            </w:pPr>
            <w:r w:rsidRPr="003C21A0">
              <w:rPr>
                <w:rFonts w:eastAsia="Times New Roman" w:cstheme="minorHAnsi"/>
                <w:color w:val="000000"/>
                <w:sz w:val="18"/>
                <w:szCs w:val="18"/>
                <w:lang w:eastAsia="en-GB"/>
              </w:rPr>
              <w:t>Staff</w:t>
            </w:r>
          </w:p>
        </w:tc>
        <w:tc>
          <w:tcPr>
            <w:tcW w:w="740" w:type="dxa"/>
            <w:tcBorders>
              <w:top w:val="nil"/>
              <w:left w:val="nil"/>
              <w:bottom w:val="nil"/>
              <w:right w:val="nil"/>
            </w:tcBorders>
            <w:shd w:val="clear" w:color="000000" w:fill="FFFFFF"/>
            <w:noWrap/>
            <w:vAlign w:val="center"/>
            <w:hideMark/>
          </w:tcPr>
          <w:p w14:paraId="55D98D68" w14:textId="77777777" w:rsidR="003C21A0" w:rsidRPr="003C21A0" w:rsidRDefault="003C21A0" w:rsidP="003356AE">
            <w:pPr>
              <w:spacing w:line="240" w:lineRule="auto"/>
              <w:jc w:val="center"/>
              <w:rPr>
                <w:rFonts w:eastAsia="Times New Roman" w:cs="Calibri"/>
                <w:color w:val="000000"/>
                <w:sz w:val="18"/>
                <w:szCs w:val="18"/>
                <w:lang w:eastAsia="en-GB"/>
              </w:rPr>
            </w:pPr>
            <w:r w:rsidRPr="003C21A0">
              <w:rPr>
                <w:rFonts w:eastAsia="Times New Roman" w:cstheme="minorHAnsi"/>
                <w:color w:val="000000"/>
                <w:sz w:val="18"/>
                <w:szCs w:val="18"/>
                <w:lang w:eastAsia="en-GB"/>
              </w:rPr>
              <w:t>£19.70</w:t>
            </w:r>
          </w:p>
        </w:tc>
        <w:tc>
          <w:tcPr>
            <w:tcW w:w="740" w:type="dxa"/>
            <w:tcBorders>
              <w:top w:val="nil"/>
              <w:left w:val="nil"/>
              <w:bottom w:val="nil"/>
              <w:right w:val="nil"/>
            </w:tcBorders>
            <w:shd w:val="clear" w:color="000000" w:fill="FFFFFF"/>
            <w:noWrap/>
            <w:vAlign w:val="center"/>
            <w:hideMark/>
          </w:tcPr>
          <w:p w14:paraId="1612BE5A"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£18.72</w:t>
            </w:r>
          </w:p>
        </w:tc>
        <w:tc>
          <w:tcPr>
            <w:tcW w:w="740" w:type="dxa"/>
            <w:tcBorders>
              <w:top w:val="nil"/>
              <w:left w:val="nil"/>
              <w:bottom w:val="nil"/>
              <w:right w:val="nil"/>
            </w:tcBorders>
            <w:shd w:val="clear" w:color="000000" w:fill="FFFFFF"/>
            <w:noWrap/>
            <w:vAlign w:val="center"/>
            <w:hideMark/>
          </w:tcPr>
          <w:p w14:paraId="681D47ED"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£20.17</w:t>
            </w:r>
          </w:p>
        </w:tc>
        <w:tc>
          <w:tcPr>
            <w:tcW w:w="740" w:type="dxa"/>
            <w:tcBorders>
              <w:top w:val="nil"/>
              <w:left w:val="nil"/>
              <w:bottom w:val="nil"/>
              <w:right w:val="nil"/>
            </w:tcBorders>
            <w:shd w:val="clear" w:color="000000" w:fill="FFFFFF"/>
            <w:noWrap/>
            <w:vAlign w:val="center"/>
            <w:hideMark/>
          </w:tcPr>
          <w:p w14:paraId="465D4902"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£19.73</w:t>
            </w:r>
          </w:p>
        </w:tc>
        <w:tc>
          <w:tcPr>
            <w:tcW w:w="740" w:type="dxa"/>
            <w:tcBorders>
              <w:top w:val="nil"/>
              <w:left w:val="nil"/>
              <w:bottom w:val="nil"/>
              <w:right w:val="nil"/>
            </w:tcBorders>
            <w:shd w:val="clear" w:color="000000" w:fill="FFFFFF"/>
            <w:noWrap/>
            <w:vAlign w:val="center"/>
            <w:hideMark/>
          </w:tcPr>
          <w:p w14:paraId="03C69983" w14:textId="77777777" w:rsidR="003C21A0" w:rsidRPr="003C21A0" w:rsidRDefault="003C21A0" w:rsidP="003356AE">
            <w:pPr>
              <w:spacing w:line="240" w:lineRule="auto"/>
              <w:jc w:val="right"/>
              <w:rPr>
                <w:rFonts w:eastAsia="Times New Roman" w:cs="Calibri"/>
                <w:color w:val="000000"/>
                <w:sz w:val="18"/>
                <w:szCs w:val="18"/>
                <w:lang w:eastAsia="en-GB"/>
              </w:rPr>
            </w:pPr>
            <w:r w:rsidRPr="003C21A0">
              <w:rPr>
                <w:rFonts w:eastAsia="Times New Roman" w:cstheme="minorHAnsi"/>
                <w:color w:val="000000"/>
                <w:sz w:val="18"/>
                <w:szCs w:val="18"/>
                <w:lang w:eastAsia="en-GB"/>
              </w:rPr>
              <w:t>£19.74</w:t>
            </w:r>
          </w:p>
        </w:tc>
      </w:tr>
      <w:tr w:rsidR="003C21A0" w:rsidRPr="003C21A0" w14:paraId="3A5484B5" w14:textId="77777777" w:rsidTr="003C21A0">
        <w:trPr>
          <w:trHeight w:val="480"/>
        </w:trPr>
        <w:tc>
          <w:tcPr>
            <w:tcW w:w="840" w:type="dxa"/>
            <w:tcBorders>
              <w:top w:val="nil"/>
              <w:left w:val="nil"/>
              <w:bottom w:val="single" w:sz="4" w:space="0" w:color="auto"/>
              <w:right w:val="nil"/>
            </w:tcBorders>
            <w:shd w:val="clear" w:color="000000" w:fill="FFFFFF"/>
            <w:vAlign w:val="center"/>
            <w:hideMark/>
          </w:tcPr>
          <w:p w14:paraId="7F609F11" w14:textId="77777777" w:rsidR="003C21A0" w:rsidRPr="003C21A0" w:rsidRDefault="003C21A0" w:rsidP="003356AE">
            <w:pPr>
              <w:spacing w:line="240" w:lineRule="auto"/>
              <w:jc w:val="lef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Ethnicity Vs White</w:t>
            </w:r>
          </w:p>
        </w:tc>
        <w:tc>
          <w:tcPr>
            <w:tcW w:w="740" w:type="dxa"/>
            <w:tcBorders>
              <w:top w:val="nil"/>
              <w:left w:val="nil"/>
              <w:bottom w:val="single" w:sz="4" w:space="0" w:color="auto"/>
              <w:right w:val="nil"/>
            </w:tcBorders>
            <w:shd w:val="clear" w:color="000000" w:fill="FFFFFF"/>
            <w:noWrap/>
            <w:vAlign w:val="center"/>
            <w:hideMark/>
          </w:tcPr>
          <w:p w14:paraId="38C35C91" w14:textId="77777777" w:rsidR="003C21A0" w:rsidRPr="003C21A0" w:rsidRDefault="003C21A0" w:rsidP="003356AE">
            <w:pPr>
              <w:spacing w:line="240" w:lineRule="auto"/>
              <w:jc w:val="center"/>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w:t>
            </w:r>
          </w:p>
        </w:tc>
        <w:tc>
          <w:tcPr>
            <w:tcW w:w="740" w:type="dxa"/>
            <w:tcBorders>
              <w:top w:val="nil"/>
              <w:left w:val="nil"/>
              <w:bottom w:val="single" w:sz="4" w:space="0" w:color="auto"/>
              <w:right w:val="nil"/>
            </w:tcBorders>
            <w:shd w:val="clear" w:color="000000" w:fill="FFFFFF"/>
            <w:noWrap/>
            <w:vAlign w:val="center"/>
            <w:hideMark/>
          </w:tcPr>
          <w:p w14:paraId="39C2F739" w14:textId="77777777" w:rsidR="003C21A0" w:rsidRPr="003C21A0" w:rsidRDefault="003C21A0" w:rsidP="003356AE">
            <w:pPr>
              <w:spacing w:line="240" w:lineRule="auto"/>
              <w:jc w:val="righ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4.99%</w:t>
            </w:r>
          </w:p>
        </w:tc>
        <w:tc>
          <w:tcPr>
            <w:tcW w:w="740" w:type="dxa"/>
            <w:tcBorders>
              <w:top w:val="nil"/>
              <w:left w:val="nil"/>
              <w:bottom w:val="single" w:sz="4" w:space="0" w:color="auto"/>
              <w:right w:val="nil"/>
            </w:tcBorders>
            <w:shd w:val="clear" w:color="000000" w:fill="FFFFFF"/>
            <w:noWrap/>
            <w:vAlign w:val="center"/>
            <w:hideMark/>
          </w:tcPr>
          <w:p w14:paraId="079329AA" w14:textId="129811E6" w:rsidR="003C21A0" w:rsidRPr="003C21A0" w:rsidRDefault="00663FDB" w:rsidP="003356AE">
            <w:pPr>
              <w:spacing w:line="240" w:lineRule="auto"/>
              <w:jc w:val="right"/>
              <w:rPr>
                <w:rFonts w:eastAsia="Times New Roman" w:cs="Calibri"/>
                <w:b/>
                <w:bCs/>
                <w:color w:val="000000"/>
                <w:sz w:val="18"/>
                <w:szCs w:val="18"/>
                <w:lang w:eastAsia="en-GB"/>
              </w:rPr>
            </w:pPr>
            <w:r>
              <w:rPr>
                <w:rFonts w:eastAsia="Times New Roman" w:cstheme="minorHAnsi"/>
                <w:b/>
                <w:bCs/>
                <w:color w:val="000000"/>
                <w:sz w:val="18"/>
                <w:szCs w:val="18"/>
                <w:lang w:eastAsia="en-GB"/>
              </w:rPr>
              <w:t>-</w:t>
            </w:r>
            <w:r w:rsidR="003C21A0" w:rsidRPr="003C21A0">
              <w:rPr>
                <w:rFonts w:eastAsia="Times New Roman" w:cstheme="minorHAnsi"/>
                <w:b/>
                <w:bCs/>
                <w:color w:val="000000"/>
                <w:sz w:val="18"/>
                <w:szCs w:val="18"/>
                <w:lang w:eastAsia="en-GB"/>
              </w:rPr>
              <w:t>2.37%</w:t>
            </w:r>
          </w:p>
        </w:tc>
        <w:tc>
          <w:tcPr>
            <w:tcW w:w="740" w:type="dxa"/>
            <w:tcBorders>
              <w:top w:val="nil"/>
              <w:left w:val="nil"/>
              <w:bottom w:val="single" w:sz="4" w:space="0" w:color="auto"/>
              <w:right w:val="nil"/>
            </w:tcBorders>
            <w:shd w:val="clear" w:color="000000" w:fill="FFFFFF"/>
            <w:noWrap/>
            <w:vAlign w:val="center"/>
            <w:hideMark/>
          </w:tcPr>
          <w:p w14:paraId="33B21E13" w14:textId="77777777" w:rsidR="003C21A0" w:rsidRPr="003C21A0" w:rsidRDefault="003C21A0" w:rsidP="003356AE">
            <w:pPr>
              <w:spacing w:line="240" w:lineRule="auto"/>
              <w:jc w:val="righ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-0.16%</w:t>
            </w:r>
          </w:p>
        </w:tc>
        <w:tc>
          <w:tcPr>
            <w:tcW w:w="740" w:type="dxa"/>
            <w:tcBorders>
              <w:top w:val="nil"/>
              <w:left w:val="nil"/>
              <w:bottom w:val="single" w:sz="4" w:space="0" w:color="auto"/>
              <w:right w:val="nil"/>
            </w:tcBorders>
            <w:shd w:val="clear" w:color="000000" w:fill="FFFFFF"/>
            <w:noWrap/>
            <w:vAlign w:val="center"/>
            <w:hideMark/>
          </w:tcPr>
          <w:p w14:paraId="53388509" w14:textId="77777777" w:rsidR="003C21A0" w:rsidRPr="003C21A0" w:rsidRDefault="003C21A0" w:rsidP="003356AE">
            <w:pPr>
              <w:spacing w:line="240" w:lineRule="auto"/>
              <w:jc w:val="right"/>
              <w:rPr>
                <w:rFonts w:eastAsia="Times New Roman" w:cs="Calibri"/>
                <w:b/>
                <w:bCs/>
                <w:color w:val="000000"/>
                <w:sz w:val="18"/>
                <w:szCs w:val="18"/>
                <w:lang w:eastAsia="en-GB"/>
              </w:rPr>
            </w:pPr>
            <w:r w:rsidRPr="003C21A0">
              <w:rPr>
                <w:rFonts w:eastAsia="Times New Roman" w:cstheme="minorHAnsi"/>
                <w:b/>
                <w:bCs/>
                <w:color w:val="000000"/>
                <w:sz w:val="18"/>
                <w:szCs w:val="18"/>
                <w:lang w:eastAsia="en-GB"/>
              </w:rPr>
              <w:t>-0.21%</w:t>
            </w:r>
          </w:p>
        </w:tc>
      </w:tr>
    </w:tbl>
    <w:p w14:paraId="3651ED80" w14:textId="77777777" w:rsidR="003D6C68" w:rsidRDefault="003D6C68" w:rsidP="003356AE">
      <w:pPr>
        <w:spacing w:line="240" w:lineRule="auto"/>
        <w:rPr>
          <w:rFonts w:cstheme="minorHAnsi"/>
        </w:rPr>
      </w:pPr>
    </w:p>
    <w:p w14:paraId="0011161B" w14:textId="77777777" w:rsidR="003D6C68" w:rsidRDefault="003D6C68" w:rsidP="00192384">
      <w:r w:rsidRPr="00173F61">
        <w:t xml:space="preserve">Where there is a positive percentage, this means that the average pay of a white member of staff is higher than that of a member of staff from an ethnic minority group. </w:t>
      </w:r>
      <w:r>
        <w:t xml:space="preserve"> </w:t>
      </w:r>
      <w:r w:rsidRPr="00173F61">
        <w:t xml:space="preserve">The higher the percentage, the greater the ethnicity pay gap. </w:t>
      </w:r>
      <w:r>
        <w:t xml:space="preserve"> </w:t>
      </w:r>
      <w:r w:rsidRPr="00173F61">
        <w:t>A negative percentage mean means that the average pay of the ethnic minority group is higher than that of the white group.</w:t>
      </w:r>
    </w:p>
    <w:p w14:paraId="2A89ABAE" w14:textId="77777777" w:rsidR="003D6C68" w:rsidRDefault="003D6C68" w:rsidP="00192384"/>
    <w:p w14:paraId="7E8BE995" w14:textId="77777777" w:rsidR="003D6C68" w:rsidRPr="00173F61" w:rsidRDefault="003D6C68" w:rsidP="00192384">
      <w:r w:rsidRPr="00173F61">
        <w:t xml:space="preserve">The Force already has a number of strategies in place to support closing the pay gap, this comes from clear leadership that supports and celebrates ethnicity across the force, working with staff forums and networks to review our existing processes for recruitment, promotion and pay.  </w:t>
      </w:r>
    </w:p>
    <w:p w14:paraId="588CE985" w14:textId="77777777" w:rsidR="003D6C68" w:rsidRPr="00173F61" w:rsidRDefault="003D6C68" w:rsidP="00192384"/>
    <w:p w14:paraId="30E77ED7" w14:textId="77777777" w:rsidR="003D6C68" w:rsidRPr="00173F61" w:rsidRDefault="003D6C68" w:rsidP="00192384">
      <w:r w:rsidRPr="00173F61">
        <w:t>Alongside these activities the Force has clear training programmes in place to support equality, diversity and inclusion, and looks to challenge unconscious bias provisions and practices.</w:t>
      </w:r>
    </w:p>
    <w:p w14:paraId="76B6C159" w14:textId="77777777" w:rsidR="003D6C68" w:rsidRPr="00774B95" w:rsidRDefault="003D6C68" w:rsidP="00192384"/>
    <w:bookmarkEnd w:id="23"/>
    <w:p w14:paraId="717D43CD" w14:textId="77777777" w:rsidR="00353005" w:rsidRPr="00774B95" w:rsidRDefault="00353005" w:rsidP="003356AE">
      <w:pPr>
        <w:pStyle w:val="VAHeadingLevel2"/>
        <w:spacing w:line="240" w:lineRule="auto"/>
      </w:pPr>
      <w:r w:rsidRPr="00774B95">
        <w:t>Appointments</w:t>
      </w:r>
    </w:p>
    <w:p w14:paraId="76238C3A" w14:textId="77777777" w:rsidR="00774B95" w:rsidRDefault="00774B95" w:rsidP="003356AE">
      <w:pPr>
        <w:pStyle w:val="VAHeadingLevel3"/>
        <w:spacing w:line="240" w:lineRule="auto"/>
      </w:pPr>
      <w:bookmarkStart w:id="24" w:name="_Toc106968614"/>
    </w:p>
    <w:p w14:paraId="29BCA030" w14:textId="6986DEF0" w:rsidR="00774B95" w:rsidRPr="00D80AE6" w:rsidRDefault="00774B95" w:rsidP="003356AE">
      <w:pPr>
        <w:pStyle w:val="VAHeadingLevel3"/>
        <w:spacing w:line="240" w:lineRule="auto"/>
      </w:pPr>
      <w:r w:rsidRPr="00D80AE6">
        <w:t>For the Chief Constable:</w:t>
      </w:r>
    </w:p>
    <w:p w14:paraId="445A1E3D" w14:textId="08428F3D" w:rsidR="00774B95" w:rsidRPr="00D80AE6" w:rsidRDefault="00774B95" w:rsidP="00192384">
      <w:r w:rsidRPr="00D80AE6">
        <w:t>Ivan Balhatchet continued as Chief Constable throughout the year along with Ash</w:t>
      </w:r>
      <w:r w:rsidR="00914DF4">
        <w:t xml:space="preserve"> Tuckley </w:t>
      </w:r>
      <w:r w:rsidRPr="00D80AE6">
        <w:t>as Deputy Chief Constable.</w:t>
      </w:r>
    </w:p>
    <w:p w14:paraId="5046EAF8" w14:textId="6AED4B29" w:rsidR="00774B95" w:rsidRPr="00D80AE6" w:rsidRDefault="00774B95" w:rsidP="00192384">
      <w:r w:rsidRPr="00D80AE6">
        <w:t xml:space="preserve">Emma James and Adam Ward continued as Temporary Assistant Chief Constables, joined by T/ACC Andy Cox from 23 February 2026. </w:t>
      </w:r>
    </w:p>
    <w:p w14:paraId="4BB0F9A5" w14:textId="77777777" w:rsidR="00774B95" w:rsidRDefault="00774B95" w:rsidP="00192384">
      <w:r w:rsidRPr="00D80AE6">
        <w:t>Paul Bullen continued as ACO Enabling Services and Nick Alexander continued as Chief Finance Officer.</w:t>
      </w:r>
    </w:p>
    <w:p w14:paraId="5F5F63DC" w14:textId="77777777" w:rsidR="00774B95" w:rsidRPr="00D80AE6" w:rsidRDefault="00774B95" w:rsidP="003356AE">
      <w:pPr>
        <w:spacing w:line="240" w:lineRule="auto"/>
      </w:pPr>
    </w:p>
    <w:p w14:paraId="4629DAC4" w14:textId="77777777" w:rsidR="00774B95" w:rsidRPr="00B4499E" w:rsidRDefault="00774B95" w:rsidP="003356AE">
      <w:pPr>
        <w:pStyle w:val="VAHeadingLevel3"/>
        <w:spacing w:line="240" w:lineRule="auto"/>
      </w:pPr>
      <w:r w:rsidRPr="00B4499E">
        <w:t>For the OPFCC:</w:t>
      </w:r>
    </w:p>
    <w:p w14:paraId="4EBA7768" w14:textId="77777777" w:rsidR="00774B95" w:rsidRPr="007F12FF" w:rsidRDefault="00774B95" w:rsidP="00192384">
      <w:r w:rsidRPr="00B4499E">
        <w:t xml:space="preserve">Danielle Stone continued as the Police, Fire and Crime Commissioner (PFCC) throughout the year, supported by Deputy PFCC </w:t>
      </w:r>
      <w:r w:rsidRPr="007F12FF">
        <w:t>Marianne Kimani.</w:t>
      </w:r>
    </w:p>
    <w:p w14:paraId="6ED0F778" w14:textId="162668A2" w:rsidR="00774B95" w:rsidRPr="00D80AE6" w:rsidRDefault="00774B95" w:rsidP="00192384">
      <w:r w:rsidRPr="00D80AE6">
        <w:t>Monitoring Officer, Jonny Bugg continued in post throughout the year.  Vaughan Ashcroft continued as the Chief Finance Officer for the OPFCC.  These statutory roles also cover Northamptonshire Commissioner Fire and Rescue Authority (NCFRA).</w:t>
      </w:r>
      <w:bookmarkStart w:id="25" w:name="_Hlk135045909"/>
      <w:bookmarkStart w:id="26" w:name="_Hlk167354186"/>
    </w:p>
    <w:bookmarkEnd w:id="25"/>
    <w:bookmarkEnd w:id="26"/>
    <w:p w14:paraId="69FDDB26" w14:textId="0E25EF63" w:rsidR="00353005" w:rsidRPr="0025781E" w:rsidRDefault="0051434E" w:rsidP="003356AE">
      <w:pPr>
        <w:pStyle w:val="NarrativeHeading"/>
      </w:pPr>
      <w:r>
        <w:br w:type="column"/>
      </w:r>
      <w:bookmarkStart w:id="27" w:name="_Toc231216708"/>
      <w:r w:rsidR="00353005" w:rsidRPr="0025781E">
        <w:lastRenderedPageBreak/>
        <w:t>Strategy and Resources</w:t>
      </w:r>
      <w:bookmarkEnd w:id="24"/>
      <w:bookmarkEnd w:id="27"/>
    </w:p>
    <w:p w14:paraId="4ACD3026" w14:textId="77777777" w:rsidR="00353005" w:rsidRPr="0025781E" w:rsidRDefault="00353005" w:rsidP="003356AE">
      <w:pPr>
        <w:spacing w:line="240" w:lineRule="auto"/>
      </w:pPr>
    </w:p>
    <w:p w14:paraId="3CBCF87F" w14:textId="4DE0BC7D" w:rsidR="00353005" w:rsidRPr="0025781E" w:rsidRDefault="00353005" w:rsidP="003356AE">
      <w:pPr>
        <w:pStyle w:val="VAHeadingLevel2"/>
        <w:spacing w:line="240" w:lineRule="auto"/>
      </w:pPr>
      <w:bookmarkStart w:id="28" w:name="_Hlk160092792"/>
      <w:r w:rsidRPr="0025781E">
        <w:t>202</w:t>
      </w:r>
      <w:r w:rsidR="0025781E" w:rsidRPr="0025781E">
        <w:t>5</w:t>
      </w:r>
      <w:r w:rsidRPr="0025781E">
        <w:t>/2</w:t>
      </w:r>
      <w:r w:rsidR="0025781E" w:rsidRPr="0025781E">
        <w:t>6</w:t>
      </w:r>
      <w:r w:rsidRPr="0025781E">
        <w:t xml:space="preserve"> Budget</w:t>
      </w:r>
    </w:p>
    <w:p w14:paraId="3896000C" w14:textId="076B54C2" w:rsidR="00353005" w:rsidRPr="00600383" w:rsidRDefault="00353005" w:rsidP="003E1103">
      <w:r w:rsidRPr="00600383">
        <w:t>In 202</w:t>
      </w:r>
      <w:r w:rsidR="0025781E" w:rsidRPr="00600383">
        <w:t>5</w:t>
      </w:r>
      <w:r w:rsidRPr="00600383">
        <w:t>/2</w:t>
      </w:r>
      <w:r w:rsidR="0025781E" w:rsidRPr="00600383">
        <w:t>6</w:t>
      </w:r>
      <w:r w:rsidRPr="00600383">
        <w:t xml:space="preserve">, in line with the response to the public consultation, the PFCC increased the precept by </w:t>
      </w:r>
      <w:r w:rsidRPr="00067F4D">
        <w:t>£1</w:t>
      </w:r>
      <w:r w:rsidR="00600383" w:rsidRPr="00067F4D">
        <w:t>4</w:t>
      </w:r>
      <w:r w:rsidRPr="00600383">
        <w:t>, which was the maximum available without triggering a referendum.  This increase was used to invest in operational priorities and frontline policing requirements identified by the Chief Constable.</w:t>
      </w:r>
    </w:p>
    <w:p w14:paraId="6D8C9304" w14:textId="77777777" w:rsidR="00353005" w:rsidRPr="00600383" w:rsidRDefault="00353005" w:rsidP="003356AE">
      <w:pPr>
        <w:spacing w:line="240" w:lineRule="auto"/>
      </w:pPr>
    </w:p>
    <w:p w14:paraId="44F0E54F" w14:textId="4CF0D2A2" w:rsidR="00353005" w:rsidRPr="00600383" w:rsidRDefault="00353005" w:rsidP="003E1103">
      <w:r w:rsidRPr="00600383">
        <w:t>In 202</w:t>
      </w:r>
      <w:r w:rsidR="00600383" w:rsidRPr="00600383">
        <w:t>6</w:t>
      </w:r>
      <w:r w:rsidRPr="00600383">
        <w:t>/2</w:t>
      </w:r>
      <w:r w:rsidR="00600383" w:rsidRPr="00600383">
        <w:t>7</w:t>
      </w:r>
      <w:r w:rsidRPr="00600383">
        <w:t>, the PFCC again increased the precept by the maximum available which was £1</w:t>
      </w:r>
      <w:r w:rsidR="00600383" w:rsidRPr="00600383">
        <w:t>5</w:t>
      </w:r>
      <w:r w:rsidRPr="00600383">
        <w:t>.</w:t>
      </w:r>
    </w:p>
    <w:bookmarkEnd w:id="28"/>
    <w:p w14:paraId="6899CE0E" w14:textId="77777777" w:rsidR="00353005" w:rsidRPr="00600383" w:rsidRDefault="00353005" w:rsidP="003356AE">
      <w:pPr>
        <w:spacing w:line="240" w:lineRule="auto"/>
      </w:pPr>
    </w:p>
    <w:p w14:paraId="6F82DE6D" w14:textId="77777777" w:rsidR="00353005" w:rsidRPr="00600383" w:rsidRDefault="00353005" w:rsidP="003356AE">
      <w:pPr>
        <w:pStyle w:val="VAHeadingLevel2"/>
        <w:spacing w:line="240" w:lineRule="auto"/>
      </w:pPr>
      <w:r w:rsidRPr="00600383">
        <w:t>Medium Term Financial Plan</w:t>
      </w:r>
    </w:p>
    <w:p w14:paraId="0A9BF8A8" w14:textId="77777777" w:rsidR="00353005" w:rsidRPr="00600383" w:rsidRDefault="00353005" w:rsidP="003E1103">
      <w:r w:rsidRPr="00600383">
        <w:t xml:space="preserve">The PFCC’s medium term financial plan (MTFP) is regularly reviewed and updated in line with the following established principles: </w:t>
      </w:r>
    </w:p>
    <w:p w14:paraId="1C9EFEA7" w14:textId="52499066" w:rsidR="00353005" w:rsidRPr="00600383" w:rsidRDefault="00353005" w:rsidP="003356AE">
      <w:pPr>
        <w:numPr>
          <w:ilvl w:val="0"/>
          <w:numId w:val="2"/>
        </w:numPr>
        <w:spacing w:line="240" w:lineRule="auto"/>
        <w:ind w:left="426"/>
        <w:rPr>
          <w:rFonts w:asciiTheme="minorHAnsi" w:eastAsia="Times New Roman" w:hAnsiTheme="minorHAnsi" w:cs="Times New Roman"/>
          <w:szCs w:val="20"/>
        </w:rPr>
      </w:pPr>
      <w:r w:rsidRPr="00600383">
        <w:rPr>
          <w:rFonts w:asciiTheme="minorHAnsi" w:eastAsia="Times New Roman" w:hAnsiTheme="minorHAnsi" w:cs="Times New Roman"/>
          <w:szCs w:val="20"/>
        </w:rPr>
        <w:t>To make the best use of available resources</w:t>
      </w:r>
    </w:p>
    <w:p w14:paraId="1A9C1A4C" w14:textId="6B3580FA" w:rsidR="00353005" w:rsidRPr="00600383" w:rsidRDefault="00353005" w:rsidP="003356AE">
      <w:pPr>
        <w:numPr>
          <w:ilvl w:val="0"/>
          <w:numId w:val="2"/>
        </w:numPr>
        <w:spacing w:line="240" w:lineRule="auto"/>
        <w:ind w:left="426"/>
        <w:rPr>
          <w:rFonts w:asciiTheme="minorHAnsi" w:eastAsia="Times New Roman" w:hAnsiTheme="minorHAnsi" w:cs="Times New Roman"/>
          <w:szCs w:val="20"/>
        </w:rPr>
      </w:pPr>
      <w:r w:rsidRPr="00600383">
        <w:rPr>
          <w:rFonts w:asciiTheme="minorHAnsi" w:eastAsia="Times New Roman" w:hAnsiTheme="minorHAnsi" w:cs="Times New Roman"/>
          <w:szCs w:val="20"/>
        </w:rPr>
        <w:t>To maximise income and funding</w:t>
      </w:r>
    </w:p>
    <w:p w14:paraId="71A98FFA" w14:textId="7EA1F48C" w:rsidR="00353005" w:rsidRPr="00600383" w:rsidRDefault="00353005" w:rsidP="003356AE">
      <w:pPr>
        <w:numPr>
          <w:ilvl w:val="0"/>
          <w:numId w:val="2"/>
        </w:numPr>
        <w:spacing w:line="240" w:lineRule="auto"/>
        <w:ind w:left="426"/>
        <w:rPr>
          <w:rFonts w:asciiTheme="minorHAnsi" w:eastAsia="Times New Roman" w:hAnsiTheme="minorHAnsi" w:cs="Times New Roman"/>
          <w:szCs w:val="20"/>
        </w:rPr>
      </w:pPr>
      <w:r w:rsidRPr="00600383">
        <w:rPr>
          <w:rFonts w:asciiTheme="minorHAnsi" w:eastAsia="Times New Roman" w:hAnsiTheme="minorHAnsi" w:cs="Times New Roman"/>
          <w:szCs w:val="20"/>
        </w:rPr>
        <w:t>To target expenditure and investments to priorities and value for money opportunities</w:t>
      </w:r>
    </w:p>
    <w:p w14:paraId="110556C5" w14:textId="262F9745" w:rsidR="00353005" w:rsidRPr="00600383" w:rsidRDefault="00353005" w:rsidP="003356AE">
      <w:pPr>
        <w:numPr>
          <w:ilvl w:val="0"/>
          <w:numId w:val="2"/>
        </w:numPr>
        <w:spacing w:line="240" w:lineRule="auto"/>
        <w:ind w:left="426"/>
        <w:rPr>
          <w:rFonts w:asciiTheme="minorHAnsi" w:eastAsia="Times New Roman" w:hAnsiTheme="minorHAnsi" w:cs="Times New Roman"/>
          <w:szCs w:val="20"/>
        </w:rPr>
      </w:pPr>
      <w:r w:rsidRPr="00600383">
        <w:rPr>
          <w:rFonts w:asciiTheme="minorHAnsi" w:eastAsia="Times New Roman" w:hAnsiTheme="minorHAnsi" w:cs="Times New Roman"/>
          <w:szCs w:val="20"/>
        </w:rPr>
        <w:t>To exploit fixed assets to deliver maximum value</w:t>
      </w:r>
    </w:p>
    <w:p w14:paraId="14DE7B3E" w14:textId="0ACB0803" w:rsidR="00353005" w:rsidRPr="00600383" w:rsidRDefault="00353005" w:rsidP="003356AE">
      <w:pPr>
        <w:numPr>
          <w:ilvl w:val="0"/>
          <w:numId w:val="2"/>
        </w:numPr>
        <w:spacing w:line="240" w:lineRule="auto"/>
        <w:ind w:left="426"/>
        <w:rPr>
          <w:rFonts w:asciiTheme="minorHAnsi" w:eastAsia="Times New Roman" w:hAnsiTheme="minorHAnsi" w:cs="Times New Roman"/>
          <w:szCs w:val="20"/>
        </w:rPr>
      </w:pPr>
      <w:r w:rsidRPr="00600383">
        <w:rPr>
          <w:rFonts w:asciiTheme="minorHAnsi" w:eastAsia="Times New Roman" w:hAnsiTheme="minorHAnsi" w:cs="Times New Roman"/>
          <w:szCs w:val="20"/>
        </w:rPr>
        <w:t>To optimise delivery costs</w:t>
      </w:r>
    </w:p>
    <w:p w14:paraId="362AAB6D" w14:textId="29FF1BAE" w:rsidR="00353005" w:rsidRPr="00600383" w:rsidRDefault="00353005" w:rsidP="003356AE">
      <w:pPr>
        <w:numPr>
          <w:ilvl w:val="0"/>
          <w:numId w:val="2"/>
        </w:numPr>
        <w:spacing w:line="240" w:lineRule="auto"/>
        <w:ind w:left="426"/>
        <w:rPr>
          <w:rFonts w:asciiTheme="minorHAnsi" w:eastAsia="Times New Roman" w:hAnsiTheme="minorHAnsi" w:cs="Times New Roman"/>
          <w:szCs w:val="20"/>
        </w:rPr>
      </w:pPr>
      <w:r w:rsidRPr="00600383">
        <w:rPr>
          <w:rFonts w:asciiTheme="minorHAnsi" w:eastAsia="Times New Roman" w:hAnsiTheme="minorHAnsi" w:cs="Times New Roman"/>
          <w:szCs w:val="20"/>
        </w:rPr>
        <w:t>To provide sufficient financial reserves in the context of unprecedented uncertainty, transformation and change</w:t>
      </w:r>
    </w:p>
    <w:p w14:paraId="1DFF4D64" w14:textId="77777777" w:rsidR="00353005" w:rsidRPr="00600383" w:rsidRDefault="00353005" w:rsidP="003356AE">
      <w:pPr>
        <w:spacing w:line="240" w:lineRule="auto"/>
      </w:pPr>
    </w:p>
    <w:p w14:paraId="6648B22B" w14:textId="406EC33C" w:rsidR="00353005" w:rsidRPr="00600383" w:rsidRDefault="00353005" w:rsidP="003E1103">
      <w:bookmarkStart w:id="29" w:name="_Hlk160092817"/>
      <w:r w:rsidRPr="00600383">
        <w:t>The latest MTFP shows that the PFCC has produced a balanced budget for 202</w:t>
      </w:r>
      <w:r w:rsidR="00600383">
        <w:t>6</w:t>
      </w:r>
      <w:r w:rsidRPr="00600383">
        <w:t>/2</w:t>
      </w:r>
      <w:r w:rsidR="00600383">
        <w:t>7</w:t>
      </w:r>
      <w:r w:rsidRPr="00600383">
        <w:t xml:space="preserve"> utilising earmarked reserves and with notable savings requirement.  There is a plan underway to deliver the required savings needed over the medium term.</w:t>
      </w:r>
    </w:p>
    <w:bookmarkEnd w:id="29"/>
    <w:p w14:paraId="0DE80858" w14:textId="77777777" w:rsidR="00353005" w:rsidRPr="00600383" w:rsidRDefault="00353005" w:rsidP="003356AE">
      <w:pPr>
        <w:spacing w:line="240" w:lineRule="auto"/>
      </w:pPr>
    </w:p>
    <w:tbl>
      <w:tblPr>
        <w:tblW w:w="4524" w:type="dxa"/>
        <w:tblLook w:val="04A0" w:firstRow="1" w:lastRow="0" w:firstColumn="1" w:lastColumn="0" w:noHBand="0" w:noVBand="1"/>
      </w:tblPr>
      <w:tblGrid>
        <w:gridCol w:w="1134"/>
        <w:gridCol w:w="678"/>
        <w:gridCol w:w="678"/>
        <w:gridCol w:w="678"/>
        <w:gridCol w:w="678"/>
        <w:gridCol w:w="678"/>
      </w:tblGrid>
      <w:tr w:rsidR="00E72C47" w:rsidRPr="00E72C47" w14:paraId="61997DC9" w14:textId="77777777" w:rsidTr="004B29AC">
        <w:trPr>
          <w:trHeight w:val="408"/>
        </w:trPr>
        <w:tc>
          <w:tcPr>
            <w:tcW w:w="1134" w:type="dxa"/>
            <w:tcBorders>
              <w:top w:val="nil"/>
              <w:left w:val="nil"/>
              <w:bottom w:val="nil"/>
              <w:right w:val="nil"/>
            </w:tcBorders>
            <w:shd w:val="clear" w:color="auto" w:fill="000099"/>
            <w:noWrap/>
            <w:vAlign w:val="center"/>
            <w:hideMark/>
          </w:tcPr>
          <w:p w14:paraId="68D8AE95" w14:textId="77777777" w:rsidR="00E72C47" w:rsidRPr="00E72C47" w:rsidRDefault="00E72C47" w:rsidP="003356AE">
            <w:pPr>
              <w:spacing w:line="240" w:lineRule="auto"/>
              <w:jc w:val="left"/>
              <w:rPr>
                <w:rFonts w:eastAsia="Times New Roman" w:cs="Calibri"/>
                <w:b/>
                <w:bCs/>
                <w:color w:val="FFFFFF"/>
                <w:sz w:val="16"/>
                <w:szCs w:val="16"/>
                <w:lang w:eastAsia="en-GB"/>
              </w:rPr>
            </w:pPr>
            <w:r w:rsidRPr="00E72C47">
              <w:rPr>
                <w:rFonts w:eastAsia="Times New Roman" w:cs="Calibri"/>
                <w:b/>
                <w:bCs/>
                <w:color w:val="FFFFFF"/>
                <w:sz w:val="16"/>
                <w:szCs w:val="16"/>
                <w:lang w:eastAsia="en-GB"/>
              </w:rPr>
              <w:t>MTFP</w:t>
            </w:r>
          </w:p>
        </w:tc>
        <w:tc>
          <w:tcPr>
            <w:tcW w:w="678" w:type="dxa"/>
            <w:tcBorders>
              <w:top w:val="nil"/>
              <w:left w:val="nil"/>
              <w:bottom w:val="nil"/>
              <w:right w:val="nil"/>
            </w:tcBorders>
            <w:shd w:val="clear" w:color="auto" w:fill="000099"/>
            <w:vAlign w:val="center"/>
            <w:hideMark/>
          </w:tcPr>
          <w:p w14:paraId="5BAE7D71" w14:textId="77777777" w:rsidR="00E72C47" w:rsidRPr="00E72C47" w:rsidRDefault="00E72C47" w:rsidP="003356AE">
            <w:pPr>
              <w:spacing w:line="240" w:lineRule="auto"/>
              <w:jc w:val="center"/>
              <w:rPr>
                <w:rFonts w:eastAsia="Times New Roman" w:cs="Calibri"/>
                <w:b/>
                <w:bCs/>
                <w:color w:val="FFFFFF"/>
                <w:sz w:val="16"/>
                <w:szCs w:val="16"/>
                <w:lang w:eastAsia="en-GB"/>
              </w:rPr>
            </w:pPr>
            <w:r w:rsidRPr="00E72C47">
              <w:rPr>
                <w:rFonts w:eastAsia="Times New Roman" w:cs="Calibri"/>
                <w:b/>
                <w:bCs/>
                <w:color w:val="FFFFFF"/>
                <w:sz w:val="16"/>
                <w:szCs w:val="16"/>
                <w:lang w:eastAsia="en-GB"/>
              </w:rPr>
              <w:t>26/27</w:t>
            </w:r>
            <w:r w:rsidRPr="00E72C47">
              <w:rPr>
                <w:rFonts w:eastAsia="Times New Roman" w:cs="Calibri"/>
                <w:b/>
                <w:bCs/>
                <w:color w:val="FFFFFF"/>
                <w:sz w:val="16"/>
                <w:szCs w:val="16"/>
                <w:lang w:eastAsia="en-GB"/>
              </w:rPr>
              <w:br/>
              <w:t>£m</w:t>
            </w:r>
          </w:p>
        </w:tc>
        <w:tc>
          <w:tcPr>
            <w:tcW w:w="678" w:type="dxa"/>
            <w:tcBorders>
              <w:top w:val="nil"/>
              <w:left w:val="nil"/>
              <w:bottom w:val="nil"/>
              <w:right w:val="nil"/>
            </w:tcBorders>
            <w:shd w:val="clear" w:color="auto" w:fill="000099"/>
            <w:vAlign w:val="center"/>
            <w:hideMark/>
          </w:tcPr>
          <w:p w14:paraId="500F46CB" w14:textId="77777777" w:rsidR="00E72C47" w:rsidRPr="00E72C47" w:rsidRDefault="00E72C47" w:rsidP="003356AE">
            <w:pPr>
              <w:spacing w:line="240" w:lineRule="auto"/>
              <w:jc w:val="center"/>
              <w:rPr>
                <w:rFonts w:eastAsia="Times New Roman" w:cs="Calibri"/>
                <w:b/>
                <w:bCs/>
                <w:color w:val="FFFFFF"/>
                <w:sz w:val="16"/>
                <w:szCs w:val="16"/>
                <w:lang w:eastAsia="en-GB"/>
              </w:rPr>
            </w:pPr>
            <w:r w:rsidRPr="00E72C47">
              <w:rPr>
                <w:rFonts w:eastAsia="Times New Roman" w:cs="Calibri"/>
                <w:b/>
                <w:bCs/>
                <w:color w:val="FFFFFF"/>
                <w:sz w:val="16"/>
                <w:szCs w:val="16"/>
                <w:lang w:eastAsia="en-GB"/>
              </w:rPr>
              <w:t>27/28</w:t>
            </w:r>
            <w:r w:rsidRPr="00E72C47">
              <w:rPr>
                <w:rFonts w:eastAsia="Times New Roman" w:cs="Calibri"/>
                <w:b/>
                <w:bCs/>
                <w:color w:val="FFFFFF"/>
                <w:sz w:val="16"/>
                <w:szCs w:val="16"/>
                <w:lang w:eastAsia="en-GB"/>
              </w:rPr>
              <w:br/>
              <w:t>£m</w:t>
            </w:r>
          </w:p>
        </w:tc>
        <w:tc>
          <w:tcPr>
            <w:tcW w:w="678" w:type="dxa"/>
            <w:tcBorders>
              <w:top w:val="nil"/>
              <w:left w:val="nil"/>
              <w:bottom w:val="nil"/>
              <w:right w:val="nil"/>
            </w:tcBorders>
            <w:shd w:val="clear" w:color="auto" w:fill="000099"/>
            <w:vAlign w:val="center"/>
            <w:hideMark/>
          </w:tcPr>
          <w:p w14:paraId="751BC56A" w14:textId="77777777" w:rsidR="00E72C47" w:rsidRPr="00E72C47" w:rsidRDefault="00E72C47" w:rsidP="003356AE">
            <w:pPr>
              <w:spacing w:line="240" w:lineRule="auto"/>
              <w:jc w:val="center"/>
              <w:rPr>
                <w:rFonts w:eastAsia="Times New Roman" w:cs="Calibri"/>
                <w:b/>
                <w:bCs/>
                <w:color w:val="FFFFFF"/>
                <w:sz w:val="16"/>
                <w:szCs w:val="16"/>
                <w:lang w:eastAsia="en-GB"/>
              </w:rPr>
            </w:pPr>
            <w:r w:rsidRPr="00E72C47">
              <w:rPr>
                <w:rFonts w:eastAsia="Times New Roman" w:cs="Calibri"/>
                <w:b/>
                <w:bCs/>
                <w:color w:val="FFFFFF"/>
                <w:sz w:val="16"/>
                <w:szCs w:val="16"/>
                <w:lang w:eastAsia="en-GB"/>
              </w:rPr>
              <w:t>28/29</w:t>
            </w:r>
            <w:r w:rsidRPr="00E72C47">
              <w:rPr>
                <w:rFonts w:eastAsia="Times New Roman" w:cs="Calibri"/>
                <w:b/>
                <w:bCs/>
                <w:color w:val="FFFFFF"/>
                <w:sz w:val="16"/>
                <w:szCs w:val="16"/>
                <w:lang w:eastAsia="en-GB"/>
              </w:rPr>
              <w:br/>
              <w:t>£m</w:t>
            </w:r>
          </w:p>
        </w:tc>
        <w:tc>
          <w:tcPr>
            <w:tcW w:w="678" w:type="dxa"/>
            <w:tcBorders>
              <w:top w:val="nil"/>
              <w:left w:val="nil"/>
              <w:bottom w:val="nil"/>
              <w:right w:val="nil"/>
            </w:tcBorders>
            <w:shd w:val="clear" w:color="auto" w:fill="000099"/>
            <w:vAlign w:val="center"/>
            <w:hideMark/>
          </w:tcPr>
          <w:p w14:paraId="45717462" w14:textId="77777777" w:rsidR="00E72C47" w:rsidRPr="00E72C47" w:rsidRDefault="00E72C47" w:rsidP="003356AE">
            <w:pPr>
              <w:spacing w:line="240" w:lineRule="auto"/>
              <w:jc w:val="center"/>
              <w:rPr>
                <w:rFonts w:eastAsia="Times New Roman" w:cs="Calibri"/>
                <w:b/>
                <w:bCs/>
                <w:color w:val="FFFFFF"/>
                <w:sz w:val="16"/>
                <w:szCs w:val="16"/>
                <w:lang w:eastAsia="en-GB"/>
              </w:rPr>
            </w:pPr>
            <w:r w:rsidRPr="00E72C47">
              <w:rPr>
                <w:rFonts w:eastAsia="Times New Roman" w:cs="Calibri"/>
                <w:b/>
                <w:bCs/>
                <w:color w:val="FFFFFF"/>
                <w:sz w:val="16"/>
                <w:szCs w:val="16"/>
                <w:lang w:eastAsia="en-GB"/>
              </w:rPr>
              <w:t>29/30</w:t>
            </w:r>
            <w:r w:rsidRPr="00E72C47">
              <w:rPr>
                <w:rFonts w:eastAsia="Times New Roman" w:cs="Calibri"/>
                <w:b/>
                <w:bCs/>
                <w:color w:val="FFFFFF"/>
                <w:sz w:val="16"/>
                <w:szCs w:val="16"/>
                <w:lang w:eastAsia="en-GB"/>
              </w:rPr>
              <w:br/>
              <w:t>£m</w:t>
            </w:r>
          </w:p>
        </w:tc>
        <w:tc>
          <w:tcPr>
            <w:tcW w:w="678" w:type="dxa"/>
            <w:tcBorders>
              <w:top w:val="nil"/>
              <w:left w:val="nil"/>
              <w:bottom w:val="nil"/>
              <w:right w:val="nil"/>
            </w:tcBorders>
            <w:shd w:val="clear" w:color="auto" w:fill="000099"/>
            <w:vAlign w:val="center"/>
            <w:hideMark/>
          </w:tcPr>
          <w:p w14:paraId="2C8ABDA0" w14:textId="77777777" w:rsidR="00E72C47" w:rsidRPr="00E72C47" w:rsidRDefault="00E72C47" w:rsidP="003356AE">
            <w:pPr>
              <w:spacing w:line="240" w:lineRule="auto"/>
              <w:jc w:val="center"/>
              <w:rPr>
                <w:rFonts w:eastAsia="Times New Roman" w:cs="Calibri"/>
                <w:b/>
                <w:bCs/>
                <w:color w:val="FFFFFF"/>
                <w:sz w:val="16"/>
                <w:szCs w:val="16"/>
                <w:lang w:eastAsia="en-GB"/>
              </w:rPr>
            </w:pPr>
            <w:r w:rsidRPr="00E72C47">
              <w:rPr>
                <w:rFonts w:eastAsia="Times New Roman" w:cs="Calibri"/>
                <w:b/>
                <w:bCs/>
                <w:color w:val="FFFFFF"/>
                <w:sz w:val="16"/>
                <w:szCs w:val="16"/>
                <w:lang w:eastAsia="en-GB"/>
              </w:rPr>
              <w:t>30/31</w:t>
            </w:r>
            <w:r w:rsidRPr="00E72C47">
              <w:rPr>
                <w:rFonts w:eastAsia="Times New Roman" w:cs="Calibri"/>
                <w:b/>
                <w:bCs/>
                <w:color w:val="FFFFFF"/>
                <w:sz w:val="16"/>
                <w:szCs w:val="16"/>
                <w:lang w:eastAsia="en-GB"/>
              </w:rPr>
              <w:br/>
              <w:t>£m</w:t>
            </w:r>
          </w:p>
        </w:tc>
      </w:tr>
      <w:tr w:rsidR="00E72C47" w:rsidRPr="00E72C47" w14:paraId="7D4414D1" w14:textId="77777777" w:rsidTr="00E72C47">
        <w:trPr>
          <w:trHeight w:val="288"/>
        </w:trPr>
        <w:tc>
          <w:tcPr>
            <w:tcW w:w="1134" w:type="dxa"/>
            <w:tcBorders>
              <w:top w:val="nil"/>
              <w:left w:val="nil"/>
              <w:bottom w:val="nil"/>
              <w:right w:val="nil"/>
            </w:tcBorders>
            <w:shd w:val="clear" w:color="000000" w:fill="FFFFFF"/>
            <w:noWrap/>
            <w:vAlign w:val="center"/>
            <w:hideMark/>
          </w:tcPr>
          <w:p w14:paraId="587B7FFB"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Expenditure</w:t>
            </w:r>
          </w:p>
        </w:tc>
        <w:tc>
          <w:tcPr>
            <w:tcW w:w="678" w:type="dxa"/>
            <w:tcBorders>
              <w:top w:val="nil"/>
              <w:left w:val="nil"/>
              <w:bottom w:val="nil"/>
              <w:right w:val="nil"/>
            </w:tcBorders>
            <w:shd w:val="clear" w:color="000000" w:fill="FFFFFF"/>
            <w:noWrap/>
            <w:vAlign w:val="center"/>
            <w:hideMark/>
          </w:tcPr>
          <w:p w14:paraId="14E9929C"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206.7</w:t>
            </w:r>
          </w:p>
        </w:tc>
        <w:tc>
          <w:tcPr>
            <w:tcW w:w="678" w:type="dxa"/>
            <w:tcBorders>
              <w:top w:val="nil"/>
              <w:left w:val="nil"/>
              <w:bottom w:val="nil"/>
              <w:right w:val="nil"/>
            </w:tcBorders>
            <w:shd w:val="clear" w:color="000000" w:fill="FFFFFF"/>
            <w:noWrap/>
            <w:vAlign w:val="center"/>
            <w:hideMark/>
          </w:tcPr>
          <w:p w14:paraId="5FAA16A7"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218.5</w:t>
            </w:r>
          </w:p>
        </w:tc>
        <w:tc>
          <w:tcPr>
            <w:tcW w:w="678" w:type="dxa"/>
            <w:tcBorders>
              <w:top w:val="nil"/>
              <w:left w:val="nil"/>
              <w:bottom w:val="nil"/>
              <w:right w:val="nil"/>
            </w:tcBorders>
            <w:shd w:val="clear" w:color="000000" w:fill="FFFFFF"/>
            <w:noWrap/>
            <w:vAlign w:val="center"/>
            <w:hideMark/>
          </w:tcPr>
          <w:p w14:paraId="1B33F669"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228.9</w:t>
            </w:r>
          </w:p>
        </w:tc>
        <w:tc>
          <w:tcPr>
            <w:tcW w:w="678" w:type="dxa"/>
            <w:tcBorders>
              <w:top w:val="nil"/>
              <w:left w:val="nil"/>
              <w:bottom w:val="nil"/>
              <w:right w:val="nil"/>
            </w:tcBorders>
            <w:shd w:val="clear" w:color="000000" w:fill="FFFFFF"/>
            <w:noWrap/>
            <w:vAlign w:val="center"/>
            <w:hideMark/>
          </w:tcPr>
          <w:p w14:paraId="3380E9A5"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235.1</w:t>
            </w:r>
          </w:p>
        </w:tc>
        <w:tc>
          <w:tcPr>
            <w:tcW w:w="678" w:type="dxa"/>
            <w:tcBorders>
              <w:top w:val="nil"/>
              <w:left w:val="nil"/>
              <w:bottom w:val="nil"/>
              <w:right w:val="nil"/>
            </w:tcBorders>
            <w:shd w:val="clear" w:color="000000" w:fill="FFFFFF"/>
            <w:noWrap/>
            <w:vAlign w:val="center"/>
            <w:hideMark/>
          </w:tcPr>
          <w:p w14:paraId="73902E10"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241.2</w:t>
            </w:r>
          </w:p>
        </w:tc>
      </w:tr>
      <w:tr w:rsidR="00E72C47" w:rsidRPr="00E72C47" w14:paraId="570C4A11" w14:textId="77777777" w:rsidTr="00E72C47">
        <w:trPr>
          <w:trHeight w:val="288"/>
        </w:trPr>
        <w:tc>
          <w:tcPr>
            <w:tcW w:w="1134" w:type="dxa"/>
            <w:tcBorders>
              <w:top w:val="nil"/>
              <w:left w:val="nil"/>
              <w:bottom w:val="nil"/>
              <w:right w:val="nil"/>
            </w:tcBorders>
            <w:shd w:val="clear" w:color="000000" w:fill="FFFFFF"/>
            <w:noWrap/>
            <w:vAlign w:val="center"/>
            <w:hideMark/>
          </w:tcPr>
          <w:p w14:paraId="37DFA39E"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Savings Plans</w:t>
            </w:r>
          </w:p>
        </w:tc>
        <w:tc>
          <w:tcPr>
            <w:tcW w:w="678" w:type="dxa"/>
            <w:tcBorders>
              <w:top w:val="nil"/>
              <w:left w:val="nil"/>
              <w:bottom w:val="nil"/>
              <w:right w:val="nil"/>
            </w:tcBorders>
            <w:shd w:val="clear" w:color="000000" w:fill="FFFFFF"/>
            <w:noWrap/>
            <w:vAlign w:val="center"/>
            <w:hideMark/>
          </w:tcPr>
          <w:p w14:paraId="1994AA76"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(3.5)</w:t>
            </w:r>
          </w:p>
        </w:tc>
        <w:tc>
          <w:tcPr>
            <w:tcW w:w="678" w:type="dxa"/>
            <w:tcBorders>
              <w:top w:val="nil"/>
              <w:left w:val="nil"/>
              <w:bottom w:val="nil"/>
              <w:right w:val="nil"/>
            </w:tcBorders>
            <w:shd w:val="clear" w:color="000000" w:fill="FFFFFF"/>
            <w:noWrap/>
            <w:vAlign w:val="center"/>
            <w:hideMark/>
          </w:tcPr>
          <w:p w14:paraId="775C1DF9"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(4.5)</w:t>
            </w:r>
          </w:p>
        </w:tc>
        <w:tc>
          <w:tcPr>
            <w:tcW w:w="678" w:type="dxa"/>
            <w:tcBorders>
              <w:top w:val="nil"/>
              <w:left w:val="nil"/>
              <w:bottom w:val="nil"/>
              <w:right w:val="nil"/>
            </w:tcBorders>
            <w:shd w:val="clear" w:color="000000" w:fill="FFFFFF"/>
            <w:noWrap/>
            <w:vAlign w:val="center"/>
            <w:hideMark/>
          </w:tcPr>
          <w:p w14:paraId="23F6C0A3"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(4.1)</w:t>
            </w:r>
          </w:p>
        </w:tc>
        <w:tc>
          <w:tcPr>
            <w:tcW w:w="678" w:type="dxa"/>
            <w:tcBorders>
              <w:top w:val="nil"/>
              <w:left w:val="nil"/>
              <w:bottom w:val="nil"/>
              <w:right w:val="nil"/>
            </w:tcBorders>
            <w:shd w:val="clear" w:color="000000" w:fill="FFFFFF"/>
            <w:noWrap/>
            <w:vAlign w:val="center"/>
            <w:hideMark/>
          </w:tcPr>
          <w:p w14:paraId="4C48E556"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(3.7)</w:t>
            </w:r>
          </w:p>
        </w:tc>
        <w:tc>
          <w:tcPr>
            <w:tcW w:w="678" w:type="dxa"/>
            <w:tcBorders>
              <w:top w:val="nil"/>
              <w:left w:val="nil"/>
              <w:bottom w:val="nil"/>
              <w:right w:val="nil"/>
            </w:tcBorders>
            <w:shd w:val="clear" w:color="000000" w:fill="FFFFFF"/>
            <w:noWrap/>
            <w:vAlign w:val="center"/>
            <w:hideMark/>
          </w:tcPr>
          <w:p w14:paraId="2392EFF5"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(3.8)</w:t>
            </w:r>
          </w:p>
        </w:tc>
      </w:tr>
      <w:tr w:rsidR="00E72C47" w:rsidRPr="00E72C47" w14:paraId="77B96864" w14:textId="77777777" w:rsidTr="00E72C47">
        <w:trPr>
          <w:trHeight w:val="288"/>
        </w:trPr>
        <w:tc>
          <w:tcPr>
            <w:tcW w:w="1134" w:type="dxa"/>
            <w:tcBorders>
              <w:top w:val="nil"/>
              <w:left w:val="nil"/>
              <w:bottom w:val="nil"/>
              <w:right w:val="nil"/>
            </w:tcBorders>
            <w:shd w:val="clear" w:color="000000" w:fill="FFFFFF"/>
            <w:noWrap/>
            <w:vAlign w:val="center"/>
            <w:hideMark/>
          </w:tcPr>
          <w:p w14:paraId="0D8253A2" w14:textId="77777777" w:rsidR="00E72C47" w:rsidRPr="00E72C47" w:rsidRDefault="00E72C47" w:rsidP="003356AE">
            <w:pPr>
              <w:spacing w:line="240" w:lineRule="auto"/>
              <w:jc w:val="left"/>
              <w:rPr>
                <w:rFonts w:eastAsia="Times New Roman" w:cs="Calibri"/>
                <w:b/>
                <w:bCs/>
                <w:color w:val="000000"/>
                <w:sz w:val="16"/>
                <w:szCs w:val="16"/>
                <w:lang w:eastAsia="en-GB"/>
              </w:rPr>
            </w:pPr>
            <w:r w:rsidRPr="00E72C47">
              <w:rPr>
                <w:rFonts w:eastAsia="Times New Roman" w:cs="Calibri"/>
                <w:b/>
                <w:bCs/>
                <w:color w:val="000000"/>
                <w:sz w:val="16"/>
                <w:szCs w:val="16"/>
                <w:lang w:eastAsia="en-GB"/>
              </w:rPr>
              <w:t> </w:t>
            </w:r>
          </w:p>
        </w:tc>
        <w:tc>
          <w:tcPr>
            <w:tcW w:w="678" w:type="dxa"/>
            <w:tcBorders>
              <w:top w:val="single" w:sz="4" w:space="0" w:color="auto"/>
              <w:left w:val="nil"/>
              <w:bottom w:val="nil"/>
              <w:right w:val="nil"/>
            </w:tcBorders>
            <w:shd w:val="clear" w:color="000000" w:fill="FFFFFF"/>
            <w:noWrap/>
            <w:vAlign w:val="center"/>
            <w:hideMark/>
          </w:tcPr>
          <w:p w14:paraId="5BCF1F14" w14:textId="77777777" w:rsidR="00E72C47" w:rsidRPr="00E72C47" w:rsidRDefault="00E72C47" w:rsidP="003356AE">
            <w:pPr>
              <w:spacing w:line="240" w:lineRule="auto"/>
              <w:jc w:val="right"/>
              <w:rPr>
                <w:rFonts w:eastAsia="Times New Roman" w:cs="Calibri"/>
                <w:b/>
                <w:bCs/>
                <w:color w:val="000000"/>
                <w:sz w:val="16"/>
                <w:szCs w:val="16"/>
                <w:lang w:eastAsia="en-GB"/>
              </w:rPr>
            </w:pPr>
            <w:r w:rsidRPr="00E72C47">
              <w:rPr>
                <w:rFonts w:eastAsia="Times New Roman" w:cs="Calibri"/>
                <w:b/>
                <w:bCs/>
                <w:color w:val="000000"/>
                <w:sz w:val="16"/>
                <w:szCs w:val="16"/>
                <w:lang w:eastAsia="en-GB"/>
              </w:rPr>
              <w:t>203.1</w:t>
            </w:r>
          </w:p>
        </w:tc>
        <w:tc>
          <w:tcPr>
            <w:tcW w:w="678" w:type="dxa"/>
            <w:tcBorders>
              <w:top w:val="single" w:sz="4" w:space="0" w:color="auto"/>
              <w:left w:val="nil"/>
              <w:bottom w:val="nil"/>
              <w:right w:val="nil"/>
            </w:tcBorders>
            <w:shd w:val="clear" w:color="000000" w:fill="FFFFFF"/>
            <w:noWrap/>
            <w:vAlign w:val="center"/>
            <w:hideMark/>
          </w:tcPr>
          <w:p w14:paraId="33E82911" w14:textId="77777777" w:rsidR="00E72C47" w:rsidRPr="00E72C47" w:rsidRDefault="00E72C47" w:rsidP="003356AE">
            <w:pPr>
              <w:spacing w:line="240" w:lineRule="auto"/>
              <w:jc w:val="right"/>
              <w:rPr>
                <w:rFonts w:eastAsia="Times New Roman" w:cs="Calibri"/>
                <w:b/>
                <w:bCs/>
                <w:color w:val="000000"/>
                <w:sz w:val="16"/>
                <w:szCs w:val="16"/>
                <w:lang w:eastAsia="en-GB"/>
              </w:rPr>
            </w:pPr>
            <w:r w:rsidRPr="00E72C47">
              <w:rPr>
                <w:rFonts w:eastAsia="Times New Roman" w:cs="Calibri"/>
                <w:b/>
                <w:bCs/>
                <w:color w:val="000000"/>
                <w:sz w:val="16"/>
                <w:szCs w:val="16"/>
                <w:lang w:eastAsia="en-GB"/>
              </w:rPr>
              <w:t>214.0</w:t>
            </w:r>
          </w:p>
        </w:tc>
        <w:tc>
          <w:tcPr>
            <w:tcW w:w="678" w:type="dxa"/>
            <w:tcBorders>
              <w:top w:val="single" w:sz="4" w:space="0" w:color="auto"/>
              <w:left w:val="nil"/>
              <w:bottom w:val="nil"/>
              <w:right w:val="nil"/>
            </w:tcBorders>
            <w:shd w:val="clear" w:color="000000" w:fill="FFFFFF"/>
            <w:noWrap/>
            <w:vAlign w:val="center"/>
            <w:hideMark/>
          </w:tcPr>
          <w:p w14:paraId="6C7C531B" w14:textId="77777777" w:rsidR="00E72C47" w:rsidRPr="00E72C47" w:rsidRDefault="00E72C47" w:rsidP="003356AE">
            <w:pPr>
              <w:spacing w:line="240" w:lineRule="auto"/>
              <w:jc w:val="right"/>
              <w:rPr>
                <w:rFonts w:eastAsia="Times New Roman" w:cs="Calibri"/>
                <w:b/>
                <w:bCs/>
                <w:color w:val="000000"/>
                <w:sz w:val="16"/>
                <w:szCs w:val="16"/>
                <w:lang w:eastAsia="en-GB"/>
              </w:rPr>
            </w:pPr>
            <w:r w:rsidRPr="00E72C47">
              <w:rPr>
                <w:rFonts w:eastAsia="Times New Roman" w:cs="Calibri"/>
                <w:b/>
                <w:bCs/>
                <w:color w:val="000000"/>
                <w:sz w:val="16"/>
                <w:szCs w:val="16"/>
                <w:lang w:eastAsia="en-GB"/>
              </w:rPr>
              <w:t>224.8</w:t>
            </w:r>
          </w:p>
        </w:tc>
        <w:tc>
          <w:tcPr>
            <w:tcW w:w="678" w:type="dxa"/>
            <w:tcBorders>
              <w:top w:val="single" w:sz="4" w:space="0" w:color="auto"/>
              <w:left w:val="nil"/>
              <w:bottom w:val="nil"/>
              <w:right w:val="nil"/>
            </w:tcBorders>
            <w:shd w:val="clear" w:color="000000" w:fill="FFFFFF"/>
            <w:noWrap/>
            <w:vAlign w:val="center"/>
            <w:hideMark/>
          </w:tcPr>
          <w:p w14:paraId="788D1C28" w14:textId="77777777" w:rsidR="00E72C47" w:rsidRPr="00E72C47" w:rsidRDefault="00E72C47" w:rsidP="003356AE">
            <w:pPr>
              <w:spacing w:line="240" w:lineRule="auto"/>
              <w:jc w:val="right"/>
              <w:rPr>
                <w:rFonts w:eastAsia="Times New Roman" w:cs="Calibri"/>
                <w:b/>
                <w:bCs/>
                <w:color w:val="000000"/>
                <w:sz w:val="16"/>
                <w:szCs w:val="16"/>
                <w:lang w:eastAsia="en-GB"/>
              </w:rPr>
            </w:pPr>
            <w:r w:rsidRPr="00E72C47">
              <w:rPr>
                <w:rFonts w:eastAsia="Times New Roman" w:cs="Calibri"/>
                <w:b/>
                <w:bCs/>
                <w:color w:val="000000"/>
                <w:sz w:val="16"/>
                <w:szCs w:val="16"/>
                <w:lang w:eastAsia="en-GB"/>
              </w:rPr>
              <w:t>231.3</w:t>
            </w:r>
          </w:p>
        </w:tc>
        <w:tc>
          <w:tcPr>
            <w:tcW w:w="678" w:type="dxa"/>
            <w:tcBorders>
              <w:top w:val="single" w:sz="4" w:space="0" w:color="auto"/>
              <w:left w:val="nil"/>
              <w:bottom w:val="nil"/>
              <w:right w:val="nil"/>
            </w:tcBorders>
            <w:shd w:val="clear" w:color="000000" w:fill="FFFFFF"/>
            <w:noWrap/>
            <w:vAlign w:val="center"/>
            <w:hideMark/>
          </w:tcPr>
          <w:p w14:paraId="587E135B" w14:textId="77777777" w:rsidR="00E72C47" w:rsidRPr="00E72C47" w:rsidRDefault="00E72C47" w:rsidP="003356AE">
            <w:pPr>
              <w:spacing w:line="240" w:lineRule="auto"/>
              <w:jc w:val="right"/>
              <w:rPr>
                <w:rFonts w:eastAsia="Times New Roman" w:cs="Calibri"/>
                <w:b/>
                <w:bCs/>
                <w:color w:val="000000"/>
                <w:sz w:val="16"/>
                <w:szCs w:val="16"/>
                <w:lang w:eastAsia="en-GB"/>
              </w:rPr>
            </w:pPr>
            <w:r w:rsidRPr="00E72C47">
              <w:rPr>
                <w:rFonts w:eastAsia="Times New Roman" w:cs="Calibri"/>
                <w:b/>
                <w:bCs/>
                <w:color w:val="000000"/>
                <w:sz w:val="16"/>
                <w:szCs w:val="16"/>
                <w:lang w:eastAsia="en-GB"/>
              </w:rPr>
              <w:t>237.3</w:t>
            </w:r>
          </w:p>
        </w:tc>
      </w:tr>
      <w:tr w:rsidR="00E72C47" w:rsidRPr="00E72C47" w14:paraId="53726679" w14:textId="77777777" w:rsidTr="00E72C47">
        <w:trPr>
          <w:trHeight w:val="288"/>
        </w:trPr>
        <w:tc>
          <w:tcPr>
            <w:tcW w:w="1134" w:type="dxa"/>
            <w:tcBorders>
              <w:top w:val="nil"/>
              <w:left w:val="nil"/>
              <w:bottom w:val="nil"/>
              <w:right w:val="nil"/>
            </w:tcBorders>
            <w:shd w:val="clear" w:color="000000" w:fill="FFFFFF"/>
            <w:noWrap/>
            <w:vAlign w:val="center"/>
            <w:hideMark/>
          </w:tcPr>
          <w:p w14:paraId="1EE6B878"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143F9C0D"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67526AFF"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5FDFB564"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243EA7BA"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 </w:t>
            </w:r>
          </w:p>
        </w:tc>
        <w:tc>
          <w:tcPr>
            <w:tcW w:w="678" w:type="dxa"/>
            <w:tcBorders>
              <w:top w:val="nil"/>
              <w:left w:val="nil"/>
              <w:bottom w:val="nil"/>
              <w:right w:val="nil"/>
            </w:tcBorders>
            <w:shd w:val="clear" w:color="000000" w:fill="FFFFFF"/>
            <w:noWrap/>
            <w:vAlign w:val="center"/>
            <w:hideMark/>
          </w:tcPr>
          <w:p w14:paraId="12B561B7"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 </w:t>
            </w:r>
          </w:p>
        </w:tc>
      </w:tr>
      <w:tr w:rsidR="00E72C47" w:rsidRPr="00E72C47" w14:paraId="714831BC" w14:textId="77777777" w:rsidTr="00E72C47">
        <w:trPr>
          <w:trHeight w:val="288"/>
        </w:trPr>
        <w:tc>
          <w:tcPr>
            <w:tcW w:w="1134" w:type="dxa"/>
            <w:tcBorders>
              <w:top w:val="nil"/>
              <w:left w:val="nil"/>
              <w:bottom w:val="nil"/>
              <w:right w:val="nil"/>
            </w:tcBorders>
            <w:shd w:val="clear" w:color="000000" w:fill="FFFFFF"/>
            <w:noWrap/>
            <w:vAlign w:val="center"/>
            <w:hideMark/>
          </w:tcPr>
          <w:p w14:paraId="66D20440" w14:textId="77777777" w:rsidR="00E72C47" w:rsidRPr="00E72C47" w:rsidRDefault="00E72C47" w:rsidP="003356AE">
            <w:pPr>
              <w:spacing w:line="240" w:lineRule="auto"/>
              <w:jc w:val="left"/>
              <w:rPr>
                <w:rFonts w:eastAsia="Times New Roman" w:cs="Calibri"/>
                <w:color w:val="000000"/>
                <w:sz w:val="16"/>
                <w:szCs w:val="16"/>
                <w:lang w:eastAsia="en-GB"/>
              </w:rPr>
            </w:pPr>
            <w:r w:rsidRPr="00E72C47">
              <w:rPr>
                <w:rFonts w:eastAsia="Times New Roman" w:cs="Calibri"/>
                <w:color w:val="000000"/>
                <w:sz w:val="16"/>
                <w:szCs w:val="16"/>
                <w:lang w:eastAsia="en-GB"/>
              </w:rPr>
              <w:t>Funding</w:t>
            </w:r>
          </w:p>
        </w:tc>
        <w:tc>
          <w:tcPr>
            <w:tcW w:w="678" w:type="dxa"/>
            <w:tcBorders>
              <w:top w:val="nil"/>
              <w:left w:val="nil"/>
              <w:bottom w:val="nil"/>
              <w:right w:val="nil"/>
            </w:tcBorders>
            <w:shd w:val="clear" w:color="000000" w:fill="FFFFFF"/>
            <w:noWrap/>
            <w:vAlign w:val="center"/>
            <w:hideMark/>
          </w:tcPr>
          <w:p w14:paraId="21F9F25A"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(203.1)</w:t>
            </w:r>
          </w:p>
        </w:tc>
        <w:tc>
          <w:tcPr>
            <w:tcW w:w="678" w:type="dxa"/>
            <w:tcBorders>
              <w:top w:val="nil"/>
              <w:left w:val="nil"/>
              <w:bottom w:val="nil"/>
              <w:right w:val="nil"/>
            </w:tcBorders>
            <w:shd w:val="clear" w:color="000000" w:fill="FFFFFF"/>
            <w:noWrap/>
            <w:vAlign w:val="center"/>
            <w:hideMark/>
          </w:tcPr>
          <w:p w14:paraId="0CD33E24"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(212.1)</w:t>
            </w:r>
          </w:p>
        </w:tc>
        <w:tc>
          <w:tcPr>
            <w:tcW w:w="678" w:type="dxa"/>
            <w:tcBorders>
              <w:top w:val="nil"/>
              <w:left w:val="nil"/>
              <w:bottom w:val="nil"/>
              <w:right w:val="nil"/>
            </w:tcBorders>
            <w:shd w:val="clear" w:color="000000" w:fill="FFFFFF"/>
            <w:noWrap/>
            <w:vAlign w:val="center"/>
            <w:hideMark/>
          </w:tcPr>
          <w:p w14:paraId="1F039D95"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(219.4)</w:t>
            </w:r>
          </w:p>
        </w:tc>
        <w:tc>
          <w:tcPr>
            <w:tcW w:w="678" w:type="dxa"/>
            <w:tcBorders>
              <w:top w:val="nil"/>
              <w:left w:val="nil"/>
              <w:bottom w:val="nil"/>
              <w:right w:val="nil"/>
            </w:tcBorders>
            <w:shd w:val="clear" w:color="000000" w:fill="FFFFFF"/>
            <w:noWrap/>
            <w:vAlign w:val="center"/>
            <w:hideMark/>
          </w:tcPr>
          <w:p w14:paraId="68C120F0"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(224.8)</w:t>
            </w:r>
          </w:p>
        </w:tc>
        <w:tc>
          <w:tcPr>
            <w:tcW w:w="678" w:type="dxa"/>
            <w:tcBorders>
              <w:top w:val="nil"/>
              <w:left w:val="nil"/>
              <w:bottom w:val="nil"/>
              <w:right w:val="nil"/>
            </w:tcBorders>
            <w:shd w:val="clear" w:color="000000" w:fill="FFFFFF"/>
            <w:noWrap/>
            <w:vAlign w:val="center"/>
            <w:hideMark/>
          </w:tcPr>
          <w:p w14:paraId="54197FC9" w14:textId="77777777" w:rsidR="00E72C47" w:rsidRPr="00E72C47" w:rsidRDefault="00E72C47" w:rsidP="003356AE">
            <w:pPr>
              <w:spacing w:line="240" w:lineRule="auto"/>
              <w:jc w:val="right"/>
              <w:rPr>
                <w:rFonts w:eastAsia="Times New Roman" w:cs="Calibri"/>
                <w:color w:val="000000"/>
                <w:sz w:val="16"/>
                <w:szCs w:val="16"/>
                <w:lang w:eastAsia="en-GB"/>
              </w:rPr>
            </w:pPr>
            <w:r w:rsidRPr="00E72C47">
              <w:rPr>
                <w:rFonts w:eastAsia="Times New Roman" w:cs="Calibri"/>
                <w:color w:val="000000"/>
                <w:sz w:val="16"/>
                <w:szCs w:val="16"/>
                <w:lang w:eastAsia="en-GB"/>
              </w:rPr>
              <w:t>(230.3)</w:t>
            </w:r>
          </w:p>
        </w:tc>
      </w:tr>
      <w:tr w:rsidR="00E72C47" w:rsidRPr="00E72C47" w14:paraId="214EC8F7" w14:textId="77777777" w:rsidTr="004B29AC">
        <w:trPr>
          <w:trHeight w:val="288"/>
        </w:trPr>
        <w:tc>
          <w:tcPr>
            <w:tcW w:w="1134" w:type="dxa"/>
            <w:tcBorders>
              <w:top w:val="nil"/>
              <w:left w:val="nil"/>
              <w:bottom w:val="nil"/>
              <w:right w:val="nil"/>
            </w:tcBorders>
            <w:shd w:val="clear" w:color="auto" w:fill="000099"/>
            <w:noWrap/>
            <w:vAlign w:val="bottom"/>
            <w:hideMark/>
          </w:tcPr>
          <w:p w14:paraId="79A8F2D4" w14:textId="77777777" w:rsidR="00E72C47" w:rsidRPr="00E72C47" w:rsidRDefault="00E72C47" w:rsidP="008E6ABD">
            <w:pPr>
              <w:spacing w:line="240" w:lineRule="auto"/>
              <w:jc w:val="left"/>
              <w:rPr>
                <w:rFonts w:eastAsia="Times New Roman" w:cs="Calibri"/>
                <w:b/>
                <w:bCs/>
                <w:color w:val="FFFFFF"/>
                <w:sz w:val="16"/>
                <w:szCs w:val="16"/>
                <w:lang w:eastAsia="en-GB"/>
              </w:rPr>
            </w:pPr>
            <w:r w:rsidRPr="00E72C47">
              <w:rPr>
                <w:rFonts w:eastAsia="Times New Roman" w:cs="Calibri"/>
                <w:b/>
                <w:bCs/>
                <w:color w:val="FFFFFF"/>
                <w:sz w:val="16"/>
                <w:szCs w:val="16"/>
                <w:lang w:eastAsia="en-GB"/>
              </w:rPr>
              <w:t>Shortfall</w:t>
            </w:r>
          </w:p>
        </w:tc>
        <w:tc>
          <w:tcPr>
            <w:tcW w:w="678" w:type="dxa"/>
            <w:tcBorders>
              <w:top w:val="nil"/>
              <w:left w:val="nil"/>
              <w:bottom w:val="nil"/>
              <w:right w:val="nil"/>
            </w:tcBorders>
            <w:shd w:val="clear" w:color="auto" w:fill="000099"/>
            <w:noWrap/>
            <w:vAlign w:val="bottom"/>
            <w:hideMark/>
          </w:tcPr>
          <w:p w14:paraId="6178A0D4" w14:textId="77777777" w:rsidR="00E72C47" w:rsidRPr="00E72C47" w:rsidRDefault="00E72C47" w:rsidP="008E6ABD">
            <w:pPr>
              <w:spacing w:line="240" w:lineRule="auto"/>
              <w:jc w:val="right"/>
              <w:rPr>
                <w:rFonts w:eastAsia="Times New Roman" w:cs="Calibri"/>
                <w:b/>
                <w:bCs/>
                <w:color w:val="FFFFFF"/>
                <w:sz w:val="16"/>
                <w:szCs w:val="16"/>
                <w:lang w:eastAsia="en-GB"/>
              </w:rPr>
            </w:pPr>
            <w:r w:rsidRPr="00E72C47">
              <w:rPr>
                <w:rFonts w:eastAsia="Times New Roman" w:cs="Calibri"/>
                <w:b/>
                <w:bCs/>
                <w:color w:val="FFFFFF"/>
                <w:sz w:val="16"/>
                <w:szCs w:val="16"/>
                <w:lang w:eastAsia="en-GB"/>
              </w:rPr>
              <w:t>0.0</w:t>
            </w:r>
          </w:p>
        </w:tc>
        <w:tc>
          <w:tcPr>
            <w:tcW w:w="678" w:type="dxa"/>
            <w:tcBorders>
              <w:top w:val="nil"/>
              <w:left w:val="nil"/>
              <w:bottom w:val="nil"/>
              <w:right w:val="nil"/>
            </w:tcBorders>
            <w:shd w:val="clear" w:color="auto" w:fill="000099"/>
            <w:noWrap/>
            <w:vAlign w:val="bottom"/>
            <w:hideMark/>
          </w:tcPr>
          <w:p w14:paraId="6BBEE1EB" w14:textId="77777777" w:rsidR="00E72C47" w:rsidRPr="00E72C47" w:rsidRDefault="00E72C47" w:rsidP="008E6ABD">
            <w:pPr>
              <w:spacing w:line="240" w:lineRule="auto"/>
              <w:jc w:val="right"/>
              <w:rPr>
                <w:rFonts w:eastAsia="Times New Roman" w:cs="Calibri"/>
                <w:b/>
                <w:bCs/>
                <w:color w:val="FFFFFF"/>
                <w:sz w:val="16"/>
                <w:szCs w:val="16"/>
                <w:lang w:eastAsia="en-GB"/>
              </w:rPr>
            </w:pPr>
            <w:r w:rsidRPr="00E72C47">
              <w:rPr>
                <w:rFonts w:eastAsia="Times New Roman" w:cs="Calibri"/>
                <w:b/>
                <w:bCs/>
                <w:color w:val="FFFFFF"/>
                <w:sz w:val="16"/>
                <w:szCs w:val="16"/>
                <w:lang w:eastAsia="en-GB"/>
              </w:rPr>
              <w:t>1.9</w:t>
            </w:r>
          </w:p>
        </w:tc>
        <w:tc>
          <w:tcPr>
            <w:tcW w:w="678" w:type="dxa"/>
            <w:tcBorders>
              <w:top w:val="nil"/>
              <w:left w:val="nil"/>
              <w:bottom w:val="nil"/>
              <w:right w:val="nil"/>
            </w:tcBorders>
            <w:shd w:val="clear" w:color="auto" w:fill="000099"/>
            <w:noWrap/>
            <w:vAlign w:val="bottom"/>
            <w:hideMark/>
          </w:tcPr>
          <w:p w14:paraId="14EDECB5" w14:textId="77777777" w:rsidR="00E72C47" w:rsidRPr="00E72C47" w:rsidRDefault="00E72C47" w:rsidP="008E6ABD">
            <w:pPr>
              <w:spacing w:line="240" w:lineRule="auto"/>
              <w:jc w:val="right"/>
              <w:rPr>
                <w:rFonts w:eastAsia="Times New Roman" w:cs="Calibri"/>
                <w:b/>
                <w:bCs/>
                <w:color w:val="FFFFFF"/>
                <w:sz w:val="16"/>
                <w:szCs w:val="16"/>
                <w:lang w:eastAsia="en-GB"/>
              </w:rPr>
            </w:pPr>
            <w:r w:rsidRPr="00E72C47">
              <w:rPr>
                <w:rFonts w:eastAsia="Times New Roman" w:cs="Calibri"/>
                <w:b/>
                <w:bCs/>
                <w:color w:val="FFFFFF"/>
                <w:sz w:val="16"/>
                <w:szCs w:val="16"/>
                <w:lang w:eastAsia="en-GB"/>
              </w:rPr>
              <w:t>5.4</w:t>
            </w:r>
          </w:p>
        </w:tc>
        <w:tc>
          <w:tcPr>
            <w:tcW w:w="678" w:type="dxa"/>
            <w:tcBorders>
              <w:top w:val="nil"/>
              <w:left w:val="nil"/>
              <w:bottom w:val="nil"/>
              <w:right w:val="nil"/>
            </w:tcBorders>
            <w:shd w:val="clear" w:color="auto" w:fill="000099"/>
            <w:noWrap/>
            <w:vAlign w:val="bottom"/>
            <w:hideMark/>
          </w:tcPr>
          <w:p w14:paraId="069EAACF" w14:textId="77777777" w:rsidR="00E72C47" w:rsidRPr="00E72C47" w:rsidRDefault="00E72C47" w:rsidP="008E6ABD">
            <w:pPr>
              <w:spacing w:line="240" w:lineRule="auto"/>
              <w:jc w:val="right"/>
              <w:rPr>
                <w:rFonts w:eastAsia="Times New Roman" w:cs="Calibri"/>
                <w:b/>
                <w:bCs/>
                <w:color w:val="FFFFFF"/>
                <w:sz w:val="16"/>
                <w:szCs w:val="16"/>
                <w:lang w:eastAsia="en-GB"/>
              </w:rPr>
            </w:pPr>
            <w:r w:rsidRPr="00E72C47">
              <w:rPr>
                <w:rFonts w:eastAsia="Times New Roman" w:cs="Calibri"/>
                <w:b/>
                <w:bCs/>
                <w:color w:val="FFFFFF"/>
                <w:sz w:val="16"/>
                <w:szCs w:val="16"/>
                <w:lang w:eastAsia="en-GB"/>
              </w:rPr>
              <w:t>6.5</w:t>
            </w:r>
          </w:p>
        </w:tc>
        <w:tc>
          <w:tcPr>
            <w:tcW w:w="678" w:type="dxa"/>
            <w:tcBorders>
              <w:top w:val="nil"/>
              <w:left w:val="nil"/>
              <w:bottom w:val="nil"/>
              <w:right w:val="nil"/>
            </w:tcBorders>
            <w:shd w:val="clear" w:color="auto" w:fill="000099"/>
            <w:noWrap/>
            <w:vAlign w:val="bottom"/>
            <w:hideMark/>
          </w:tcPr>
          <w:p w14:paraId="100B6C84" w14:textId="77777777" w:rsidR="00E72C47" w:rsidRPr="00E72C47" w:rsidRDefault="00E72C47" w:rsidP="008E6ABD">
            <w:pPr>
              <w:spacing w:line="240" w:lineRule="auto"/>
              <w:jc w:val="right"/>
              <w:rPr>
                <w:rFonts w:eastAsia="Times New Roman" w:cs="Calibri"/>
                <w:b/>
                <w:bCs/>
                <w:color w:val="FFFFFF"/>
                <w:sz w:val="16"/>
                <w:szCs w:val="16"/>
                <w:lang w:eastAsia="en-GB"/>
              </w:rPr>
            </w:pPr>
            <w:r w:rsidRPr="00E72C47">
              <w:rPr>
                <w:rFonts w:eastAsia="Times New Roman" w:cs="Calibri"/>
                <w:b/>
                <w:bCs/>
                <w:color w:val="FFFFFF"/>
                <w:sz w:val="16"/>
                <w:szCs w:val="16"/>
                <w:lang w:eastAsia="en-GB"/>
              </w:rPr>
              <w:t>7.0</w:t>
            </w:r>
          </w:p>
        </w:tc>
      </w:tr>
    </w:tbl>
    <w:p w14:paraId="7F7CF3B6" w14:textId="77777777" w:rsidR="00353005" w:rsidRPr="000E2186" w:rsidRDefault="00353005" w:rsidP="003356AE">
      <w:pPr>
        <w:spacing w:line="240" w:lineRule="auto"/>
        <w:rPr>
          <w:highlight w:val="yellow"/>
        </w:rPr>
      </w:pPr>
    </w:p>
    <w:p w14:paraId="779E8B12" w14:textId="77777777" w:rsidR="00353005" w:rsidRPr="00D47FD1" w:rsidRDefault="00353005" w:rsidP="003356AE">
      <w:pPr>
        <w:pStyle w:val="VAHeadingLevel2"/>
        <w:spacing w:line="240" w:lineRule="auto"/>
      </w:pPr>
      <w:r w:rsidRPr="00D47FD1">
        <w:t>Reserves</w:t>
      </w:r>
    </w:p>
    <w:p w14:paraId="73ECD481" w14:textId="7699D6ED" w:rsidR="00282122" w:rsidRPr="00D47FD1" w:rsidRDefault="00282122" w:rsidP="003E1103">
      <w:r w:rsidRPr="00D47FD1">
        <w:t xml:space="preserve">Under legislation, all usable reserves are held by the OPFCC, but details are included here for context as most funds are held to directly support policing.  </w:t>
      </w:r>
    </w:p>
    <w:p w14:paraId="492D593E" w14:textId="77777777" w:rsidR="00282122" w:rsidRPr="00D47FD1" w:rsidRDefault="00282122" w:rsidP="003356AE">
      <w:pPr>
        <w:spacing w:line="240" w:lineRule="auto"/>
      </w:pPr>
    </w:p>
    <w:p w14:paraId="184A186B" w14:textId="010408D1" w:rsidR="00353005" w:rsidRPr="00D47FD1" w:rsidRDefault="00353005" w:rsidP="003E1103">
      <w:r w:rsidRPr="00D47FD1">
        <w:t>The Reserves Strategy is reviewed each year as part of the budget and outlines a guideline level for General Reserves of 3% with a minimum level of 2.5%.  The PFCC maintains a General Reserve in line</w:t>
      </w:r>
      <w:r w:rsidR="00282122" w:rsidRPr="00D47FD1">
        <w:t xml:space="preserve"> with</w:t>
      </w:r>
      <w:r w:rsidRPr="00D47FD1">
        <w:t xml:space="preserve"> this level, which is £5.3m as </w:t>
      </w:r>
      <w:proofErr w:type="gramStart"/>
      <w:r w:rsidRPr="00D47FD1">
        <w:t>at</w:t>
      </w:r>
      <w:proofErr w:type="gramEnd"/>
      <w:r w:rsidRPr="00D47FD1">
        <w:t xml:space="preserve"> 31 March 202</w:t>
      </w:r>
      <w:r w:rsidR="00D47FD1">
        <w:t>6</w:t>
      </w:r>
      <w:r w:rsidRPr="00D47FD1">
        <w:t>.  It is prudent to have such a reserve to enable the organisation to withstand unexpected events which may have financial implications.</w:t>
      </w:r>
    </w:p>
    <w:p w14:paraId="6D97837B" w14:textId="77777777" w:rsidR="00353005" w:rsidRPr="00D47FD1" w:rsidRDefault="00353005" w:rsidP="003356AE">
      <w:pPr>
        <w:spacing w:line="240" w:lineRule="auto"/>
      </w:pPr>
    </w:p>
    <w:p w14:paraId="689BF1E1" w14:textId="77777777" w:rsidR="00353005" w:rsidRPr="00821F2A" w:rsidRDefault="00353005" w:rsidP="003E1103">
      <w:r w:rsidRPr="00821F2A">
        <w:t>In addition to the General Reserve, the PFCC holds a number of earmarked reserves for specified purposes, and these are set out in the Reserves Strategy.  The Strategy is then reviewed after the outturn position has been finalised.</w:t>
      </w:r>
    </w:p>
    <w:p w14:paraId="419B29AB" w14:textId="77777777" w:rsidR="00353005" w:rsidRPr="00821F2A" w:rsidRDefault="00353005" w:rsidP="003356AE">
      <w:pPr>
        <w:spacing w:line="240" w:lineRule="auto"/>
      </w:pPr>
    </w:p>
    <w:p w14:paraId="172CA440" w14:textId="11EC0434" w:rsidR="00183BA8" w:rsidRPr="00C24DF9" w:rsidRDefault="00183BA8" w:rsidP="003E1103">
      <w:r w:rsidRPr="00C24DF9">
        <w:t xml:space="preserve">The level of all cash backed reserves including funds held on behalf of regional units as </w:t>
      </w:r>
      <w:proofErr w:type="gramStart"/>
      <w:r w:rsidRPr="00C24DF9">
        <w:t>at</w:t>
      </w:r>
      <w:proofErr w:type="gramEnd"/>
      <w:r w:rsidRPr="00C24DF9">
        <w:t xml:space="preserve"> 31 March 2025 totalled £23.9m, reducing to £22.6m at 31 March 2026.</w:t>
      </w:r>
    </w:p>
    <w:p w14:paraId="53540AE5" w14:textId="77777777" w:rsidR="00353005" w:rsidRPr="00821F2A" w:rsidRDefault="00353005" w:rsidP="003356AE">
      <w:pPr>
        <w:spacing w:line="240" w:lineRule="auto"/>
      </w:pPr>
    </w:p>
    <w:p w14:paraId="5A32D293" w14:textId="77777777" w:rsidR="00353005" w:rsidRPr="00821F2A" w:rsidRDefault="00353005" w:rsidP="003356AE">
      <w:pPr>
        <w:pStyle w:val="VAHeadingLevel2"/>
        <w:spacing w:line="240" w:lineRule="auto"/>
      </w:pPr>
      <w:r w:rsidRPr="00821F2A">
        <w:t>Estates</w:t>
      </w:r>
    </w:p>
    <w:p w14:paraId="296DCB9F" w14:textId="75209F7F" w:rsidR="00282122" w:rsidRPr="00821F2A" w:rsidRDefault="00282122" w:rsidP="003E1103">
      <w:r w:rsidRPr="00821F2A">
        <w:t xml:space="preserve">Under legislation, all estates assets are held by the OPFCC, but details are included here for context as most properties are used for policing.  </w:t>
      </w:r>
    </w:p>
    <w:p w14:paraId="74277950" w14:textId="77777777" w:rsidR="00282122" w:rsidRPr="00821F2A" w:rsidRDefault="00282122" w:rsidP="003E1103"/>
    <w:p w14:paraId="030D3694" w14:textId="5CA2FF42" w:rsidR="00353005" w:rsidRPr="00821F2A" w:rsidRDefault="00353005" w:rsidP="003E1103">
      <w:r w:rsidRPr="00821F2A">
        <w:t xml:space="preserve">Despite some significant progress in recent years, Northamptonshire Police </w:t>
      </w:r>
      <w:proofErr w:type="gramStart"/>
      <w:r w:rsidRPr="00821F2A">
        <w:t>continues</w:t>
      </w:r>
      <w:proofErr w:type="gramEnd"/>
      <w:r w:rsidRPr="00821F2A">
        <w:t xml:space="preserve"> to operate with a number of aging buildings.</w:t>
      </w:r>
    </w:p>
    <w:p w14:paraId="2CF38DA1" w14:textId="77777777" w:rsidR="00353005" w:rsidRPr="00821F2A" w:rsidRDefault="00353005" w:rsidP="003E1103"/>
    <w:p w14:paraId="168D265F" w14:textId="7EC069D9" w:rsidR="00353005" w:rsidRPr="00821F2A" w:rsidRDefault="00353005" w:rsidP="003E1103">
      <w:r w:rsidRPr="00821F2A">
        <w:t xml:space="preserve">Work has been progressing for some time to replace the vehicle workshop with a new facility shared with Fire on an existing police site, and construction </w:t>
      </w:r>
      <w:r w:rsidR="00821F2A">
        <w:t xml:space="preserve">works </w:t>
      </w:r>
      <w:r w:rsidRPr="00821F2A">
        <w:t>commence</w:t>
      </w:r>
      <w:r w:rsidR="00821F2A">
        <w:t>d</w:t>
      </w:r>
      <w:r w:rsidRPr="00821F2A">
        <w:t xml:space="preserve"> </w:t>
      </w:r>
      <w:r w:rsidR="00821F2A">
        <w:t>in March</w:t>
      </w:r>
      <w:r w:rsidRPr="00821F2A">
        <w:t xml:space="preserve"> </w:t>
      </w:r>
      <w:r w:rsidR="00821F2A">
        <w:t>20</w:t>
      </w:r>
      <w:r w:rsidRPr="00821F2A">
        <w:t>26.</w:t>
      </w:r>
    </w:p>
    <w:p w14:paraId="4005BC90" w14:textId="77777777" w:rsidR="00353005" w:rsidRPr="00821F2A" w:rsidRDefault="00353005" w:rsidP="003E1103"/>
    <w:p w14:paraId="2BC69024" w14:textId="6A6DBC6D" w:rsidR="0080161C" w:rsidRPr="00052ADF" w:rsidRDefault="0080161C" w:rsidP="003E1103">
      <w:r w:rsidRPr="00052ADF">
        <w:t xml:space="preserve">Following consultation on the Public Safety Plan, the strategy </w:t>
      </w:r>
      <w:r>
        <w:t xml:space="preserve">for </w:t>
      </w:r>
      <w:r w:rsidRPr="00052ADF">
        <w:t>Estates was updated in line with the commitment from the Police, Fire and Crime Commissioner and the Chief Constable to base police officers and staff in the heart of the community</w:t>
      </w:r>
      <w:r w:rsidR="008306B8" w:rsidRPr="00052ADF">
        <w:t xml:space="preserve">.  </w:t>
      </w:r>
      <w:r w:rsidRPr="00052ADF">
        <w:t xml:space="preserve">This is focused on neighbourhood teams, and public access and enquiry desks but also has some impact on our response and investigation teams.  It includes plans for new town centre bases in </w:t>
      </w:r>
      <w:r w:rsidR="00911E94">
        <w:t xml:space="preserve">Towcester, </w:t>
      </w:r>
      <w:r w:rsidRPr="00052ADF">
        <w:t xml:space="preserve">Corby and Kettering, along with hubs in other towns, partnering with other agencies. </w:t>
      </w:r>
      <w:r w:rsidR="00A66C02">
        <w:t xml:space="preserve"> </w:t>
      </w:r>
      <w:r w:rsidRPr="00052ADF">
        <w:t>There are also options being explored regarding the aging Weston Favell police station.</w:t>
      </w:r>
    </w:p>
    <w:p w14:paraId="7B94882C" w14:textId="77777777" w:rsidR="0080161C" w:rsidRPr="00052ADF" w:rsidRDefault="0080161C" w:rsidP="003E1103"/>
    <w:p w14:paraId="0C38EAB0" w14:textId="77777777" w:rsidR="0080161C" w:rsidRDefault="0080161C" w:rsidP="003E1103">
      <w:r w:rsidRPr="00052ADF">
        <w:t>The Estates Strategy forms part of the broader Asset Strategy and is managed jointly with fire by Enabling Services to maximise opportunities for efficiencies across services.</w:t>
      </w:r>
    </w:p>
    <w:p w14:paraId="4E3896D2" w14:textId="77777777" w:rsidR="008712EA" w:rsidRPr="00052ADF" w:rsidRDefault="008712EA" w:rsidP="003356AE">
      <w:pPr>
        <w:spacing w:line="240" w:lineRule="auto"/>
      </w:pPr>
    </w:p>
    <w:p w14:paraId="1B00ABD7" w14:textId="7EEBE153" w:rsidR="00353005" w:rsidRPr="00A66C02" w:rsidRDefault="00353005" w:rsidP="003356AE">
      <w:pPr>
        <w:pStyle w:val="VAHeadingLevel2"/>
        <w:spacing w:line="240" w:lineRule="auto"/>
      </w:pPr>
      <w:r w:rsidRPr="00A66C02">
        <w:t>Collaboration</w:t>
      </w:r>
    </w:p>
    <w:p w14:paraId="20B7A16E" w14:textId="77777777" w:rsidR="00573068" w:rsidRPr="001575BA" w:rsidRDefault="00573068" w:rsidP="003E1103">
      <w:r w:rsidRPr="001575BA">
        <w:t>The Forces and Police Authorities/PCCs within the East Midlands Region (Northamptonshire, Derbyshire, Leicestershire, Lincolnshire and Nottinghamshire) have collaborated on a wide range of activities both formally and informally for over 10 years.</w:t>
      </w:r>
    </w:p>
    <w:p w14:paraId="3FB8C2FE" w14:textId="77777777" w:rsidR="00573068" w:rsidRPr="001575BA" w:rsidRDefault="00573068" w:rsidP="003356AE">
      <w:pPr>
        <w:spacing w:line="240" w:lineRule="auto"/>
      </w:pPr>
    </w:p>
    <w:p w14:paraId="2E1D4F6F" w14:textId="77777777" w:rsidR="00573068" w:rsidRPr="001575BA" w:rsidRDefault="00573068" w:rsidP="003356AE">
      <w:pPr>
        <w:spacing w:line="240" w:lineRule="auto"/>
      </w:pPr>
      <w:r w:rsidRPr="001575BA">
        <w:t xml:space="preserve">The collaboration agenda is underpinned by 5 guiding principles: </w:t>
      </w:r>
    </w:p>
    <w:p w14:paraId="72894ABD" w14:textId="3AD5ABB7" w:rsidR="00353005" w:rsidRPr="00A66C02" w:rsidRDefault="00353005" w:rsidP="003356AE">
      <w:pPr>
        <w:numPr>
          <w:ilvl w:val="0"/>
          <w:numId w:val="2"/>
        </w:numPr>
        <w:spacing w:line="240" w:lineRule="auto"/>
        <w:ind w:left="426"/>
        <w:rPr>
          <w:rFonts w:asciiTheme="minorHAnsi" w:eastAsia="Times New Roman" w:hAnsiTheme="minorHAnsi" w:cs="Times New Roman"/>
          <w:szCs w:val="20"/>
        </w:rPr>
      </w:pPr>
      <w:r w:rsidRPr="00A66C02">
        <w:rPr>
          <w:rFonts w:asciiTheme="minorHAnsi" w:eastAsia="Times New Roman" w:hAnsiTheme="minorHAnsi" w:cs="Times New Roman"/>
          <w:szCs w:val="20"/>
        </w:rPr>
        <w:t>that local policing remains local</w:t>
      </w:r>
    </w:p>
    <w:p w14:paraId="18052667" w14:textId="7A379FEA" w:rsidR="00353005" w:rsidRPr="00A66C02" w:rsidRDefault="00353005" w:rsidP="003356AE">
      <w:pPr>
        <w:numPr>
          <w:ilvl w:val="0"/>
          <w:numId w:val="2"/>
        </w:numPr>
        <w:spacing w:line="240" w:lineRule="auto"/>
        <w:ind w:left="426"/>
        <w:rPr>
          <w:rFonts w:asciiTheme="minorHAnsi" w:eastAsia="Times New Roman" w:hAnsiTheme="minorHAnsi" w:cs="Times New Roman"/>
          <w:szCs w:val="20"/>
        </w:rPr>
      </w:pPr>
      <w:r w:rsidRPr="00A66C02">
        <w:rPr>
          <w:rFonts w:asciiTheme="minorHAnsi" w:eastAsia="Times New Roman" w:hAnsiTheme="minorHAnsi" w:cs="Times New Roman"/>
          <w:szCs w:val="20"/>
        </w:rPr>
        <w:t>any collaboration helps deliver more efficient and/or effective policing for Northamptonshire</w:t>
      </w:r>
    </w:p>
    <w:p w14:paraId="189F0D12" w14:textId="42FEC3A7" w:rsidR="00353005" w:rsidRPr="00A66C02" w:rsidRDefault="00353005" w:rsidP="003356AE">
      <w:pPr>
        <w:numPr>
          <w:ilvl w:val="0"/>
          <w:numId w:val="2"/>
        </w:numPr>
        <w:spacing w:line="240" w:lineRule="auto"/>
        <w:ind w:left="426"/>
        <w:rPr>
          <w:rFonts w:asciiTheme="minorHAnsi" w:eastAsia="Times New Roman" w:hAnsiTheme="minorHAnsi" w:cs="Times New Roman"/>
          <w:szCs w:val="20"/>
        </w:rPr>
      </w:pPr>
      <w:r w:rsidRPr="00A66C02">
        <w:rPr>
          <w:rFonts w:asciiTheme="minorHAnsi" w:eastAsia="Times New Roman" w:hAnsiTheme="minorHAnsi" w:cs="Times New Roman"/>
          <w:szCs w:val="20"/>
        </w:rPr>
        <w:t>all areas of business are considered</w:t>
      </w:r>
    </w:p>
    <w:p w14:paraId="28C5223D" w14:textId="42A4AA05" w:rsidR="00353005" w:rsidRPr="00A66C02" w:rsidRDefault="00353005" w:rsidP="003356AE">
      <w:pPr>
        <w:numPr>
          <w:ilvl w:val="0"/>
          <w:numId w:val="2"/>
        </w:numPr>
        <w:spacing w:line="240" w:lineRule="auto"/>
        <w:ind w:left="426"/>
        <w:rPr>
          <w:rFonts w:asciiTheme="minorHAnsi" w:eastAsia="Times New Roman" w:hAnsiTheme="minorHAnsi" w:cs="Times New Roman"/>
          <w:szCs w:val="20"/>
        </w:rPr>
      </w:pPr>
      <w:r w:rsidRPr="00A66C02">
        <w:rPr>
          <w:rFonts w:asciiTheme="minorHAnsi" w:eastAsia="Times New Roman" w:hAnsiTheme="minorHAnsi" w:cs="Times New Roman"/>
          <w:szCs w:val="20"/>
        </w:rPr>
        <w:t>decisions not to participate in a particular collaboration are reviewed regularly, as circumstances may change</w:t>
      </w:r>
    </w:p>
    <w:p w14:paraId="2DBF4891" w14:textId="593FFCA4" w:rsidR="00353005" w:rsidRPr="00A66C02" w:rsidRDefault="00353005" w:rsidP="003356AE">
      <w:pPr>
        <w:numPr>
          <w:ilvl w:val="0"/>
          <w:numId w:val="2"/>
        </w:numPr>
        <w:spacing w:line="240" w:lineRule="auto"/>
        <w:ind w:left="426"/>
        <w:rPr>
          <w:rFonts w:asciiTheme="minorHAnsi" w:eastAsia="Times New Roman" w:hAnsiTheme="minorHAnsi" w:cs="Times New Roman"/>
          <w:szCs w:val="20"/>
        </w:rPr>
      </w:pPr>
      <w:r w:rsidRPr="00A66C02">
        <w:rPr>
          <w:rFonts w:asciiTheme="minorHAnsi" w:eastAsia="Times New Roman" w:hAnsiTheme="minorHAnsi" w:cs="Times New Roman"/>
          <w:szCs w:val="20"/>
        </w:rPr>
        <w:t>any cost and/or benefits are shared between participating Force</w:t>
      </w:r>
      <w:r w:rsidR="00BC0177" w:rsidRPr="00A66C02">
        <w:rPr>
          <w:rFonts w:asciiTheme="minorHAnsi" w:eastAsia="Times New Roman" w:hAnsiTheme="minorHAnsi" w:cs="Times New Roman"/>
          <w:szCs w:val="20"/>
        </w:rPr>
        <w:t>s</w:t>
      </w:r>
    </w:p>
    <w:p w14:paraId="1E4FA451" w14:textId="77777777" w:rsidR="00353005" w:rsidRPr="00A66C02" w:rsidRDefault="00353005" w:rsidP="003356AE">
      <w:pPr>
        <w:spacing w:line="240" w:lineRule="auto"/>
      </w:pPr>
    </w:p>
    <w:p w14:paraId="705F6F65" w14:textId="77777777" w:rsidR="00353005" w:rsidRPr="00573068" w:rsidRDefault="00353005" w:rsidP="003356AE">
      <w:pPr>
        <w:pStyle w:val="NarrativeHeading"/>
      </w:pPr>
      <w:r w:rsidRPr="000E2186">
        <w:rPr>
          <w:highlight w:val="yellow"/>
        </w:rPr>
        <w:br w:type="column"/>
      </w:r>
      <w:bookmarkStart w:id="30" w:name="_Toc231216709"/>
      <w:r w:rsidRPr="00573068">
        <w:t>Financial Performance</w:t>
      </w:r>
      <w:bookmarkEnd w:id="30"/>
    </w:p>
    <w:p w14:paraId="184169D5" w14:textId="77777777" w:rsidR="00353005" w:rsidRPr="00573068" w:rsidRDefault="00353005" w:rsidP="003356AE">
      <w:pPr>
        <w:spacing w:line="240" w:lineRule="auto"/>
      </w:pPr>
    </w:p>
    <w:p w14:paraId="2085D8D6" w14:textId="77777777" w:rsidR="00353005" w:rsidRPr="00573068" w:rsidRDefault="00353005" w:rsidP="003356AE">
      <w:pPr>
        <w:pStyle w:val="VAHeadingLevel2"/>
        <w:spacing w:line="240" w:lineRule="auto"/>
      </w:pPr>
      <w:r w:rsidRPr="00573068">
        <w:t>The Group Revenue Budget</w:t>
      </w:r>
    </w:p>
    <w:p w14:paraId="49DC5605" w14:textId="77777777" w:rsidR="00353005" w:rsidRPr="00573068" w:rsidRDefault="00353005" w:rsidP="003356AE">
      <w:pPr>
        <w:numPr>
          <w:ilvl w:val="2"/>
          <w:numId w:val="0"/>
        </w:numPr>
        <w:tabs>
          <w:tab w:val="left" w:pos="1985"/>
        </w:tabs>
        <w:spacing w:line="240" w:lineRule="auto"/>
        <w:jc w:val="left"/>
        <w:rPr>
          <w:rFonts w:eastAsia="Times New Roman" w:cs="Times New Roman"/>
          <w:bCs/>
          <w:color w:val="25316C"/>
        </w:rPr>
      </w:pPr>
    </w:p>
    <w:p w14:paraId="24DCD436" w14:textId="77777777" w:rsidR="00353005" w:rsidRPr="00573068" w:rsidRDefault="00353005" w:rsidP="003356AE">
      <w:pPr>
        <w:pStyle w:val="VAHeadingLevel3"/>
        <w:spacing w:line="240" w:lineRule="auto"/>
      </w:pPr>
      <w:r w:rsidRPr="00573068">
        <w:t>Funding</w:t>
      </w:r>
    </w:p>
    <w:p w14:paraId="7CCB543E" w14:textId="6416EF7B" w:rsidR="00B566D1" w:rsidRPr="00070DCF" w:rsidRDefault="00B566D1" w:rsidP="00576DBE">
      <w:r w:rsidRPr="00070DCF">
        <w:t>Funding for the Police service is through a combination of government grant and precept (council tax)</w:t>
      </w:r>
      <w:r w:rsidR="008306B8" w:rsidRPr="00070DCF">
        <w:t xml:space="preserve">.  </w:t>
      </w:r>
      <w:r w:rsidRPr="00070DCF">
        <w:t xml:space="preserve">In 2025/26 the council tax element was based on a tax base of 263,735 properties at £320.04 at Band </w:t>
      </w:r>
      <w:r w:rsidR="008306B8" w:rsidRPr="00070DCF">
        <w:t xml:space="preserve">D.  </w:t>
      </w:r>
      <w:r w:rsidRPr="00070DCF">
        <w:t>This was an increase of £14 per property compared to 2024/25.</w:t>
      </w:r>
    </w:p>
    <w:p w14:paraId="1F6BC583" w14:textId="77777777" w:rsidR="00B566D1" w:rsidRPr="00070DCF" w:rsidRDefault="00B566D1" w:rsidP="003356AE">
      <w:pPr>
        <w:spacing w:line="240" w:lineRule="auto"/>
        <w:rPr>
          <w:szCs w:val="20"/>
        </w:rPr>
      </w:pPr>
    </w:p>
    <w:p w14:paraId="0484F727" w14:textId="77777777" w:rsidR="00B566D1" w:rsidRPr="00070DCF" w:rsidRDefault="00B566D1" w:rsidP="00576DBE">
      <w:r w:rsidRPr="00070DCF">
        <w:t>A breakdown of this funding and its distribution across the major budget headings is as follows:</w:t>
      </w:r>
    </w:p>
    <w:p w14:paraId="020B1A36" w14:textId="28830530" w:rsidR="00353005" w:rsidRDefault="00353005" w:rsidP="003356AE">
      <w:pPr>
        <w:spacing w:line="240" w:lineRule="auto"/>
        <w:rPr>
          <w:highlight w:val="yellow"/>
        </w:rPr>
      </w:pPr>
    </w:p>
    <w:p w14:paraId="5BA33379" w14:textId="0941F211" w:rsidR="0008172C" w:rsidRDefault="003163E8" w:rsidP="003356AE">
      <w:pPr>
        <w:spacing w:line="240" w:lineRule="auto"/>
        <w:rPr>
          <w:highlight w:val="yellow"/>
        </w:rPr>
      </w:pPr>
      <w:r>
        <w:rPr>
          <w:noProof/>
        </w:rPr>
        <w:drawing>
          <wp:inline distT="0" distB="0" distL="0" distR="0" wp14:anchorId="41F027EE" wp14:editId="7F13350F">
            <wp:extent cx="2867660" cy="2433463"/>
            <wp:effectExtent l="0" t="0" r="8890" b="5080"/>
            <wp:docPr id="10842848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84867" name="Picture 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7660" cy="2433463"/>
                    </a:xfrm>
                    <a:prstGeom prst="rect">
                      <a:avLst/>
                    </a:prstGeom>
                    <a:noFill/>
                  </pic:spPr>
                </pic:pic>
              </a:graphicData>
            </a:graphic>
          </wp:inline>
        </w:drawing>
      </w:r>
    </w:p>
    <w:p w14:paraId="718529B3" w14:textId="5F61BEEE" w:rsidR="003163E8" w:rsidRPr="000E2186" w:rsidRDefault="00E81EC3" w:rsidP="003356AE">
      <w:pPr>
        <w:spacing w:line="240" w:lineRule="auto"/>
        <w:rPr>
          <w:highlight w:val="yellow"/>
        </w:rPr>
      </w:pPr>
      <w:r>
        <w:rPr>
          <w:noProof/>
        </w:rPr>
        <w:drawing>
          <wp:inline distT="0" distB="0" distL="0" distR="0" wp14:anchorId="43E692D8" wp14:editId="7C7DBEF2">
            <wp:extent cx="2867660" cy="2432943"/>
            <wp:effectExtent l="0" t="0" r="8890" b="5715"/>
            <wp:docPr id="17892371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37120" name="Picture 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7660" cy="2432943"/>
                    </a:xfrm>
                    <a:prstGeom prst="rect">
                      <a:avLst/>
                    </a:prstGeom>
                    <a:noFill/>
                  </pic:spPr>
                </pic:pic>
              </a:graphicData>
            </a:graphic>
          </wp:inline>
        </w:drawing>
      </w:r>
    </w:p>
    <w:p w14:paraId="02FA5BE1" w14:textId="77777777" w:rsidR="009A27CF" w:rsidRPr="00070DCF" w:rsidRDefault="009A27CF" w:rsidP="003356AE">
      <w:pPr>
        <w:spacing w:line="240" w:lineRule="auto"/>
      </w:pPr>
      <w:bookmarkStart w:id="31" w:name="_Hlk167356872"/>
      <w:r w:rsidRPr="00070DCF">
        <w:t>*Subject to rounding</w:t>
      </w:r>
    </w:p>
    <w:p w14:paraId="59A367A1" w14:textId="77777777" w:rsidR="009A27CF" w:rsidRPr="00070DCF" w:rsidRDefault="009A27CF" w:rsidP="00576DBE">
      <w:r w:rsidRPr="00070DCF">
        <w:t>In 202</w:t>
      </w:r>
      <w:r>
        <w:t>5</w:t>
      </w:r>
      <w:r w:rsidRPr="00070DCF">
        <w:t>/2</w:t>
      </w:r>
      <w:r>
        <w:t>6</w:t>
      </w:r>
      <w:r w:rsidRPr="00070DCF">
        <w:t>, the PFCC continued to invest in Northamptonshire Police and maintain officer numbers at over 1,501.</w:t>
      </w:r>
    </w:p>
    <w:p w14:paraId="639ADA61" w14:textId="77777777" w:rsidR="00353005" w:rsidRPr="000E2186" w:rsidRDefault="00353005" w:rsidP="003356AE">
      <w:pPr>
        <w:spacing w:line="240" w:lineRule="auto"/>
        <w:rPr>
          <w:highlight w:val="yellow"/>
        </w:rPr>
      </w:pPr>
    </w:p>
    <w:bookmarkEnd w:id="31"/>
    <w:p w14:paraId="31F6BCD2" w14:textId="77777777" w:rsidR="00216354" w:rsidRPr="00482221" w:rsidRDefault="00216354" w:rsidP="00576DBE">
      <w:r w:rsidRPr="00C52B8A">
        <w:t xml:space="preserve">In addition to funding of officer </w:t>
      </w:r>
      <w:r w:rsidRPr="00482221">
        <w:t>uplift, the 2025/26 budget included ring-fencing the sum of £1.0m for the Chief Constable to support new areas of investment.</w:t>
      </w:r>
    </w:p>
    <w:p w14:paraId="61B6A40C" w14:textId="77777777" w:rsidR="00216354" w:rsidRPr="00482221" w:rsidRDefault="00216354" w:rsidP="00576DBE">
      <w:pPr>
        <w:rPr>
          <w:rFonts w:asciiTheme="minorHAnsi" w:eastAsiaTheme="minorEastAsia" w:hAnsiTheme="minorHAnsi" w:cs="Times New Roman"/>
          <w:szCs w:val="20"/>
        </w:rPr>
      </w:pPr>
    </w:p>
    <w:p w14:paraId="36C03F72" w14:textId="77777777" w:rsidR="00216354" w:rsidRPr="00FB2248" w:rsidRDefault="00216354" w:rsidP="00576DBE">
      <w:r w:rsidRPr="00FB2248">
        <w:t xml:space="preserve">The OPFCC Commissioning and Delivery Budget continued to include substantial investment in order to: </w:t>
      </w:r>
    </w:p>
    <w:p w14:paraId="084EBF26" w14:textId="77777777" w:rsidR="00216354" w:rsidRPr="00FB2248" w:rsidRDefault="00216354" w:rsidP="003356AE">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Prioritise work to support victims and the vulnerable, including placement of Domestic Violence specialists in the Force Control Room.</w:t>
      </w:r>
    </w:p>
    <w:p w14:paraId="5007DA43" w14:textId="77777777" w:rsidR="00216354" w:rsidRPr="00FB2248" w:rsidRDefault="00216354" w:rsidP="003356AE">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A focus on reducing Violence Against Women and Girls (VAWG)</w:t>
      </w:r>
    </w:p>
    <w:p w14:paraId="584D24CA" w14:textId="77777777" w:rsidR="00216354" w:rsidRPr="00FB2248" w:rsidRDefault="00216354" w:rsidP="003356AE">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Take forward initiatives to reduce domestic violence</w:t>
      </w:r>
    </w:p>
    <w:p w14:paraId="22893B2B" w14:textId="77777777" w:rsidR="00216354" w:rsidRPr="00FB2248" w:rsidRDefault="00216354" w:rsidP="003356AE">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Work with partners to introduce programmes aimed at reducing re-offending</w:t>
      </w:r>
    </w:p>
    <w:p w14:paraId="05AF95AD" w14:textId="77777777" w:rsidR="00216354" w:rsidRPr="00FB2248" w:rsidRDefault="00216354" w:rsidP="003356AE">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To continue to prioritise targeted Youth Intervention and engagement work</w:t>
      </w:r>
    </w:p>
    <w:p w14:paraId="3C0DB20A" w14:textId="77777777" w:rsidR="00216354" w:rsidRPr="00FB2248" w:rsidRDefault="00216354" w:rsidP="003356AE">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Continue work on crime prevention, rural crime and anti-social behaviour</w:t>
      </w:r>
    </w:p>
    <w:p w14:paraId="7473F934" w14:textId="77777777" w:rsidR="00216354" w:rsidRPr="00FB2248" w:rsidRDefault="00216354" w:rsidP="003356AE">
      <w:pPr>
        <w:numPr>
          <w:ilvl w:val="0"/>
          <w:numId w:val="2"/>
        </w:numPr>
        <w:spacing w:after="0" w:line="240" w:lineRule="auto"/>
        <w:ind w:left="426"/>
        <w:rPr>
          <w:rFonts w:asciiTheme="minorHAnsi" w:eastAsia="Times New Roman" w:hAnsiTheme="minorHAnsi" w:cs="Times New Roman"/>
          <w:szCs w:val="20"/>
        </w:rPr>
      </w:pPr>
      <w:r w:rsidRPr="00FB2248">
        <w:rPr>
          <w:rFonts w:asciiTheme="minorHAnsi" w:eastAsia="Times New Roman" w:hAnsiTheme="minorHAnsi" w:cs="Times New Roman"/>
          <w:szCs w:val="20"/>
        </w:rPr>
        <w:t>Maximise use of available grant funding to deliver new initiatives</w:t>
      </w:r>
    </w:p>
    <w:p w14:paraId="202C3C59" w14:textId="77777777" w:rsidR="00216354" w:rsidRPr="00FB2248" w:rsidRDefault="00216354" w:rsidP="003356AE">
      <w:pPr>
        <w:spacing w:after="0" w:line="240" w:lineRule="auto"/>
        <w:ind w:left="720"/>
        <w:rPr>
          <w:rFonts w:asciiTheme="minorHAnsi" w:eastAsia="Times New Roman" w:hAnsiTheme="minorHAnsi" w:cs="Times New Roman"/>
          <w:szCs w:val="20"/>
        </w:rPr>
      </w:pPr>
    </w:p>
    <w:p w14:paraId="5C13F0EE" w14:textId="77777777" w:rsidR="00216354" w:rsidRPr="00586918" w:rsidRDefault="00216354" w:rsidP="00576DBE">
      <w:pPr>
        <w:rPr>
          <w:rFonts w:eastAsia="Calibri"/>
          <w:szCs w:val="20"/>
        </w:rPr>
      </w:pPr>
      <w:r w:rsidRPr="00FB2248">
        <w:t xml:space="preserve">Rigorous budgetary control arrangements are in place together with a devolved system of budgetary control, which ensured resources were allocated to priorities as required.  Monthly control reports on budgetary </w:t>
      </w:r>
      <w:r w:rsidRPr="00586918">
        <w:t>performance for the group are scrutinised.</w:t>
      </w:r>
    </w:p>
    <w:p w14:paraId="040EC90F" w14:textId="77777777" w:rsidR="00216354" w:rsidRPr="00586918" w:rsidRDefault="00216354" w:rsidP="003356AE">
      <w:pPr>
        <w:spacing w:line="240" w:lineRule="auto"/>
      </w:pPr>
    </w:p>
    <w:p w14:paraId="7BF0FC0E" w14:textId="0930D8B8" w:rsidR="00353005" w:rsidRPr="00586918" w:rsidRDefault="00353005" w:rsidP="003356AE">
      <w:pPr>
        <w:pStyle w:val="VAHeadingLevel2"/>
        <w:spacing w:line="240" w:lineRule="auto"/>
      </w:pPr>
      <w:r w:rsidRPr="00586918">
        <w:t>Group Revenue Outturn</w:t>
      </w:r>
    </w:p>
    <w:p w14:paraId="6702B22D" w14:textId="77777777" w:rsidR="00353005" w:rsidRPr="00586918" w:rsidRDefault="00353005" w:rsidP="003356AE">
      <w:pPr>
        <w:spacing w:line="240" w:lineRule="auto"/>
      </w:pPr>
    </w:p>
    <w:p w14:paraId="3785F01F" w14:textId="77777777" w:rsidR="00586918" w:rsidRPr="00E81EC3" w:rsidRDefault="00586918" w:rsidP="00576DBE">
      <w:r w:rsidRPr="00586918">
        <w:t xml:space="preserve">The total budget envelope for the OPFCC Group, including the OCC in 2025/26 was £194.2m.  The provisional year-end </w:t>
      </w:r>
      <w:r w:rsidRPr="00E81EC3">
        <w:t>outturn is as follows:</w:t>
      </w:r>
    </w:p>
    <w:p w14:paraId="089FE237" w14:textId="77777777" w:rsidR="00353005" w:rsidRPr="00E81EC3" w:rsidRDefault="00353005" w:rsidP="003356AE">
      <w:pPr>
        <w:spacing w:line="240" w:lineRule="auto"/>
      </w:pPr>
    </w:p>
    <w:tbl>
      <w:tblPr>
        <w:tblW w:w="4580" w:type="dxa"/>
        <w:tblLook w:val="04A0" w:firstRow="1" w:lastRow="0" w:firstColumn="1" w:lastColumn="0" w:noHBand="0" w:noVBand="1"/>
      </w:tblPr>
      <w:tblGrid>
        <w:gridCol w:w="3596"/>
        <w:gridCol w:w="984"/>
      </w:tblGrid>
      <w:tr w:rsidR="00353005" w:rsidRPr="00E81EC3" w14:paraId="17ABD463" w14:textId="77777777" w:rsidTr="00373635">
        <w:trPr>
          <w:trHeight w:val="315"/>
        </w:trPr>
        <w:tc>
          <w:tcPr>
            <w:tcW w:w="3596" w:type="dxa"/>
            <w:vMerge w:val="restart"/>
            <w:tcBorders>
              <w:top w:val="nil"/>
              <w:left w:val="nil"/>
              <w:bottom w:val="nil"/>
              <w:right w:val="nil"/>
            </w:tcBorders>
            <w:shd w:val="clear" w:color="000000" w:fill="000099"/>
            <w:noWrap/>
            <w:vAlign w:val="center"/>
            <w:hideMark/>
          </w:tcPr>
          <w:p w14:paraId="4BC29078" w14:textId="4299566E" w:rsidR="00353005" w:rsidRPr="00E81EC3" w:rsidRDefault="00353005" w:rsidP="00373635">
            <w:pPr>
              <w:spacing w:line="240" w:lineRule="auto"/>
              <w:jc w:val="left"/>
              <w:rPr>
                <w:rFonts w:eastAsia="Times New Roman" w:cs="Calibri"/>
                <w:b/>
                <w:bCs/>
                <w:color w:val="FFFFFF"/>
                <w:szCs w:val="20"/>
                <w:lang w:eastAsia="en-GB"/>
              </w:rPr>
            </w:pPr>
            <w:r w:rsidRPr="00E81EC3">
              <w:rPr>
                <w:rFonts w:eastAsia="Times New Roman" w:cs="Calibri"/>
                <w:b/>
                <w:bCs/>
                <w:color w:val="FFFFFF" w:themeColor="background1"/>
                <w:szCs w:val="20"/>
                <w:lang w:eastAsia="en-GB"/>
              </w:rPr>
              <w:t>202</w:t>
            </w:r>
            <w:r w:rsidR="00E81EC3">
              <w:rPr>
                <w:rFonts w:eastAsia="Times New Roman" w:cs="Calibri"/>
                <w:b/>
                <w:bCs/>
                <w:color w:val="FFFFFF" w:themeColor="background1"/>
                <w:szCs w:val="20"/>
                <w:lang w:eastAsia="en-GB"/>
              </w:rPr>
              <w:t>5</w:t>
            </w:r>
            <w:r w:rsidRPr="00E81EC3">
              <w:rPr>
                <w:rFonts w:eastAsia="Times New Roman" w:cs="Calibri"/>
                <w:b/>
                <w:bCs/>
                <w:color w:val="FFFFFF" w:themeColor="background1"/>
                <w:szCs w:val="20"/>
                <w:lang w:eastAsia="en-GB"/>
              </w:rPr>
              <w:t>/2</w:t>
            </w:r>
            <w:r w:rsidR="00E81EC3">
              <w:rPr>
                <w:rFonts w:eastAsia="Times New Roman" w:cs="Calibri"/>
                <w:b/>
                <w:bCs/>
                <w:color w:val="FFFFFF" w:themeColor="background1"/>
                <w:szCs w:val="20"/>
                <w:lang w:eastAsia="en-GB"/>
              </w:rPr>
              <w:t>6</w:t>
            </w:r>
            <w:r w:rsidRPr="00E81EC3">
              <w:rPr>
                <w:rFonts w:eastAsia="Times New Roman" w:cs="Calibri"/>
                <w:b/>
                <w:bCs/>
                <w:color w:val="FFFFFF" w:themeColor="background1"/>
                <w:szCs w:val="20"/>
                <w:lang w:eastAsia="en-GB"/>
              </w:rPr>
              <w:t xml:space="preserve"> Group Budget</w:t>
            </w:r>
          </w:p>
        </w:tc>
        <w:tc>
          <w:tcPr>
            <w:tcW w:w="984" w:type="dxa"/>
            <w:tcBorders>
              <w:top w:val="nil"/>
              <w:left w:val="nil"/>
              <w:bottom w:val="nil"/>
              <w:right w:val="nil"/>
            </w:tcBorders>
            <w:shd w:val="clear" w:color="000000" w:fill="000099"/>
            <w:vAlign w:val="center"/>
            <w:hideMark/>
          </w:tcPr>
          <w:p w14:paraId="022D1C85" w14:textId="77777777" w:rsidR="00353005" w:rsidRPr="00E81EC3" w:rsidRDefault="00353005" w:rsidP="00373635">
            <w:pPr>
              <w:spacing w:line="240" w:lineRule="auto"/>
              <w:jc w:val="center"/>
              <w:rPr>
                <w:rFonts w:eastAsia="Times New Roman" w:cs="Calibri"/>
                <w:b/>
                <w:bCs/>
                <w:color w:val="FFFFFF"/>
                <w:szCs w:val="20"/>
                <w:lang w:eastAsia="en-GB"/>
              </w:rPr>
            </w:pPr>
            <w:r w:rsidRPr="00E81EC3">
              <w:rPr>
                <w:rFonts w:eastAsia="Times New Roman" w:cs="Calibri"/>
                <w:b/>
                <w:bCs/>
                <w:color w:val="FFFFFF" w:themeColor="background1"/>
                <w:szCs w:val="20"/>
                <w:lang w:eastAsia="en-GB"/>
              </w:rPr>
              <w:t>Variance</w:t>
            </w:r>
          </w:p>
        </w:tc>
      </w:tr>
      <w:tr w:rsidR="00353005" w:rsidRPr="00E81EC3" w14:paraId="4D4DE2B4" w14:textId="77777777" w:rsidTr="00373635">
        <w:trPr>
          <w:trHeight w:val="315"/>
        </w:trPr>
        <w:tc>
          <w:tcPr>
            <w:tcW w:w="3596" w:type="dxa"/>
            <w:vMerge/>
            <w:tcBorders>
              <w:top w:val="nil"/>
              <w:left w:val="nil"/>
              <w:bottom w:val="nil"/>
              <w:right w:val="nil"/>
            </w:tcBorders>
            <w:vAlign w:val="center"/>
            <w:hideMark/>
          </w:tcPr>
          <w:p w14:paraId="35FFAB0A" w14:textId="77777777" w:rsidR="00353005" w:rsidRPr="00E81EC3" w:rsidRDefault="00353005" w:rsidP="00373635">
            <w:pPr>
              <w:spacing w:line="240" w:lineRule="auto"/>
              <w:jc w:val="left"/>
              <w:rPr>
                <w:rFonts w:eastAsia="Times New Roman" w:cs="Calibri"/>
                <w:b/>
                <w:bCs/>
                <w:color w:val="FFFFFF"/>
                <w:szCs w:val="20"/>
                <w:lang w:eastAsia="en-GB"/>
              </w:rPr>
            </w:pPr>
          </w:p>
        </w:tc>
        <w:tc>
          <w:tcPr>
            <w:tcW w:w="984" w:type="dxa"/>
            <w:tcBorders>
              <w:top w:val="nil"/>
              <w:left w:val="nil"/>
              <w:bottom w:val="nil"/>
              <w:right w:val="nil"/>
            </w:tcBorders>
            <w:shd w:val="clear" w:color="000000" w:fill="000099"/>
            <w:vAlign w:val="center"/>
            <w:hideMark/>
          </w:tcPr>
          <w:p w14:paraId="2C517DA5" w14:textId="77777777" w:rsidR="00353005" w:rsidRPr="00E81EC3" w:rsidRDefault="00353005" w:rsidP="00373635">
            <w:pPr>
              <w:spacing w:line="240" w:lineRule="auto"/>
              <w:jc w:val="center"/>
              <w:rPr>
                <w:rFonts w:eastAsia="Times New Roman" w:cs="Calibri"/>
                <w:b/>
                <w:bCs/>
                <w:color w:val="FFFFFF"/>
                <w:szCs w:val="20"/>
                <w:lang w:eastAsia="en-GB"/>
              </w:rPr>
            </w:pPr>
            <w:r w:rsidRPr="00E81EC3">
              <w:rPr>
                <w:rFonts w:eastAsia="Times New Roman" w:cs="Calibri"/>
                <w:b/>
                <w:bCs/>
                <w:color w:val="FFFFFF"/>
                <w:szCs w:val="20"/>
                <w:lang w:eastAsia="en-GB"/>
              </w:rPr>
              <w:t>£m</w:t>
            </w:r>
          </w:p>
        </w:tc>
      </w:tr>
      <w:tr w:rsidR="00353005" w:rsidRPr="00E81EC3" w14:paraId="034A64F3" w14:textId="77777777" w:rsidTr="00373635">
        <w:trPr>
          <w:trHeight w:val="315"/>
        </w:trPr>
        <w:tc>
          <w:tcPr>
            <w:tcW w:w="3596" w:type="dxa"/>
            <w:tcBorders>
              <w:top w:val="nil"/>
              <w:left w:val="nil"/>
              <w:bottom w:val="nil"/>
              <w:right w:val="nil"/>
            </w:tcBorders>
            <w:shd w:val="clear" w:color="000000" w:fill="FFFFFF"/>
            <w:noWrap/>
            <w:vAlign w:val="center"/>
            <w:hideMark/>
          </w:tcPr>
          <w:p w14:paraId="3FFF0355" w14:textId="77777777" w:rsidR="00353005" w:rsidRPr="00E81EC3" w:rsidRDefault="00353005" w:rsidP="00373635">
            <w:pPr>
              <w:spacing w:line="240" w:lineRule="auto"/>
              <w:jc w:val="left"/>
              <w:rPr>
                <w:rFonts w:eastAsia="Times New Roman" w:cs="Calibri"/>
                <w:color w:val="000000"/>
                <w:szCs w:val="20"/>
                <w:lang w:eastAsia="en-GB"/>
              </w:rPr>
            </w:pPr>
            <w:r w:rsidRPr="00E81EC3">
              <w:rPr>
                <w:rFonts w:eastAsia="Times New Roman" w:cs="Calibri"/>
                <w:color w:val="000000"/>
                <w:szCs w:val="20"/>
                <w:lang w:eastAsia="en-GB"/>
              </w:rPr>
              <w:t>Chief Constable</w:t>
            </w:r>
          </w:p>
        </w:tc>
        <w:tc>
          <w:tcPr>
            <w:tcW w:w="984" w:type="dxa"/>
            <w:tcBorders>
              <w:top w:val="nil"/>
              <w:left w:val="nil"/>
              <w:bottom w:val="nil"/>
              <w:right w:val="nil"/>
            </w:tcBorders>
            <w:shd w:val="clear" w:color="000000" w:fill="CCECFF"/>
            <w:noWrap/>
            <w:vAlign w:val="center"/>
            <w:hideMark/>
          </w:tcPr>
          <w:p w14:paraId="352FBBF5" w14:textId="5D1C1719" w:rsidR="00353005" w:rsidRPr="00E81EC3" w:rsidRDefault="003E173F" w:rsidP="00373635">
            <w:pPr>
              <w:spacing w:line="240" w:lineRule="auto"/>
              <w:jc w:val="right"/>
              <w:rPr>
                <w:rFonts w:eastAsia="Times New Roman" w:cs="Calibri"/>
                <w:color w:val="000000"/>
                <w:szCs w:val="20"/>
                <w:lang w:eastAsia="en-GB"/>
              </w:rPr>
            </w:pPr>
            <w:r>
              <w:rPr>
                <w:rFonts w:eastAsia="Times New Roman" w:cs="Calibri"/>
                <w:color w:val="000000"/>
                <w:szCs w:val="20"/>
                <w:lang w:eastAsia="en-GB"/>
              </w:rPr>
              <w:t>0.630</w:t>
            </w:r>
          </w:p>
        </w:tc>
      </w:tr>
      <w:tr w:rsidR="00353005" w:rsidRPr="00E81EC3" w14:paraId="79861907" w14:textId="77777777" w:rsidTr="00373635">
        <w:trPr>
          <w:trHeight w:val="315"/>
        </w:trPr>
        <w:tc>
          <w:tcPr>
            <w:tcW w:w="3596" w:type="dxa"/>
            <w:tcBorders>
              <w:top w:val="nil"/>
              <w:left w:val="nil"/>
              <w:bottom w:val="nil"/>
              <w:right w:val="nil"/>
            </w:tcBorders>
            <w:shd w:val="clear" w:color="000000" w:fill="FFFFFF"/>
            <w:noWrap/>
            <w:vAlign w:val="center"/>
            <w:hideMark/>
          </w:tcPr>
          <w:p w14:paraId="580F6191" w14:textId="77777777" w:rsidR="00353005" w:rsidRPr="00E81EC3" w:rsidRDefault="00353005" w:rsidP="00373635">
            <w:pPr>
              <w:spacing w:line="240" w:lineRule="auto"/>
              <w:jc w:val="left"/>
              <w:rPr>
                <w:rFonts w:eastAsia="Times New Roman" w:cs="Calibri"/>
                <w:color w:val="000000"/>
                <w:szCs w:val="20"/>
                <w:lang w:eastAsia="en-GB"/>
              </w:rPr>
            </w:pPr>
            <w:r w:rsidRPr="00E81EC3">
              <w:rPr>
                <w:rFonts w:eastAsia="Times New Roman" w:cs="Calibri"/>
                <w:color w:val="000000"/>
                <w:szCs w:val="20"/>
                <w:lang w:eastAsia="en-GB"/>
              </w:rPr>
              <w:t>OPFCC (inc. Commissioning &amp; Delivery)</w:t>
            </w:r>
          </w:p>
        </w:tc>
        <w:tc>
          <w:tcPr>
            <w:tcW w:w="984" w:type="dxa"/>
            <w:tcBorders>
              <w:top w:val="nil"/>
              <w:left w:val="nil"/>
              <w:bottom w:val="nil"/>
              <w:right w:val="nil"/>
            </w:tcBorders>
            <w:shd w:val="clear" w:color="000000" w:fill="CCECFF"/>
            <w:noWrap/>
            <w:vAlign w:val="center"/>
            <w:hideMark/>
          </w:tcPr>
          <w:p w14:paraId="611EE6B8" w14:textId="59DA801E" w:rsidR="00353005" w:rsidRPr="00E81EC3" w:rsidRDefault="00353005" w:rsidP="00373635">
            <w:pPr>
              <w:spacing w:line="240" w:lineRule="auto"/>
              <w:jc w:val="right"/>
              <w:rPr>
                <w:rFonts w:eastAsia="Times New Roman" w:cs="Calibri"/>
                <w:color w:val="000000"/>
                <w:szCs w:val="20"/>
                <w:lang w:eastAsia="en-GB"/>
              </w:rPr>
            </w:pPr>
            <w:r w:rsidRPr="00E81EC3">
              <w:rPr>
                <w:rFonts w:eastAsia="Times New Roman" w:cs="Calibri"/>
                <w:color w:val="000000"/>
                <w:szCs w:val="20"/>
                <w:lang w:eastAsia="en-GB"/>
              </w:rPr>
              <w:t>(0.0</w:t>
            </w:r>
            <w:r w:rsidR="003E173F">
              <w:rPr>
                <w:rFonts w:eastAsia="Times New Roman" w:cs="Calibri"/>
                <w:color w:val="000000"/>
                <w:szCs w:val="20"/>
                <w:lang w:eastAsia="en-GB"/>
              </w:rPr>
              <w:t>70)</w:t>
            </w:r>
          </w:p>
        </w:tc>
      </w:tr>
      <w:tr w:rsidR="00353005" w:rsidRPr="00E81EC3" w14:paraId="6B9E9B02" w14:textId="77777777" w:rsidTr="00373635">
        <w:trPr>
          <w:trHeight w:val="315"/>
        </w:trPr>
        <w:tc>
          <w:tcPr>
            <w:tcW w:w="3596" w:type="dxa"/>
            <w:tcBorders>
              <w:top w:val="nil"/>
              <w:left w:val="nil"/>
              <w:bottom w:val="nil"/>
              <w:right w:val="nil"/>
            </w:tcBorders>
            <w:shd w:val="clear" w:color="000000" w:fill="FFFFFF"/>
            <w:noWrap/>
            <w:vAlign w:val="center"/>
            <w:hideMark/>
          </w:tcPr>
          <w:p w14:paraId="287B08DF" w14:textId="211A2362" w:rsidR="00353005" w:rsidRPr="00E81EC3" w:rsidRDefault="00353005" w:rsidP="00373635">
            <w:pPr>
              <w:spacing w:line="240" w:lineRule="auto"/>
              <w:jc w:val="left"/>
              <w:rPr>
                <w:rFonts w:eastAsia="Times New Roman" w:cs="Calibri"/>
                <w:color w:val="000000"/>
                <w:szCs w:val="20"/>
                <w:lang w:eastAsia="en-GB"/>
              </w:rPr>
            </w:pPr>
            <w:r w:rsidRPr="00E81EC3">
              <w:rPr>
                <w:rFonts w:eastAsia="Times New Roman" w:cs="Calibri"/>
                <w:color w:val="000000"/>
                <w:szCs w:val="20"/>
                <w:lang w:eastAsia="en-GB"/>
              </w:rPr>
              <w:t>C</w:t>
            </w:r>
            <w:r w:rsidR="003E173F">
              <w:rPr>
                <w:rFonts w:eastAsia="Times New Roman" w:cs="Calibri"/>
                <w:color w:val="000000"/>
                <w:szCs w:val="20"/>
                <w:lang w:eastAsia="en-GB"/>
              </w:rPr>
              <w:t>apital Financing</w:t>
            </w:r>
          </w:p>
        </w:tc>
        <w:tc>
          <w:tcPr>
            <w:tcW w:w="984" w:type="dxa"/>
            <w:tcBorders>
              <w:top w:val="nil"/>
              <w:left w:val="nil"/>
              <w:bottom w:val="nil"/>
              <w:right w:val="nil"/>
            </w:tcBorders>
            <w:shd w:val="clear" w:color="000000" w:fill="CCECFF"/>
            <w:noWrap/>
            <w:vAlign w:val="center"/>
            <w:hideMark/>
          </w:tcPr>
          <w:p w14:paraId="13101913" w14:textId="6F68A599" w:rsidR="00353005" w:rsidRPr="00E81EC3" w:rsidRDefault="003E173F" w:rsidP="00373635">
            <w:pPr>
              <w:spacing w:line="240" w:lineRule="auto"/>
              <w:jc w:val="right"/>
              <w:rPr>
                <w:rFonts w:eastAsia="Times New Roman" w:cs="Calibri"/>
                <w:color w:val="000000"/>
                <w:szCs w:val="20"/>
                <w:lang w:eastAsia="en-GB"/>
              </w:rPr>
            </w:pPr>
            <w:r>
              <w:rPr>
                <w:rFonts w:eastAsia="Times New Roman" w:cs="Calibri"/>
                <w:color w:val="000000"/>
                <w:szCs w:val="20"/>
                <w:lang w:eastAsia="en-GB"/>
              </w:rPr>
              <w:t>(0.038)</w:t>
            </w:r>
          </w:p>
        </w:tc>
      </w:tr>
      <w:tr w:rsidR="00353005" w:rsidRPr="00E81EC3" w14:paraId="54F96921" w14:textId="77777777" w:rsidTr="00373635">
        <w:trPr>
          <w:trHeight w:val="315"/>
        </w:trPr>
        <w:tc>
          <w:tcPr>
            <w:tcW w:w="3596" w:type="dxa"/>
            <w:tcBorders>
              <w:top w:val="single" w:sz="4" w:space="0" w:color="auto"/>
              <w:left w:val="nil"/>
              <w:bottom w:val="single" w:sz="4" w:space="0" w:color="auto"/>
              <w:right w:val="nil"/>
            </w:tcBorders>
            <w:shd w:val="clear" w:color="000000" w:fill="FFFFFF"/>
            <w:noWrap/>
            <w:vAlign w:val="center"/>
            <w:hideMark/>
          </w:tcPr>
          <w:p w14:paraId="3EAD82E7" w14:textId="77777777" w:rsidR="00353005" w:rsidRPr="00E81EC3" w:rsidRDefault="00353005" w:rsidP="00373635">
            <w:pPr>
              <w:spacing w:line="240" w:lineRule="auto"/>
              <w:jc w:val="left"/>
              <w:rPr>
                <w:rFonts w:eastAsia="Times New Roman" w:cs="Calibri"/>
                <w:b/>
                <w:bCs/>
                <w:color w:val="000000"/>
                <w:szCs w:val="20"/>
                <w:lang w:eastAsia="en-GB"/>
              </w:rPr>
            </w:pPr>
            <w:r w:rsidRPr="00E81EC3">
              <w:rPr>
                <w:rFonts w:eastAsia="Times New Roman" w:cs="Calibri"/>
                <w:b/>
                <w:bCs/>
                <w:color w:val="000000"/>
                <w:szCs w:val="20"/>
                <w:lang w:eastAsia="en-GB"/>
              </w:rPr>
              <w:t>Over/(Under)</w:t>
            </w:r>
          </w:p>
        </w:tc>
        <w:tc>
          <w:tcPr>
            <w:tcW w:w="984" w:type="dxa"/>
            <w:tcBorders>
              <w:top w:val="single" w:sz="4" w:space="0" w:color="auto"/>
              <w:left w:val="nil"/>
              <w:bottom w:val="single" w:sz="4" w:space="0" w:color="auto"/>
              <w:right w:val="nil"/>
            </w:tcBorders>
            <w:shd w:val="clear" w:color="000000" w:fill="CCECFF"/>
            <w:noWrap/>
            <w:vAlign w:val="center"/>
            <w:hideMark/>
          </w:tcPr>
          <w:p w14:paraId="2183B668" w14:textId="7C87EA9A" w:rsidR="00353005" w:rsidRPr="00E81EC3" w:rsidRDefault="003E173F" w:rsidP="00373635">
            <w:pPr>
              <w:spacing w:line="240" w:lineRule="auto"/>
              <w:jc w:val="right"/>
              <w:rPr>
                <w:rFonts w:eastAsia="Times New Roman" w:cs="Calibri"/>
                <w:b/>
                <w:bCs/>
                <w:color w:val="000000"/>
                <w:szCs w:val="20"/>
                <w:lang w:eastAsia="en-GB"/>
              </w:rPr>
            </w:pPr>
            <w:r>
              <w:rPr>
                <w:rFonts w:eastAsia="Times New Roman" w:cs="Calibri"/>
                <w:b/>
                <w:bCs/>
                <w:color w:val="000000"/>
                <w:szCs w:val="20"/>
                <w:lang w:eastAsia="en-GB"/>
              </w:rPr>
              <w:t>0.522</w:t>
            </w:r>
          </w:p>
        </w:tc>
      </w:tr>
    </w:tbl>
    <w:p w14:paraId="53C54E5D" w14:textId="77777777" w:rsidR="00353005" w:rsidRPr="00E81EC3" w:rsidRDefault="00353005" w:rsidP="003356AE">
      <w:pPr>
        <w:numPr>
          <w:ilvl w:val="1"/>
          <w:numId w:val="0"/>
        </w:numPr>
        <w:tabs>
          <w:tab w:val="left" w:pos="1418"/>
        </w:tabs>
        <w:spacing w:line="240" w:lineRule="auto"/>
        <w:jc w:val="left"/>
        <w:rPr>
          <w:rFonts w:asciiTheme="minorHAnsi" w:eastAsia="Times New Roman" w:hAnsiTheme="minorHAnsi" w:cs="Times New Roman"/>
          <w:bCs/>
          <w:color w:val="25316C"/>
          <w:szCs w:val="20"/>
        </w:rPr>
      </w:pPr>
    </w:p>
    <w:p w14:paraId="535C39A0" w14:textId="77777777" w:rsidR="00353005" w:rsidRPr="00E81EC3" w:rsidRDefault="00353005" w:rsidP="003356AE">
      <w:pPr>
        <w:pStyle w:val="VAHeadingLevel2"/>
        <w:spacing w:line="240" w:lineRule="auto"/>
      </w:pPr>
      <w:r w:rsidRPr="00E81EC3">
        <w:t>Budget Outturn of the Chief Constable</w:t>
      </w:r>
    </w:p>
    <w:p w14:paraId="141B81EC" w14:textId="77777777" w:rsidR="00353005" w:rsidRPr="00E81EC3" w:rsidRDefault="00353005" w:rsidP="003356AE">
      <w:pPr>
        <w:spacing w:line="240" w:lineRule="auto"/>
      </w:pPr>
    </w:p>
    <w:p w14:paraId="3777F18C" w14:textId="3139AF40" w:rsidR="00353005" w:rsidRPr="00E81EC3" w:rsidRDefault="00353005" w:rsidP="00576DBE">
      <w:r w:rsidRPr="00E81EC3">
        <w:t>The PFCC allocated £1</w:t>
      </w:r>
      <w:r w:rsidR="00801B7C">
        <w:t>83.798</w:t>
      </w:r>
      <w:r w:rsidRPr="00E81EC3">
        <w:t>m for the Chief Constable, including £1.</w:t>
      </w:r>
      <w:r w:rsidR="00801B7C">
        <w:t>0</w:t>
      </w:r>
      <w:r w:rsidRPr="00E81EC3">
        <w:t>m for new investment and a cashable efficiency savings target of £</w:t>
      </w:r>
      <w:r w:rsidR="00801B7C">
        <w:t>3.435</w:t>
      </w:r>
      <w:r w:rsidRPr="00E81EC3">
        <w:t>m.</w:t>
      </w:r>
    </w:p>
    <w:p w14:paraId="0F7A618D" w14:textId="77777777" w:rsidR="00353005" w:rsidRPr="00E81EC3" w:rsidRDefault="00353005" w:rsidP="003356AE">
      <w:pPr>
        <w:spacing w:line="240" w:lineRule="auto"/>
        <w:rPr>
          <w:noProof/>
          <w:lang w:eastAsia="en-GB"/>
        </w:rPr>
      </w:pPr>
    </w:p>
    <w:p w14:paraId="49ABA84C" w14:textId="1692DE3F" w:rsidR="00942587" w:rsidRPr="0019312F" w:rsidRDefault="0019312F" w:rsidP="003356AE">
      <w:pPr>
        <w:spacing w:line="240" w:lineRule="auto"/>
        <w:rPr>
          <w:noProof/>
        </w:rPr>
      </w:pPr>
      <w:r>
        <w:rPr>
          <w:noProof/>
        </w:rPr>
        <w:br w:type="column"/>
      </w:r>
      <w:r w:rsidR="00353005" w:rsidRPr="00E81EC3">
        <w:rPr>
          <w:noProof/>
        </w:rPr>
        <w:t xml:space="preserve">The Chief Constable </w:t>
      </w:r>
      <w:r w:rsidRPr="0019312F">
        <w:rPr>
          <w:noProof/>
        </w:rPr>
        <w:t>ov</w:t>
      </w:r>
      <w:r w:rsidR="00353005" w:rsidRPr="0019312F">
        <w:rPr>
          <w:noProof/>
        </w:rPr>
        <w:t>erspent by £</w:t>
      </w:r>
      <w:r w:rsidRPr="0019312F">
        <w:rPr>
          <w:noProof/>
        </w:rPr>
        <w:t>0.630</w:t>
      </w:r>
      <w:r w:rsidR="00353005" w:rsidRPr="0019312F">
        <w:rPr>
          <w:noProof/>
        </w:rPr>
        <w:t>m as follows:</w:t>
      </w:r>
    </w:p>
    <w:p w14:paraId="76F9FC3F" w14:textId="77777777" w:rsidR="00942587" w:rsidRPr="0019312F" w:rsidRDefault="00942587" w:rsidP="003356AE">
      <w:pPr>
        <w:spacing w:line="240" w:lineRule="auto"/>
        <w:rPr>
          <w:noProof/>
        </w:rPr>
      </w:pPr>
    </w:p>
    <w:tbl>
      <w:tblPr>
        <w:tblW w:w="4580" w:type="dxa"/>
        <w:tblLook w:val="04A0" w:firstRow="1" w:lastRow="0" w:firstColumn="1" w:lastColumn="0" w:noHBand="0" w:noVBand="1"/>
      </w:tblPr>
      <w:tblGrid>
        <w:gridCol w:w="3596"/>
        <w:gridCol w:w="984"/>
      </w:tblGrid>
      <w:tr w:rsidR="00353005" w:rsidRPr="0019312F" w14:paraId="4B2B6819" w14:textId="77777777" w:rsidTr="00373635">
        <w:trPr>
          <w:trHeight w:val="315"/>
        </w:trPr>
        <w:tc>
          <w:tcPr>
            <w:tcW w:w="3596" w:type="dxa"/>
            <w:vMerge w:val="restart"/>
            <w:tcBorders>
              <w:top w:val="nil"/>
              <w:left w:val="nil"/>
              <w:bottom w:val="nil"/>
              <w:right w:val="nil"/>
            </w:tcBorders>
            <w:shd w:val="clear" w:color="000000" w:fill="000099"/>
            <w:noWrap/>
            <w:vAlign w:val="center"/>
            <w:hideMark/>
          </w:tcPr>
          <w:p w14:paraId="5E0C95A2" w14:textId="2C12E1A3" w:rsidR="00353005" w:rsidRPr="0019312F" w:rsidRDefault="00353005" w:rsidP="00373635">
            <w:pPr>
              <w:spacing w:line="240" w:lineRule="auto"/>
              <w:jc w:val="left"/>
              <w:rPr>
                <w:rFonts w:eastAsia="Times New Roman" w:cs="Calibri"/>
                <w:b/>
                <w:bCs/>
                <w:color w:val="FFFFFF"/>
                <w:szCs w:val="20"/>
                <w:lang w:eastAsia="en-GB"/>
              </w:rPr>
            </w:pPr>
            <w:r w:rsidRPr="0019312F">
              <w:rPr>
                <w:rFonts w:eastAsia="Times New Roman" w:cs="Calibri"/>
                <w:b/>
                <w:bCs/>
                <w:color w:val="FFFFFF" w:themeColor="background1"/>
                <w:szCs w:val="20"/>
                <w:lang w:eastAsia="en-GB"/>
              </w:rPr>
              <w:t>202</w:t>
            </w:r>
            <w:r w:rsidR="00BA56B9">
              <w:rPr>
                <w:rFonts w:eastAsia="Times New Roman" w:cs="Calibri"/>
                <w:b/>
                <w:bCs/>
                <w:color w:val="FFFFFF" w:themeColor="background1"/>
                <w:szCs w:val="20"/>
                <w:lang w:eastAsia="en-GB"/>
              </w:rPr>
              <w:t>5</w:t>
            </w:r>
            <w:r w:rsidRPr="0019312F">
              <w:rPr>
                <w:rFonts w:eastAsia="Times New Roman" w:cs="Calibri"/>
                <w:b/>
                <w:bCs/>
                <w:color w:val="FFFFFF" w:themeColor="background1"/>
                <w:szCs w:val="20"/>
                <w:lang w:eastAsia="en-GB"/>
              </w:rPr>
              <w:t>/2</w:t>
            </w:r>
            <w:r w:rsidR="00BA56B9">
              <w:rPr>
                <w:rFonts w:eastAsia="Times New Roman" w:cs="Calibri"/>
                <w:b/>
                <w:bCs/>
                <w:color w:val="FFFFFF" w:themeColor="background1"/>
                <w:szCs w:val="20"/>
                <w:lang w:eastAsia="en-GB"/>
              </w:rPr>
              <w:t>6</w:t>
            </w:r>
            <w:r w:rsidRPr="0019312F">
              <w:rPr>
                <w:rFonts w:eastAsia="Times New Roman" w:cs="Calibri"/>
                <w:b/>
                <w:bCs/>
                <w:color w:val="FFFFFF" w:themeColor="background1"/>
                <w:szCs w:val="20"/>
                <w:lang w:eastAsia="en-GB"/>
              </w:rPr>
              <w:t xml:space="preserve"> Force Budget</w:t>
            </w:r>
          </w:p>
        </w:tc>
        <w:tc>
          <w:tcPr>
            <w:tcW w:w="984" w:type="dxa"/>
            <w:tcBorders>
              <w:top w:val="nil"/>
              <w:left w:val="nil"/>
              <w:bottom w:val="nil"/>
              <w:right w:val="nil"/>
            </w:tcBorders>
            <w:shd w:val="clear" w:color="000000" w:fill="000099"/>
            <w:vAlign w:val="center"/>
            <w:hideMark/>
          </w:tcPr>
          <w:p w14:paraId="23D55BB1" w14:textId="77777777" w:rsidR="00353005" w:rsidRPr="0019312F" w:rsidRDefault="00353005" w:rsidP="003356AE">
            <w:pPr>
              <w:spacing w:line="240" w:lineRule="auto"/>
              <w:jc w:val="center"/>
              <w:rPr>
                <w:rFonts w:eastAsia="Times New Roman" w:cs="Calibri"/>
                <w:b/>
                <w:bCs/>
                <w:color w:val="FFFFFF"/>
                <w:szCs w:val="20"/>
                <w:lang w:eastAsia="en-GB"/>
              </w:rPr>
            </w:pPr>
            <w:r w:rsidRPr="0019312F">
              <w:rPr>
                <w:rFonts w:eastAsia="Times New Roman" w:cs="Calibri"/>
                <w:b/>
                <w:bCs/>
                <w:color w:val="FFFFFF" w:themeColor="background1"/>
                <w:szCs w:val="20"/>
                <w:lang w:eastAsia="en-GB"/>
              </w:rPr>
              <w:t>Variance</w:t>
            </w:r>
          </w:p>
        </w:tc>
      </w:tr>
      <w:tr w:rsidR="00353005" w:rsidRPr="0019312F" w14:paraId="5181143E" w14:textId="77777777" w:rsidTr="00373635">
        <w:trPr>
          <w:trHeight w:val="315"/>
        </w:trPr>
        <w:tc>
          <w:tcPr>
            <w:tcW w:w="3596" w:type="dxa"/>
            <w:vMerge/>
            <w:tcBorders>
              <w:top w:val="nil"/>
              <w:left w:val="nil"/>
              <w:bottom w:val="nil"/>
              <w:right w:val="nil"/>
            </w:tcBorders>
            <w:vAlign w:val="center"/>
            <w:hideMark/>
          </w:tcPr>
          <w:p w14:paraId="5B4555E8" w14:textId="77777777" w:rsidR="00353005" w:rsidRPr="0019312F" w:rsidRDefault="00353005" w:rsidP="00373635">
            <w:pPr>
              <w:spacing w:line="240" w:lineRule="auto"/>
              <w:jc w:val="left"/>
              <w:rPr>
                <w:rFonts w:eastAsia="Times New Roman" w:cs="Calibri"/>
                <w:b/>
                <w:bCs/>
                <w:color w:val="FFFFFF"/>
                <w:szCs w:val="20"/>
                <w:lang w:eastAsia="en-GB"/>
              </w:rPr>
            </w:pPr>
          </w:p>
        </w:tc>
        <w:tc>
          <w:tcPr>
            <w:tcW w:w="984" w:type="dxa"/>
            <w:tcBorders>
              <w:top w:val="nil"/>
              <w:left w:val="nil"/>
              <w:bottom w:val="nil"/>
              <w:right w:val="nil"/>
            </w:tcBorders>
            <w:shd w:val="clear" w:color="000000" w:fill="000099"/>
            <w:vAlign w:val="center"/>
            <w:hideMark/>
          </w:tcPr>
          <w:p w14:paraId="0DFD826C" w14:textId="77777777" w:rsidR="00353005" w:rsidRPr="0019312F" w:rsidRDefault="00353005" w:rsidP="003356AE">
            <w:pPr>
              <w:spacing w:line="240" w:lineRule="auto"/>
              <w:jc w:val="center"/>
              <w:rPr>
                <w:rFonts w:eastAsia="Times New Roman" w:cs="Calibri"/>
                <w:b/>
                <w:bCs/>
                <w:color w:val="FFFFFF"/>
                <w:szCs w:val="20"/>
                <w:lang w:eastAsia="en-GB"/>
              </w:rPr>
            </w:pPr>
            <w:r w:rsidRPr="0019312F">
              <w:rPr>
                <w:rFonts w:eastAsia="Times New Roman" w:cs="Calibri"/>
                <w:b/>
                <w:bCs/>
                <w:color w:val="FFFFFF"/>
                <w:szCs w:val="20"/>
                <w:lang w:eastAsia="en-GB"/>
              </w:rPr>
              <w:t>£m</w:t>
            </w:r>
          </w:p>
        </w:tc>
      </w:tr>
      <w:tr w:rsidR="00006193" w:rsidRPr="0019312F" w14:paraId="0973943F" w14:textId="77777777" w:rsidTr="00373635">
        <w:trPr>
          <w:trHeight w:val="315"/>
        </w:trPr>
        <w:tc>
          <w:tcPr>
            <w:tcW w:w="3596" w:type="dxa"/>
            <w:tcBorders>
              <w:top w:val="nil"/>
              <w:left w:val="nil"/>
              <w:bottom w:val="nil"/>
              <w:right w:val="nil"/>
            </w:tcBorders>
            <w:shd w:val="clear" w:color="000000" w:fill="FFFFFF"/>
            <w:noWrap/>
            <w:vAlign w:val="center"/>
            <w:hideMark/>
          </w:tcPr>
          <w:p w14:paraId="5FF27267" w14:textId="77777777" w:rsidR="00006193" w:rsidRPr="0019312F" w:rsidRDefault="00006193" w:rsidP="00373635">
            <w:pPr>
              <w:spacing w:line="240" w:lineRule="auto"/>
              <w:jc w:val="left"/>
              <w:rPr>
                <w:rFonts w:eastAsia="Times New Roman" w:cs="Calibri"/>
                <w:color w:val="000000"/>
                <w:szCs w:val="20"/>
                <w:lang w:eastAsia="en-GB"/>
              </w:rPr>
            </w:pPr>
            <w:r w:rsidRPr="0019312F">
              <w:rPr>
                <w:rFonts w:eastAsia="Times New Roman" w:cs="Calibri"/>
                <w:color w:val="000000"/>
                <w:szCs w:val="20"/>
                <w:lang w:eastAsia="en-GB"/>
              </w:rPr>
              <w:t>Police Officers and PCSOs</w:t>
            </w:r>
          </w:p>
        </w:tc>
        <w:tc>
          <w:tcPr>
            <w:tcW w:w="984" w:type="dxa"/>
            <w:tcBorders>
              <w:top w:val="nil"/>
              <w:left w:val="nil"/>
              <w:bottom w:val="nil"/>
              <w:right w:val="nil"/>
            </w:tcBorders>
            <w:shd w:val="clear" w:color="000000" w:fill="CCECFF"/>
            <w:noWrap/>
            <w:vAlign w:val="center"/>
            <w:hideMark/>
          </w:tcPr>
          <w:p w14:paraId="731BB820" w14:textId="0B748C23" w:rsidR="00006193" w:rsidRPr="0019312F" w:rsidRDefault="00006193" w:rsidP="00373635">
            <w:pPr>
              <w:spacing w:line="240" w:lineRule="auto"/>
              <w:jc w:val="right"/>
              <w:rPr>
                <w:rFonts w:eastAsia="Times New Roman" w:cs="Calibri"/>
                <w:color w:val="000000"/>
                <w:szCs w:val="20"/>
                <w:lang w:eastAsia="en-GB"/>
              </w:rPr>
            </w:pPr>
            <w:r w:rsidRPr="00926DE8">
              <w:t>(0.414)</w:t>
            </w:r>
          </w:p>
        </w:tc>
      </w:tr>
      <w:tr w:rsidR="00006193" w:rsidRPr="0019312F" w14:paraId="156E4E75" w14:textId="77777777" w:rsidTr="00373635">
        <w:trPr>
          <w:trHeight w:val="315"/>
        </w:trPr>
        <w:tc>
          <w:tcPr>
            <w:tcW w:w="3596" w:type="dxa"/>
            <w:tcBorders>
              <w:top w:val="nil"/>
              <w:left w:val="nil"/>
              <w:bottom w:val="nil"/>
              <w:right w:val="nil"/>
            </w:tcBorders>
            <w:shd w:val="clear" w:color="000000" w:fill="FFFFFF"/>
            <w:noWrap/>
            <w:vAlign w:val="center"/>
            <w:hideMark/>
          </w:tcPr>
          <w:p w14:paraId="320AE8AA" w14:textId="77777777" w:rsidR="00006193" w:rsidRPr="0019312F" w:rsidRDefault="00006193" w:rsidP="00373635">
            <w:pPr>
              <w:spacing w:line="240" w:lineRule="auto"/>
              <w:jc w:val="left"/>
              <w:rPr>
                <w:rFonts w:eastAsia="Times New Roman" w:cs="Calibri"/>
                <w:color w:val="000000"/>
                <w:szCs w:val="20"/>
                <w:lang w:eastAsia="en-GB"/>
              </w:rPr>
            </w:pPr>
            <w:r w:rsidRPr="0019312F">
              <w:rPr>
                <w:rFonts w:eastAsia="Times New Roman" w:cs="Calibri"/>
                <w:color w:val="000000"/>
                <w:szCs w:val="20"/>
                <w:lang w:eastAsia="en-GB"/>
              </w:rPr>
              <w:t>Operational Policing</w:t>
            </w:r>
          </w:p>
        </w:tc>
        <w:tc>
          <w:tcPr>
            <w:tcW w:w="984" w:type="dxa"/>
            <w:tcBorders>
              <w:top w:val="nil"/>
              <w:left w:val="nil"/>
              <w:bottom w:val="nil"/>
              <w:right w:val="nil"/>
            </w:tcBorders>
            <w:shd w:val="clear" w:color="000000" w:fill="CCECFF"/>
            <w:noWrap/>
            <w:vAlign w:val="center"/>
            <w:hideMark/>
          </w:tcPr>
          <w:p w14:paraId="678C88F0" w14:textId="1612DA1E" w:rsidR="00006193" w:rsidRPr="0019312F" w:rsidRDefault="00006193" w:rsidP="00373635">
            <w:pPr>
              <w:spacing w:line="240" w:lineRule="auto"/>
              <w:jc w:val="right"/>
              <w:rPr>
                <w:rFonts w:eastAsia="Times New Roman" w:cs="Calibri"/>
                <w:color w:val="000000"/>
                <w:szCs w:val="20"/>
                <w:lang w:eastAsia="en-GB"/>
              </w:rPr>
            </w:pPr>
            <w:r w:rsidRPr="00926DE8">
              <w:t>0.190</w:t>
            </w:r>
          </w:p>
        </w:tc>
      </w:tr>
      <w:tr w:rsidR="00006193" w:rsidRPr="0019312F" w14:paraId="61E86ABA" w14:textId="77777777" w:rsidTr="00373635">
        <w:trPr>
          <w:trHeight w:val="330"/>
        </w:trPr>
        <w:tc>
          <w:tcPr>
            <w:tcW w:w="3596" w:type="dxa"/>
            <w:tcBorders>
              <w:top w:val="nil"/>
              <w:left w:val="nil"/>
              <w:bottom w:val="nil"/>
              <w:right w:val="nil"/>
            </w:tcBorders>
            <w:shd w:val="clear" w:color="000000" w:fill="FFFFFF"/>
            <w:noWrap/>
            <w:vAlign w:val="center"/>
            <w:hideMark/>
          </w:tcPr>
          <w:p w14:paraId="43C4AE3A" w14:textId="77777777" w:rsidR="00006193" w:rsidRPr="0019312F" w:rsidRDefault="00006193" w:rsidP="00373635">
            <w:pPr>
              <w:spacing w:line="240" w:lineRule="auto"/>
              <w:jc w:val="left"/>
              <w:rPr>
                <w:rFonts w:eastAsia="Times New Roman" w:cs="Calibri"/>
                <w:color w:val="000000"/>
                <w:szCs w:val="20"/>
                <w:lang w:eastAsia="en-GB"/>
              </w:rPr>
            </w:pPr>
            <w:r w:rsidRPr="0019312F">
              <w:rPr>
                <w:rFonts w:eastAsia="Times New Roman" w:cs="Calibri"/>
                <w:color w:val="000000"/>
                <w:szCs w:val="20"/>
                <w:lang w:eastAsia="en-GB"/>
              </w:rPr>
              <w:t>Control Room</w:t>
            </w:r>
          </w:p>
        </w:tc>
        <w:tc>
          <w:tcPr>
            <w:tcW w:w="984" w:type="dxa"/>
            <w:tcBorders>
              <w:top w:val="nil"/>
              <w:left w:val="nil"/>
              <w:bottom w:val="nil"/>
              <w:right w:val="nil"/>
            </w:tcBorders>
            <w:shd w:val="clear" w:color="000000" w:fill="CCECFF"/>
            <w:noWrap/>
            <w:vAlign w:val="center"/>
            <w:hideMark/>
          </w:tcPr>
          <w:p w14:paraId="6B5CCB19" w14:textId="643200C9" w:rsidR="00006193" w:rsidRPr="0019312F" w:rsidRDefault="00006193" w:rsidP="00373635">
            <w:pPr>
              <w:spacing w:line="240" w:lineRule="auto"/>
              <w:jc w:val="right"/>
              <w:rPr>
                <w:rFonts w:eastAsia="Times New Roman" w:cs="Calibri"/>
                <w:color w:val="000000"/>
                <w:szCs w:val="20"/>
                <w:lang w:eastAsia="en-GB"/>
              </w:rPr>
            </w:pPr>
            <w:r w:rsidRPr="00926DE8">
              <w:t>0.348</w:t>
            </w:r>
          </w:p>
        </w:tc>
      </w:tr>
      <w:tr w:rsidR="00006193" w:rsidRPr="0019312F" w14:paraId="644AC9E2" w14:textId="77777777" w:rsidTr="00373635">
        <w:trPr>
          <w:trHeight w:val="330"/>
        </w:trPr>
        <w:tc>
          <w:tcPr>
            <w:tcW w:w="3596" w:type="dxa"/>
            <w:tcBorders>
              <w:top w:val="nil"/>
              <w:left w:val="nil"/>
              <w:bottom w:val="nil"/>
              <w:right w:val="nil"/>
            </w:tcBorders>
            <w:shd w:val="clear" w:color="000000" w:fill="FFFFFF"/>
            <w:noWrap/>
            <w:vAlign w:val="center"/>
            <w:hideMark/>
          </w:tcPr>
          <w:p w14:paraId="2C534A19" w14:textId="77777777" w:rsidR="00006193" w:rsidRPr="0019312F" w:rsidRDefault="00006193" w:rsidP="00373635">
            <w:pPr>
              <w:spacing w:line="240" w:lineRule="auto"/>
              <w:jc w:val="left"/>
              <w:rPr>
                <w:rFonts w:eastAsia="Times New Roman" w:cs="Calibri"/>
                <w:color w:val="000000"/>
                <w:szCs w:val="20"/>
                <w:lang w:eastAsia="en-GB"/>
              </w:rPr>
            </w:pPr>
            <w:r w:rsidRPr="0019312F">
              <w:rPr>
                <w:rFonts w:eastAsia="Times New Roman" w:cs="Calibri"/>
                <w:color w:val="000000"/>
                <w:szCs w:val="20"/>
                <w:lang w:eastAsia="en-GB"/>
              </w:rPr>
              <w:t>Enabling Services</w:t>
            </w:r>
          </w:p>
        </w:tc>
        <w:tc>
          <w:tcPr>
            <w:tcW w:w="984" w:type="dxa"/>
            <w:tcBorders>
              <w:top w:val="nil"/>
              <w:left w:val="nil"/>
              <w:bottom w:val="nil"/>
              <w:right w:val="nil"/>
            </w:tcBorders>
            <w:shd w:val="clear" w:color="000000" w:fill="CCECFF"/>
            <w:noWrap/>
            <w:vAlign w:val="center"/>
            <w:hideMark/>
          </w:tcPr>
          <w:p w14:paraId="124E6379" w14:textId="7300BD61" w:rsidR="00006193" w:rsidRPr="0019312F" w:rsidRDefault="00006193" w:rsidP="00373635">
            <w:pPr>
              <w:spacing w:line="240" w:lineRule="auto"/>
              <w:jc w:val="right"/>
              <w:rPr>
                <w:rFonts w:eastAsia="Times New Roman" w:cs="Calibri"/>
                <w:color w:val="000000"/>
                <w:szCs w:val="20"/>
                <w:lang w:eastAsia="en-GB"/>
              </w:rPr>
            </w:pPr>
            <w:r w:rsidRPr="00926DE8">
              <w:t>(0.275)</w:t>
            </w:r>
          </w:p>
        </w:tc>
      </w:tr>
      <w:tr w:rsidR="00006193" w:rsidRPr="0019312F" w14:paraId="7EB44ADF" w14:textId="77777777" w:rsidTr="00373635">
        <w:trPr>
          <w:trHeight w:val="315"/>
        </w:trPr>
        <w:tc>
          <w:tcPr>
            <w:tcW w:w="3596" w:type="dxa"/>
            <w:tcBorders>
              <w:top w:val="nil"/>
              <w:left w:val="nil"/>
              <w:bottom w:val="nil"/>
              <w:right w:val="nil"/>
            </w:tcBorders>
            <w:shd w:val="clear" w:color="000000" w:fill="FFFFFF"/>
            <w:noWrap/>
            <w:vAlign w:val="center"/>
            <w:hideMark/>
          </w:tcPr>
          <w:p w14:paraId="242FD465" w14:textId="77777777" w:rsidR="00006193" w:rsidRPr="0019312F" w:rsidRDefault="00006193" w:rsidP="00373635">
            <w:pPr>
              <w:spacing w:line="240" w:lineRule="auto"/>
              <w:jc w:val="left"/>
              <w:rPr>
                <w:rFonts w:eastAsia="Times New Roman" w:cs="Calibri"/>
                <w:color w:val="000000"/>
                <w:szCs w:val="20"/>
                <w:lang w:eastAsia="en-GB"/>
              </w:rPr>
            </w:pPr>
            <w:r w:rsidRPr="0019312F">
              <w:rPr>
                <w:rFonts w:eastAsia="Times New Roman" w:cs="Calibri"/>
                <w:color w:val="000000"/>
                <w:szCs w:val="20"/>
                <w:lang w:eastAsia="en-GB"/>
              </w:rPr>
              <w:t>Central Budgets</w:t>
            </w:r>
          </w:p>
        </w:tc>
        <w:tc>
          <w:tcPr>
            <w:tcW w:w="984" w:type="dxa"/>
            <w:tcBorders>
              <w:top w:val="nil"/>
              <w:left w:val="nil"/>
              <w:bottom w:val="nil"/>
              <w:right w:val="nil"/>
            </w:tcBorders>
            <w:shd w:val="clear" w:color="000000" w:fill="CCECFF"/>
            <w:noWrap/>
            <w:vAlign w:val="center"/>
            <w:hideMark/>
          </w:tcPr>
          <w:p w14:paraId="59F3F2BE" w14:textId="6413707C" w:rsidR="00006193" w:rsidRPr="0019312F" w:rsidRDefault="00006193" w:rsidP="00373635">
            <w:pPr>
              <w:spacing w:line="240" w:lineRule="auto"/>
              <w:jc w:val="right"/>
              <w:rPr>
                <w:rFonts w:eastAsia="Times New Roman" w:cs="Calibri"/>
                <w:color w:val="000000"/>
                <w:szCs w:val="20"/>
                <w:lang w:eastAsia="en-GB"/>
              </w:rPr>
            </w:pPr>
            <w:r w:rsidRPr="00926DE8">
              <w:t>0.492</w:t>
            </w:r>
          </w:p>
        </w:tc>
      </w:tr>
      <w:tr w:rsidR="00006193" w:rsidRPr="0019312F" w14:paraId="0E2789B5" w14:textId="77777777" w:rsidTr="00373635">
        <w:trPr>
          <w:trHeight w:val="315"/>
        </w:trPr>
        <w:tc>
          <w:tcPr>
            <w:tcW w:w="3596" w:type="dxa"/>
            <w:tcBorders>
              <w:top w:val="nil"/>
              <w:left w:val="nil"/>
              <w:bottom w:val="nil"/>
              <w:right w:val="nil"/>
            </w:tcBorders>
            <w:shd w:val="clear" w:color="000000" w:fill="FFFFFF"/>
            <w:noWrap/>
            <w:vAlign w:val="center"/>
            <w:hideMark/>
          </w:tcPr>
          <w:p w14:paraId="65A943C5" w14:textId="77777777" w:rsidR="00006193" w:rsidRPr="0019312F" w:rsidRDefault="00006193" w:rsidP="00373635">
            <w:pPr>
              <w:spacing w:line="240" w:lineRule="auto"/>
              <w:jc w:val="left"/>
              <w:rPr>
                <w:rFonts w:eastAsia="Times New Roman" w:cs="Calibri"/>
                <w:color w:val="000000"/>
                <w:szCs w:val="20"/>
                <w:lang w:eastAsia="en-GB"/>
              </w:rPr>
            </w:pPr>
            <w:r w:rsidRPr="0019312F">
              <w:rPr>
                <w:rFonts w:eastAsia="Times New Roman" w:cs="Calibri"/>
                <w:color w:val="000000"/>
                <w:szCs w:val="20"/>
                <w:lang w:eastAsia="en-GB"/>
              </w:rPr>
              <w:t>Collaboration Units</w:t>
            </w:r>
          </w:p>
        </w:tc>
        <w:tc>
          <w:tcPr>
            <w:tcW w:w="984" w:type="dxa"/>
            <w:tcBorders>
              <w:top w:val="nil"/>
              <w:left w:val="nil"/>
              <w:bottom w:val="nil"/>
              <w:right w:val="nil"/>
            </w:tcBorders>
            <w:shd w:val="clear" w:color="000000" w:fill="CCECFF"/>
            <w:noWrap/>
            <w:vAlign w:val="center"/>
            <w:hideMark/>
          </w:tcPr>
          <w:p w14:paraId="2999D906" w14:textId="220B00A6" w:rsidR="00006193" w:rsidRPr="0019312F" w:rsidRDefault="00006193" w:rsidP="00373635">
            <w:pPr>
              <w:spacing w:line="240" w:lineRule="auto"/>
              <w:jc w:val="right"/>
              <w:rPr>
                <w:rFonts w:eastAsia="Times New Roman" w:cs="Calibri"/>
                <w:color w:val="000000"/>
                <w:szCs w:val="20"/>
                <w:lang w:eastAsia="en-GB"/>
              </w:rPr>
            </w:pPr>
            <w:r w:rsidRPr="00926DE8">
              <w:t>0.720</w:t>
            </w:r>
          </w:p>
        </w:tc>
      </w:tr>
      <w:tr w:rsidR="00006193" w:rsidRPr="0019312F" w14:paraId="050BDF99" w14:textId="77777777" w:rsidTr="00373635">
        <w:trPr>
          <w:trHeight w:val="315"/>
        </w:trPr>
        <w:tc>
          <w:tcPr>
            <w:tcW w:w="3596" w:type="dxa"/>
            <w:tcBorders>
              <w:top w:val="nil"/>
              <w:left w:val="nil"/>
              <w:bottom w:val="nil"/>
              <w:right w:val="nil"/>
            </w:tcBorders>
            <w:shd w:val="clear" w:color="000000" w:fill="FFFFFF"/>
            <w:noWrap/>
            <w:vAlign w:val="center"/>
          </w:tcPr>
          <w:p w14:paraId="29B36BE6" w14:textId="0ADE695F" w:rsidR="00006193" w:rsidRPr="0019312F" w:rsidRDefault="00006193" w:rsidP="00373635">
            <w:pPr>
              <w:spacing w:line="240" w:lineRule="auto"/>
              <w:jc w:val="left"/>
              <w:rPr>
                <w:rFonts w:eastAsia="Times New Roman" w:cs="Calibri"/>
                <w:color w:val="000000"/>
                <w:szCs w:val="20"/>
                <w:lang w:eastAsia="en-GB"/>
              </w:rPr>
            </w:pPr>
            <w:r>
              <w:rPr>
                <w:rFonts w:eastAsia="Times New Roman" w:cs="Calibri"/>
                <w:color w:val="000000"/>
                <w:szCs w:val="20"/>
                <w:lang w:eastAsia="en-GB"/>
              </w:rPr>
              <w:t>Additional Funding</w:t>
            </w:r>
          </w:p>
        </w:tc>
        <w:tc>
          <w:tcPr>
            <w:tcW w:w="984" w:type="dxa"/>
            <w:tcBorders>
              <w:top w:val="nil"/>
              <w:left w:val="nil"/>
              <w:bottom w:val="nil"/>
              <w:right w:val="nil"/>
            </w:tcBorders>
            <w:shd w:val="clear" w:color="000000" w:fill="CCECFF"/>
            <w:noWrap/>
            <w:vAlign w:val="center"/>
          </w:tcPr>
          <w:p w14:paraId="633F0E13" w14:textId="1B24A9D0" w:rsidR="00006193" w:rsidRPr="0019312F" w:rsidRDefault="00006193" w:rsidP="00373635">
            <w:pPr>
              <w:spacing w:line="240" w:lineRule="auto"/>
              <w:jc w:val="right"/>
              <w:rPr>
                <w:rFonts w:eastAsia="Times New Roman" w:cs="Calibri"/>
                <w:color w:val="000000"/>
                <w:szCs w:val="20"/>
                <w:lang w:eastAsia="en-GB"/>
              </w:rPr>
            </w:pPr>
            <w:r w:rsidRPr="00926DE8">
              <w:t>(0.431)</w:t>
            </w:r>
          </w:p>
        </w:tc>
      </w:tr>
      <w:tr w:rsidR="00353005" w:rsidRPr="0019312F" w14:paraId="267ABE15" w14:textId="77777777" w:rsidTr="00373635">
        <w:trPr>
          <w:trHeight w:val="315"/>
        </w:trPr>
        <w:tc>
          <w:tcPr>
            <w:tcW w:w="3596" w:type="dxa"/>
            <w:tcBorders>
              <w:top w:val="single" w:sz="4" w:space="0" w:color="auto"/>
              <w:left w:val="nil"/>
              <w:bottom w:val="single" w:sz="4" w:space="0" w:color="auto"/>
              <w:right w:val="nil"/>
            </w:tcBorders>
            <w:shd w:val="clear" w:color="000000" w:fill="FFFFFF"/>
            <w:noWrap/>
            <w:vAlign w:val="center"/>
            <w:hideMark/>
          </w:tcPr>
          <w:p w14:paraId="1DDAA605" w14:textId="77777777" w:rsidR="00353005" w:rsidRPr="0019312F" w:rsidRDefault="00353005" w:rsidP="00373635">
            <w:pPr>
              <w:spacing w:line="240" w:lineRule="auto"/>
              <w:jc w:val="left"/>
              <w:rPr>
                <w:rFonts w:eastAsia="Times New Roman" w:cs="Calibri"/>
                <w:b/>
                <w:bCs/>
                <w:color w:val="000000"/>
                <w:szCs w:val="20"/>
                <w:lang w:eastAsia="en-GB"/>
              </w:rPr>
            </w:pPr>
            <w:r w:rsidRPr="0019312F">
              <w:rPr>
                <w:rFonts w:eastAsia="Times New Roman" w:cs="Calibri"/>
                <w:b/>
                <w:bCs/>
                <w:color w:val="000000"/>
                <w:szCs w:val="20"/>
                <w:lang w:eastAsia="en-GB"/>
              </w:rPr>
              <w:t>Over/(Under)</w:t>
            </w:r>
          </w:p>
        </w:tc>
        <w:tc>
          <w:tcPr>
            <w:tcW w:w="984" w:type="dxa"/>
            <w:tcBorders>
              <w:top w:val="single" w:sz="4" w:space="0" w:color="auto"/>
              <w:left w:val="nil"/>
              <w:bottom w:val="single" w:sz="4" w:space="0" w:color="auto"/>
              <w:right w:val="nil"/>
            </w:tcBorders>
            <w:shd w:val="clear" w:color="000000" w:fill="CCECFF"/>
            <w:noWrap/>
            <w:vAlign w:val="center"/>
            <w:hideMark/>
          </w:tcPr>
          <w:p w14:paraId="681FC94F" w14:textId="4376091F" w:rsidR="00353005" w:rsidRPr="0019312F" w:rsidRDefault="00006193" w:rsidP="00373635">
            <w:pPr>
              <w:spacing w:line="240" w:lineRule="auto"/>
              <w:jc w:val="right"/>
              <w:rPr>
                <w:rFonts w:eastAsia="Times New Roman" w:cs="Calibri"/>
                <w:b/>
                <w:bCs/>
                <w:color w:val="000000"/>
                <w:szCs w:val="20"/>
                <w:lang w:eastAsia="en-GB"/>
              </w:rPr>
            </w:pPr>
            <w:r>
              <w:rPr>
                <w:rFonts w:eastAsia="Times New Roman" w:cs="Calibri"/>
                <w:b/>
                <w:bCs/>
                <w:color w:val="000000"/>
                <w:szCs w:val="20"/>
                <w:lang w:eastAsia="en-GB"/>
              </w:rPr>
              <w:t>0.630</w:t>
            </w:r>
          </w:p>
        </w:tc>
      </w:tr>
    </w:tbl>
    <w:p w14:paraId="4DDAF210" w14:textId="77777777" w:rsidR="00353005" w:rsidRPr="0019312F" w:rsidRDefault="00353005" w:rsidP="003356AE">
      <w:pPr>
        <w:spacing w:line="240" w:lineRule="auto"/>
        <w:rPr>
          <w:noProof/>
        </w:rPr>
      </w:pPr>
    </w:p>
    <w:p w14:paraId="63851FC2" w14:textId="77777777" w:rsidR="00353005" w:rsidRPr="00A278F9" w:rsidRDefault="00353005" w:rsidP="00576DBE">
      <w:pPr>
        <w:rPr>
          <w:lang w:eastAsia="en-GB"/>
        </w:rPr>
      </w:pPr>
      <w:r w:rsidRPr="0019312F">
        <w:rPr>
          <w:lang w:eastAsia="en-GB"/>
        </w:rPr>
        <w:t xml:space="preserve">Points of note </w:t>
      </w:r>
      <w:r w:rsidRPr="00A278F9">
        <w:rPr>
          <w:lang w:eastAsia="en-GB"/>
        </w:rPr>
        <w:t>contributing to the provisional year-end variance include:</w:t>
      </w:r>
    </w:p>
    <w:p w14:paraId="05204E6A" w14:textId="592370C0" w:rsidR="00353005" w:rsidRPr="00A278F9" w:rsidRDefault="00353005" w:rsidP="003356AE">
      <w:pPr>
        <w:numPr>
          <w:ilvl w:val="0"/>
          <w:numId w:val="2"/>
        </w:numPr>
        <w:spacing w:line="240" w:lineRule="auto"/>
        <w:ind w:left="426"/>
        <w:rPr>
          <w:rFonts w:asciiTheme="minorHAnsi" w:eastAsia="Times New Roman" w:hAnsiTheme="minorHAnsi" w:cs="Times New Roman"/>
          <w:szCs w:val="20"/>
          <w:lang w:eastAsia="en-GB"/>
        </w:rPr>
      </w:pPr>
      <w:r w:rsidRPr="00A278F9">
        <w:rPr>
          <w:rFonts w:asciiTheme="minorHAnsi" w:eastAsia="Times New Roman" w:hAnsiTheme="minorHAnsi" w:cs="Times New Roman"/>
          <w:szCs w:val="20"/>
          <w:lang w:eastAsia="en-GB"/>
        </w:rPr>
        <w:t>Officer recruitment profiles were expected to be significantly higher than the final position, which resulted in a</w:t>
      </w:r>
      <w:r w:rsidR="00BF3E91" w:rsidRPr="00A278F9">
        <w:rPr>
          <w:rFonts w:asciiTheme="minorHAnsi" w:eastAsia="Times New Roman" w:hAnsiTheme="minorHAnsi" w:cs="Times New Roman"/>
          <w:szCs w:val="20"/>
          <w:lang w:eastAsia="en-GB"/>
        </w:rPr>
        <w:t xml:space="preserve">n </w:t>
      </w:r>
      <w:r w:rsidRPr="00A278F9">
        <w:rPr>
          <w:rFonts w:asciiTheme="minorHAnsi" w:eastAsia="Times New Roman" w:hAnsiTheme="minorHAnsi" w:cs="Times New Roman"/>
          <w:szCs w:val="20"/>
          <w:lang w:eastAsia="en-GB"/>
        </w:rPr>
        <w:t>underspend on police officer pay</w:t>
      </w:r>
    </w:p>
    <w:p w14:paraId="436CF26D" w14:textId="72B7986A" w:rsidR="00353005" w:rsidRPr="00A278F9" w:rsidRDefault="00160CDA" w:rsidP="003356AE">
      <w:pPr>
        <w:numPr>
          <w:ilvl w:val="0"/>
          <w:numId w:val="2"/>
        </w:numPr>
        <w:spacing w:line="240" w:lineRule="auto"/>
        <w:ind w:left="426"/>
        <w:rPr>
          <w:rFonts w:asciiTheme="minorHAnsi" w:eastAsia="Times New Roman" w:hAnsiTheme="minorHAnsi" w:cs="Times New Roman"/>
          <w:szCs w:val="20"/>
          <w:lang w:eastAsia="en-GB"/>
        </w:rPr>
      </w:pPr>
      <w:r w:rsidRPr="00A278F9">
        <w:rPr>
          <w:rFonts w:asciiTheme="minorHAnsi" w:eastAsia="Times New Roman" w:hAnsiTheme="minorHAnsi" w:cs="Times New Roman"/>
          <w:szCs w:val="20"/>
          <w:lang w:eastAsia="en-GB"/>
        </w:rPr>
        <w:t xml:space="preserve">Overtime was high due to </w:t>
      </w:r>
      <w:r w:rsidR="000D6E36" w:rsidRPr="00A278F9">
        <w:rPr>
          <w:rFonts w:asciiTheme="minorHAnsi" w:eastAsia="Times New Roman" w:hAnsiTheme="minorHAnsi" w:cs="Times New Roman"/>
          <w:szCs w:val="20"/>
          <w:lang w:eastAsia="en-GB"/>
        </w:rPr>
        <w:t>demand across various operational areas.</w:t>
      </w:r>
    </w:p>
    <w:p w14:paraId="459D2919" w14:textId="2E29489A" w:rsidR="00353005" w:rsidRPr="00A278F9" w:rsidRDefault="00FC6BC7" w:rsidP="003356AE">
      <w:pPr>
        <w:numPr>
          <w:ilvl w:val="0"/>
          <w:numId w:val="2"/>
        </w:numPr>
        <w:spacing w:line="240" w:lineRule="auto"/>
        <w:ind w:left="426"/>
        <w:rPr>
          <w:rFonts w:asciiTheme="minorHAnsi" w:eastAsia="Times New Roman" w:hAnsiTheme="minorHAnsi" w:cs="Times New Roman"/>
          <w:szCs w:val="20"/>
          <w:lang w:eastAsia="en-GB"/>
        </w:rPr>
      </w:pPr>
      <w:r w:rsidRPr="00A278F9">
        <w:rPr>
          <w:rFonts w:asciiTheme="minorHAnsi" w:eastAsia="Times New Roman" w:hAnsiTheme="minorHAnsi" w:cs="Times New Roman"/>
          <w:szCs w:val="20"/>
          <w:lang w:eastAsia="en-GB"/>
        </w:rPr>
        <w:t>Staff vacancies generated savings for Enabling Services.</w:t>
      </w:r>
    </w:p>
    <w:p w14:paraId="393E7455" w14:textId="34BF1696" w:rsidR="00353005" w:rsidRPr="00A278F9" w:rsidRDefault="00011AFB" w:rsidP="003356AE">
      <w:pPr>
        <w:numPr>
          <w:ilvl w:val="0"/>
          <w:numId w:val="2"/>
        </w:numPr>
        <w:spacing w:line="240" w:lineRule="auto"/>
        <w:ind w:left="426"/>
        <w:rPr>
          <w:rFonts w:asciiTheme="minorHAnsi" w:eastAsia="Times New Roman" w:hAnsiTheme="minorHAnsi" w:cs="Times New Roman"/>
          <w:szCs w:val="20"/>
          <w:lang w:eastAsia="en-GB"/>
        </w:rPr>
      </w:pPr>
      <w:r w:rsidRPr="00A278F9">
        <w:rPr>
          <w:rFonts w:asciiTheme="minorHAnsi" w:eastAsia="Times New Roman" w:hAnsiTheme="minorHAnsi" w:cs="Times New Roman"/>
          <w:szCs w:val="20"/>
          <w:lang w:eastAsia="en-GB"/>
        </w:rPr>
        <w:t>The cost of regional collaboration with other police forces was higher than expected</w:t>
      </w:r>
      <w:r w:rsidR="00643978" w:rsidRPr="00A278F9">
        <w:rPr>
          <w:rFonts w:asciiTheme="minorHAnsi" w:eastAsia="Times New Roman" w:hAnsiTheme="minorHAnsi" w:cs="Times New Roman"/>
          <w:szCs w:val="20"/>
          <w:lang w:eastAsia="en-GB"/>
        </w:rPr>
        <w:t>, with less income received for seconded personnel</w:t>
      </w:r>
      <w:r w:rsidR="009079DB" w:rsidRPr="00A278F9">
        <w:rPr>
          <w:rFonts w:asciiTheme="minorHAnsi" w:eastAsia="Times New Roman" w:hAnsiTheme="minorHAnsi" w:cs="Times New Roman"/>
          <w:szCs w:val="20"/>
          <w:lang w:eastAsia="en-GB"/>
        </w:rPr>
        <w:t>.  Whilst this</w:t>
      </w:r>
      <w:r w:rsidR="004B1939" w:rsidRPr="00A278F9">
        <w:rPr>
          <w:rFonts w:asciiTheme="minorHAnsi" w:eastAsia="Times New Roman" w:hAnsiTheme="minorHAnsi" w:cs="Times New Roman"/>
          <w:szCs w:val="20"/>
          <w:lang w:eastAsia="en-GB"/>
        </w:rPr>
        <w:t xml:space="preserve"> resulted in an overspend </w:t>
      </w:r>
      <w:r w:rsidR="0001284F" w:rsidRPr="00A278F9">
        <w:rPr>
          <w:rFonts w:asciiTheme="minorHAnsi" w:eastAsia="Times New Roman" w:hAnsiTheme="minorHAnsi" w:cs="Times New Roman"/>
          <w:szCs w:val="20"/>
          <w:lang w:eastAsia="en-GB"/>
        </w:rPr>
        <w:t>on this budget line, it did bring benefits of retaining of more officers within the county for local policing.</w:t>
      </w:r>
    </w:p>
    <w:p w14:paraId="1B9964F8" w14:textId="7D516B8C" w:rsidR="0001284F" w:rsidRPr="00A278F9" w:rsidRDefault="0001284F" w:rsidP="003356AE">
      <w:pPr>
        <w:numPr>
          <w:ilvl w:val="0"/>
          <w:numId w:val="2"/>
        </w:numPr>
        <w:spacing w:line="240" w:lineRule="auto"/>
        <w:ind w:left="426"/>
        <w:rPr>
          <w:rFonts w:asciiTheme="minorHAnsi" w:eastAsia="Times New Roman" w:hAnsiTheme="minorHAnsi" w:cs="Times New Roman"/>
          <w:szCs w:val="20"/>
          <w:lang w:eastAsia="en-GB"/>
        </w:rPr>
      </w:pPr>
      <w:r w:rsidRPr="00A278F9">
        <w:rPr>
          <w:rFonts w:asciiTheme="minorHAnsi" w:eastAsia="Times New Roman" w:hAnsiTheme="minorHAnsi" w:cs="Times New Roman"/>
          <w:szCs w:val="20"/>
          <w:lang w:eastAsia="en-GB"/>
        </w:rPr>
        <w:t>Additional funding for neighbourhoods was received</w:t>
      </w:r>
      <w:r w:rsidR="003B39C2" w:rsidRPr="00A278F9">
        <w:rPr>
          <w:rFonts w:asciiTheme="minorHAnsi" w:eastAsia="Times New Roman" w:hAnsiTheme="minorHAnsi" w:cs="Times New Roman"/>
          <w:szCs w:val="20"/>
          <w:lang w:eastAsia="en-GB"/>
        </w:rPr>
        <w:t xml:space="preserve"> </w:t>
      </w:r>
      <w:r w:rsidR="00851178" w:rsidRPr="00A278F9">
        <w:rPr>
          <w:rFonts w:asciiTheme="minorHAnsi" w:eastAsia="Times New Roman" w:hAnsiTheme="minorHAnsi" w:cs="Times New Roman"/>
          <w:szCs w:val="20"/>
          <w:lang w:eastAsia="en-GB"/>
        </w:rPr>
        <w:t>as per government announcements following the provisional 25/26 budget settlement.</w:t>
      </w:r>
    </w:p>
    <w:p w14:paraId="402A1B99" w14:textId="77777777" w:rsidR="00353005" w:rsidRPr="00A278F9" w:rsidRDefault="00353005" w:rsidP="003356AE">
      <w:pPr>
        <w:spacing w:line="240" w:lineRule="auto"/>
        <w:rPr>
          <w:lang w:eastAsia="en-GB"/>
        </w:rPr>
      </w:pPr>
    </w:p>
    <w:p w14:paraId="2EAEF941" w14:textId="77777777" w:rsidR="00EB6B32" w:rsidRPr="008D4FE9" w:rsidRDefault="00EB6B32" w:rsidP="003356AE">
      <w:pPr>
        <w:pStyle w:val="VAHeadingLevel2"/>
        <w:spacing w:line="240" w:lineRule="auto"/>
      </w:pPr>
      <w:bookmarkStart w:id="32" w:name="_Toc106968616"/>
      <w:r w:rsidRPr="00A278F9">
        <w:t>The Capital Programme</w:t>
      </w:r>
      <w:r w:rsidRPr="008D4FE9">
        <w:t xml:space="preserve"> </w:t>
      </w:r>
    </w:p>
    <w:p w14:paraId="703A24BA" w14:textId="77777777" w:rsidR="00EB6B32" w:rsidRDefault="00EB6B32" w:rsidP="003356AE">
      <w:pPr>
        <w:spacing w:line="240" w:lineRule="auto"/>
      </w:pPr>
    </w:p>
    <w:p w14:paraId="099CF813" w14:textId="14B49EBB" w:rsidR="00EB6B32" w:rsidRDefault="00EB6B32" w:rsidP="00576DBE">
      <w:r w:rsidRPr="008D4FE9">
        <w:t>In addition to revenue expenditure, money is spent on assets such as buildings, technology and vehicles, which will be used by or on behalf of the PFCC to support policing requirements in the long term.</w:t>
      </w:r>
    </w:p>
    <w:p w14:paraId="3183241C" w14:textId="77777777" w:rsidR="00042532" w:rsidRDefault="00042532" w:rsidP="003356AE">
      <w:pPr>
        <w:spacing w:line="240" w:lineRule="auto"/>
      </w:pPr>
    </w:p>
    <w:p w14:paraId="04DFACC9" w14:textId="5AA91CE6" w:rsidR="00042532" w:rsidRPr="008D4FE9" w:rsidRDefault="00042532" w:rsidP="00576DBE">
      <w:r>
        <w:t>This all falls under the legal responsibilities</w:t>
      </w:r>
      <w:r w:rsidR="008663A7">
        <w:t xml:space="preserve"> and governance</w:t>
      </w:r>
      <w:r>
        <w:t xml:space="preserve"> of the PFCC </w:t>
      </w:r>
      <w:r w:rsidR="008663A7">
        <w:t>and is reported within the OPFCC financial statements.</w:t>
      </w:r>
    </w:p>
    <w:p w14:paraId="2A7199F2" w14:textId="2A4C87B6" w:rsidR="00353005" w:rsidRPr="000E2186" w:rsidRDefault="00353005" w:rsidP="003356AE">
      <w:pPr>
        <w:spacing w:line="240" w:lineRule="auto"/>
        <w:rPr>
          <w:highlight w:val="yellow"/>
        </w:rPr>
      </w:pPr>
      <w:r w:rsidRPr="000E2186">
        <w:rPr>
          <w:highlight w:val="yellow"/>
        </w:rPr>
        <w:br w:type="page"/>
      </w:r>
    </w:p>
    <w:p w14:paraId="1A92D489" w14:textId="2A4C87B6" w:rsidR="00353005" w:rsidRPr="004A5C41" w:rsidRDefault="00353005" w:rsidP="003356AE">
      <w:pPr>
        <w:pStyle w:val="NarrativeHeading"/>
      </w:pPr>
      <w:bookmarkStart w:id="33" w:name="_Toc76736391"/>
      <w:bookmarkStart w:id="34" w:name="_Toc231216710"/>
      <w:bookmarkEnd w:id="32"/>
      <w:r w:rsidRPr="004A5C41">
        <w:lastRenderedPageBreak/>
        <w:t>Force Operational Performance</w:t>
      </w:r>
      <w:bookmarkEnd w:id="33"/>
      <w:bookmarkEnd w:id="34"/>
    </w:p>
    <w:p w14:paraId="0FF6648B" w14:textId="77777777" w:rsidR="00353005" w:rsidRPr="004A5C41" w:rsidRDefault="00353005" w:rsidP="003356AE">
      <w:pPr>
        <w:pStyle w:val="NarrativeHeading"/>
        <w:sectPr w:rsidR="00353005" w:rsidRPr="004A5C41" w:rsidSect="00353005">
          <w:type w:val="continuous"/>
          <w:pgSz w:w="11900" w:h="16840"/>
          <w:pgMar w:top="1440" w:right="1080" w:bottom="1440" w:left="1080" w:header="709" w:footer="397" w:gutter="0"/>
          <w:cols w:num="2" w:space="708"/>
          <w:docGrid w:linePitch="360"/>
        </w:sectPr>
      </w:pPr>
    </w:p>
    <w:p w14:paraId="7A7BE064" w14:textId="77777777" w:rsidR="00353005" w:rsidRPr="004A5C41" w:rsidRDefault="00353005" w:rsidP="003356AE">
      <w:pPr>
        <w:spacing w:line="240" w:lineRule="auto"/>
        <w:jc w:val="left"/>
        <w:rPr>
          <w:rFonts w:asciiTheme="minorHAnsi" w:hAnsiTheme="minorHAnsi"/>
          <w:color w:val="auto"/>
          <w:sz w:val="24"/>
          <w:lang w:val="en-US"/>
        </w:rPr>
      </w:pPr>
    </w:p>
    <w:p w14:paraId="7D5C497F" w14:textId="298A18E7" w:rsidR="00353005" w:rsidRPr="003E3BEC" w:rsidRDefault="00353005" w:rsidP="003356AE">
      <w:pPr>
        <w:spacing w:line="240" w:lineRule="auto"/>
      </w:pPr>
      <w:r w:rsidRPr="003E3BEC">
        <w:t>The Chief set out Key Performance Questions for 2025</w:t>
      </w:r>
      <w:r w:rsidR="003E3BEC" w:rsidRPr="003E3BEC">
        <w:t>/26</w:t>
      </w:r>
      <w:r w:rsidRPr="003E3BEC">
        <w:t xml:space="preserve"> with 2</w:t>
      </w:r>
      <w:r w:rsidR="003E3BEC" w:rsidRPr="003E3BEC">
        <w:t>5</w:t>
      </w:r>
      <w:r w:rsidRPr="003E3BEC">
        <w:t xml:space="preserve"> KPIs, as summarised </w:t>
      </w:r>
      <w:r w:rsidR="007B55FF">
        <w:t>as follows:</w:t>
      </w:r>
    </w:p>
    <w:p w14:paraId="257882E0" w14:textId="77777777" w:rsidR="00D053BA" w:rsidRDefault="00D053BA" w:rsidP="003356AE">
      <w:pPr>
        <w:spacing w:line="240" w:lineRule="auto"/>
      </w:pPr>
    </w:p>
    <w:p w14:paraId="580C24E0" w14:textId="77777777" w:rsidR="00BC4673" w:rsidRPr="003E3BEC" w:rsidRDefault="00BC4673" w:rsidP="003356AE">
      <w:pPr>
        <w:spacing w:line="240" w:lineRule="auto"/>
      </w:pPr>
    </w:p>
    <w:tbl>
      <w:tblPr>
        <w:tblW w:w="10765" w:type="dxa"/>
        <w:tblInd w:w="-436" w:type="dxa"/>
        <w:tblLook w:val="04A0" w:firstRow="1" w:lastRow="0" w:firstColumn="1" w:lastColumn="0" w:noHBand="0" w:noVBand="1"/>
      </w:tblPr>
      <w:tblGrid>
        <w:gridCol w:w="616"/>
        <w:gridCol w:w="1795"/>
        <w:gridCol w:w="709"/>
        <w:gridCol w:w="917"/>
        <w:gridCol w:w="3052"/>
        <w:gridCol w:w="268"/>
        <w:gridCol w:w="1433"/>
        <w:gridCol w:w="869"/>
        <w:gridCol w:w="973"/>
        <w:gridCol w:w="133"/>
      </w:tblGrid>
      <w:tr w:rsidR="001C3EE8" w:rsidRPr="004A04E3" w14:paraId="2348FA0E" w14:textId="77777777" w:rsidTr="00D053BA">
        <w:trPr>
          <w:trHeight w:val="324"/>
        </w:trPr>
        <w:tc>
          <w:tcPr>
            <w:tcW w:w="2411" w:type="dxa"/>
            <w:gridSpan w:val="2"/>
            <w:tcBorders>
              <w:top w:val="single" w:sz="4" w:space="0" w:color="auto"/>
              <w:left w:val="single" w:sz="8" w:space="0" w:color="auto"/>
              <w:bottom w:val="nil"/>
              <w:right w:val="single" w:sz="8" w:space="0" w:color="000000"/>
            </w:tcBorders>
            <w:vAlign w:val="center"/>
            <w:hideMark/>
          </w:tcPr>
          <w:p w14:paraId="7B564DE3" w14:textId="77777777" w:rsidR="004A04E3" w:rsidRPr="004A04E3" w:rsidRDefault="004A04E3" w:rsidP="004A04E3">
            <w:pPr>
              <w:spacing w:after="0" w:line="240" w:lineRule="auto"/>
              <w:jc w:val="center"/>
              <w:rPr>
                <w:rFonts w:eastAsia="Times New Roman" w:cs="Calibri"/>
                <w:b/>
                <w:bCs/>
                <w:color w:val="000000"/>
                <w:sz w:val="18"/>
                <w:szCs w:val="18"/>
                <w:lang w:eastAsia="en-GB"/>
              </w:rPr>
            </w:pPr>
            <w:bookmarkStart w:id="35" w:name="_Hlk167360024"/>
            <w:r w:rsidRPr="004A04E3">
              <w:rPr>
                <w:rFonts w:eastAsia="Times New Roman" w:cs="Calibri"/>
                <w:b/>
                <w:bCs/>
                <w:color w:val="000000"/>
                <w:sz w:val="18"/>
                <w:szCs w:val="18"/>
                <w:lang w:eastAsia="en-GB"/>
              </w:rPr>
              <w:t>Objective</w:t>
            </w:r>
          </w:p>
        </w:tc>
        <w:tc>
          <w:tcPr>
            <w:tcW w:w="4678" w:type="dxa"/>
            <w:gridSpan w:val="3"/>
            <w:tcBorders>
              <w:top w:val="single" w:sz="4" w:space="0" w:color="auto"/>
              <w:left w:val="nil"/>
              <w:bottom w:val="nil"/>
              <w:right w:val="single" w:sz="8" w:space="0" w:color="000000"/>
            </w:tcBorders>
            <w:vAlign w:val="center"/>
            <w:hideMark/>
          </w:tcPr>
          <w:p w14:paraId="38F6E817"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single" w:sz="8" w:space="0" w:color="auto"/>
              <w:left w:val="nil"/>
              <w:bottom w:val="nil"/>
              <w:right w:val="single" w:sz="8" w:space="0" w:color="auto"/>
            </w:tcBorders>
            <w:noWrap/>
            <w:vAlign w:val="bottom"/>
          </w:tcPr>
          <w:p w14:paraId="7332801C" w14:textId="6E1927D0" w:rsidR="004A04E3" w:rsidRPr="004A04E3" w:rsidRDefault="004A04E3" w:rsidP="009F77E3">
            <w:pPr>
              <w:spacing w:after="0" w:line="240" w:lineRule="auto"/>
              <w:ind w:left="-92" w:firstLine="92"/>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nil"/>
            </w:tcBorders>
            <w:noWrap/>
            <w:vAlign w:val="center"/>
            <w:hideMark/>
          </w:tcPr>
          <w:p w14:paraId="7369B67E"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8" w:space="0" w:color="auto"/>
              <w:left w:val="single" w:sz="8" w:space="0" w:color="auto"/>
              <w:bottom w:val="single" w:sz="8" w:space="0" w:color="auto"/>
              <w:right w:val="single" w:sz="8" w:space="0" w:color="auto"/>
            </w:tcBorders>
            <w:vAlign w:val="center"/>
            <w:hideMark/>
          </w:tcPr>
          <w:p w14:paraId="398AF796"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D053BA" w:rsidRPr="004A04E3" w14:paraId="06D6194D" w14:textId="77777777" w:rsidTr="00D053BA">
        <w:trPr>
          <w:trHeight w:val="432"/>
        </w:trPr>
        <w:tc>
          <w:tcPr>
            <w:tcW w:w="7089"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41ADA648" w14:textId="77777777" w:rsidR="004A04E3" w:rsidRPr="004A04E3" w:rsidRDefault="004A04E3" w:rsidP="004A04E3">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1 - To what extent are we there for communities when they need us?</w:t>
            </w:r>
          </w:p>
        </w:tc>
        <w:tc>
          <w:tcPr>
            <w:tcW w:w="268" w:type="dxa"/>
            <w:tcBorders>
              <w:top w:val="nil"/>
              <w:left w:val="nil"/>
              <w:bottom w:val="nil"/>
              <w:right w:val="single" w:sz="8" w:space="0" w:color="auto"/>
            </w:tcBorders>
            <w:noWrap/>
            <w:vAlign w:val="center"/>
          </w:tcPr>
          <w:p w14:paraId="3DD0DEAA" w14:textId="56194AA0" w:rsidR="004A04E3" w:rsidRPr="004A04E3" w:rsidRDefault="004A04E3" w:rsidP="004B2193">
            <w:pPr>
              <w:spacing w:after="0" w:line="240" w:lineRule="auto"/>
              <w:ind w:left="-101" w:firstLine="101"/>
              <w:jc w:val="left"/>
              <w:rPr>
                <w:rFonts w:eastAsia="Times New Roman" w:cs="Calibri"/>
                <w:b/>
                <w:bCs/>
                <w:i/>
                <w:iCs/>
                <w:color w:val="000000"/>
                <w:sz w:val="8"/>
                <w:szCs w:val="8"/>
                <w:lang w:eastAsia="en-GB"/>
              </w:rPr>
            </w:pPr>
          </w:p>
        </w:tc>
        <w:tc>
          <w:tcPr>
            <w:tcW w:w="3408" w:type="dxa"/>
            <w:gridSpan w:val="4"/>
            <w:tcBorders>
              <w:top w:val="single" w:sz="8" w:space="0" w:color="auto"/>
              <w:left w:val="nil"/>
              <w:bottom w:val="single" w:sz="8" w:space="0" w:color="auto"/>
              <w:right w:val="single" w:sz="8" w:space="0" w:color="000000"/>
            </w:tcBorders>
            <w:shd w:val="clear" w:color="000000" w:fill="F8CBAD"/>
            <w:noWrap/>
            <w:vAlign w:val="center"/>
            <w:hideMark/>
          </w:tcPr>
          <w:p w14:paraId="10FAF6AE" w14:textId="77777777" w:rsidR="004A04E3" w:rsidRPr="004A04E3" w:rsidRDefault="004A04E3" w:rsidP="004A04E3">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D07F48" w:rsidRPr="004A04E3" w14:paraId="41516DF6" w14:textId="77777777" w:rsidTr="00D053BA">
        <w:trPr>
          <w:trHeight w:val="312"/>
        </w:trPr>
        <w:tc>
          <w:tcPr>
            <w:tcW w:w="616" w:type="dxa"/>
            <w:vMerge w:val="restart"/>
            <w:tcBorders>
              <w:top w:val="nil"/>
              <w:left w:val="single" w:sz="8" w:space="0" w:color="auto"/>
              <w:bottom w:val="single" w:sz="8" w:space="0" w:color="000000"/>
              <w:right w:val="single" w:sz="8" w:space="0" w:color="auto"/>
            </w:tcBorders>
            <w:noWrap/>
            <w:vAlign w:val="center"/>
            <w:hideMark/>
          </w:tcPr>
          <w:p w14:paraId="5E955944"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w:t>
            </w:r>
          </w:p>
        </w:tc>
        <w:tc>
          <w:tcPr>
            <w:tcW w:w="1795" w:type="dxa"/>
            <w:vMerge w:val="restart"/>
            <w:tcBorders>
              <w:top w:val="nil"/>
              <w:left w:val="single" w:sz="8" w:space="0" w:color="auto"/>
              <w:bottom w:val="single" w:sz="8" w:space="0" w:color="000000"/>
              <w:right w:val="single" w:sz="8" w:space="0" w:color="auto"/>
            </w:tcBorders>
            <w:vAlign w:val="center"/>
            <w:hideMark/>
          </w:tcPr>
          <w:p w14:paraId="228E6BAF"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Answer the phone promptly and within the SLA</w:t>
            </w:r>
          </w:p>
        </w:tc>
        <w:tc>
          <w:tcPr>
            <w:tcW w:w="709" w:type="dxa"/>
            <w:tcBorders>
              <w:top w:val="nil"/>
              <w:left w:val="nil"/>
              <w:bottom w:val="nil"/>
              <w:right w:val="single" w:sz="8" w:space="0" w:color="auto"/>
            </w:tcBorders>
            <w:vAlign w:val="center"/>
            <w:hideMark/>
          </w:tcPr>
          <w:p w14:paraId="4CC5D437"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w:t>
            </w:r>
          </w:p>
        </w:tc>
        <w:tc>
          <w:tcPr>
            <w:tcW w:w="917" w:type="dxa"/>
            <w:vMerge w:val="restart"/>
            <w:tcBorders>
              <w:top w:val="nil"/>
              <w:left w:val="single" w:sz="8" w:space="0" w:color="auto"/>
              <w:bottom w:val="single" w:sz="8" w:space="0" w:color="000000"/>
              <w:right w:val="single" w:sz="8" w:space="0" w:color="auto"/>
            </w:tcBorders>
            <w:vAlign w:val="center"/>
            <w:hideMark/>
          </w:tcPr>
          <w:p w14:paraId="5C6B324C"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999 calls</w:t>
            </w:r>
          </w:p>
        </w:tc>
        <w:tc>
          <w:tcPr>
            <w:tcW w:w="3052" w:type="dxa"/>
            <w:tcBorders>
              <w:top w:val="nil"/>
              <w:left w:val="nil"/>
              <w:bottom w:val="nil"/>
              <w:right w:val="single" w:sz="8" w:space="0" w:color="auto"/>
            </w:tcBorders>
            <w:vAlign w:val="center"/>
            <w:hideMark/>
          </w:tcPr>
          <w:p w14:paraId="1775722A"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answered with 10 seconds* (BT)</w:t>
            </w:r>
          </w:p>
        </w:tc>
        <w:tc>
          <w:tcPr>
            <w:tcW w:w="268" w:type="dxa"/>
            <w:tcBorders>
              <w:top w:val="nil"/>
              <w:left w:val="nil"/>
              <w:bottom w:val="nil"/>
              <w:right w:val="single" w:sz="8" w:space="0" w:color="auto"/>
            </w:tcBorders>
            <w:noWrap/>
            <w:vAlign w:val="bottom"/>
          </w:tcPr>
          <w:p w14:paraId="0FA985F5" w14:textId="2350C3E7"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7584D387"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National Target</w:t>
            </w:r>
          </w:p>
        </w:tc>
        <w:tc>
          <w:tcPr>
            <w:tcW w:w="869" w:type="dxa"/>
            <w:tcBorders>
              <w:top w:val="nil"/>
              <w:left w:val="nil"/>
              <w:bottom w:val="nil"/>
              <w:right w:val="single" w:sz="8" w:space="0" w:color="auto"/>
            </w:tcBorders>
            <w:noWrap/>
            <w:vAlign w:val="center"/>
            <w:hideMark/>
          </w:tcPr>
          <w:p w14:paraId="03B3E5D9"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90%</w:t>
            </w:r>
          </w:p>
        </w:tc>
        <w:tc>
          <w:tcPr>
            <w:tcW w:w="1106" w:type="dxa"/>
            <w:gridSpan w:val="2"/>
            <w:tcBorders>
              <w:top w:val="nil"/>
              <w:left w:val="nil"/>
              <w:bottom w:val="nil"/>
              <w:right w:val="single" w:sz="8" w:space="0" w:color="auto"/>
            </w:tcBorders>
            <w:shd w:val="clear" w:color="000000" w:fill="C6E0B4"/>
            <w:noWrap/>
            <w:vAlign w:val="center"/>
            <w:hideMark/>
          </w:tcPr>
          <w:p w14:paraId="2785566D"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92.7%</w:t>
            </w:r>
          </w:p>
        </w:tc>
      </w:tr>
      <w:tr w:rsidR="009F77E3" w:rsidRPr="004A04E3" w14:paraId="0ED1ECE5" w14:textId="77777777" w:rsidTr="00D053BA">
        <w:trPr>
          <w:trHeight w:val="324"/>
        </w:trPr>
        <w:tc>
          <w:tcPr>
            <w:tcW w:w="616" w:type="dxa"/>
            <w:vMerge/>
            <w:tcBorders>
              <w:top w:val="nil"/>
              <w:left w:val="single" w:sz="8" w:space="0" w:color="auto"/>
              <w:bottom w:val="single" w:sz="8" w:space="0" w:color="000000"/>
              <w:right w:val="single" w:sz="8" w:space="0" w:color="auto"/>
            </w:tcBorders>
            <w:vAlign w:val="center"/>
            <w:hideMark/>
          </w:tcPr>
          <w:p w14:paraId="6BF45274"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170C0F0C"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44AA1035"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w:t>
            </w:r>
          </w:p>
        </w:tc>
        <w:tc>
          <w:tcPr>
            <w:tcW w:w="917" w:type="dxa"/>
            <w:vMerge/>
            <w:tcBorders>
              <w:top w:val="nil"/>
              <w:left w:val="single" w:sz="8" w:space="0" w:color="auto"/>
              <w:bottom w:val="single" w:sz="8" w:space="0" w:color="000000"/>
              <w:right w:val="single" w:sz="8" w:space="0" w:color="auto"/>
            </w:tcBorders>
            <w:vAlign w:val="center"/>
            <w:hideMark/>
          </w:tcPr>
          <w:p w14:paraId="4B3C9AB8"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3052" w:type="dxa"/>
            <w:tcBorders>
              <w:top w:val="nil"/>
              <w:left w:val="nil"/>
              <w:bottom w:val="single" w:sz="8" w:space="0" w:color="auto"/>
              <w:right w:val="single" w:sz="8" w:space="0" w:color="auto"/>
            </w:tcBorders>
            <w:noWrap/>
            <w:vAlign w:val="center"/>
            <w:hideMark/>
          </w:tcPr>
          <w:p w14:paraId="6F085A09"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answered over 60 seconds* (BT)</w:t>
            </w:r>
          </w:p>
        </w:tc>
        <w:tc>
          <w:tcPr>
            <w:tcW w:w="268" w:type="dxa"/>
            <w:tcBorders>
              <w:top w:val="nil"/>
              <w:left w:val="nil"/>
              <w:bottom w:val="nil"/>
              <w:right w:val="single" w:sz="8" w:space="0" w:color="auto"/>
            </w:tcBorders>
            <w:noWrap/>
            <w:vAlign w:val="bottom"/>
          </w:tcPr>
          <w:p w14:paraId="2E72F944" w14:textId="6C783E58"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single" w:sz="8" w:space="0" w:color="auto"/>
              <w:right w:val="nil"/>
            </w:tcBorders>
            <w:noWrap/>
            <w:vAlign w:val="center"/>
            <w:hideMark/>
          </w:tcPr>
          <w:p w14:paraId="0BD1720F" w14:textId="77777777" w:rsidR="004A04E3" w:rsidRPr="004A04E3" w:rsidRDefault="004A04E3" w:rsidP="001F462A">
            <w:pPr>
              <w:spacing w:after="0" w:line="240" w:lineRule="auto"/>
              <w:ind w:right="-107"/>
              <w:jc w:val="left"/>
              <w:rPr>
                <w:rFonts w:eastAsia="Times New Roman" w:cs="Calibri"/>
                <w:color w:val="000000"/>
                <w:sz w:val="16"/>
                <w:szCs w:val="16"/>
                <w:lang w:eastAsia="en-GB"/>
              </w:rPr>
            </w:pPr>
            <w:r w:rsidRPr="004A04E3">
              <w:rPr>
                <w:rFonts w:eastAsia="Times New Roman" w:cs="Calibri"/>
                <w:color w:val="000000"/>
                <w:sz w:val="16"/>
                <w:szCs w:val="16"/>
                <w:lang w:eastAsia="en-GB"/>
              </w:rPr>
              <w:t>National Average</w:t>
            </w:r>
          </w:p>
        </w:tc>
        <w:tc>
          <w:tcPr>
            <w:tcW w:w="869" w:type="dxa"/>
            <w:tcBorders>
              <w:top w:val="nil"/>
              <w:left w:val="nil"/>
              <w:bottom w:val="single" w:sz="8" w:space="0" w:color="auto"/>
              <w:right w:val="single" w:sz="8" w:space="0" w:color="auto"/>
            </w:tcBorders>
            <w:noWrap/>
            <w:vAlign w:val="center"/>
            <w:hideMark/>
          </w:tcPr>
          <w:p w14:paraId="7D116071"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1.3%</w:t>
            </w:r>
          </w:p>
        </w:tc>
        <w:tc>
          <w:tcPr>
            <w:tcW w:w="1106" w:type="dxa"/>
            <w:gridSpan w:val="2"/>
            <w:tcBorders>
              <w:top w:val="nil"/>
              <w:left w:val="nil"/>
              <w:bottom w:val="single" w:sz="8" w:space="0" w:color="auto"/>
              <w:right w:val="single" w:sz="8" w:space="0" w:color="auto"/>
            </w:tcBorders>
            <w:shd w:val="clear" w:color="000000" w:fill="C6E0B4"/>
            <w:noWrap/>
            <w:vAlign w:val="center"/>
            <w:hideMark/>
          </w:tcPr>
          <w:p w14:paraId="1EADDBB2"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0.3%</w:t>
            </w:r>
          </w:p>
        </w:tc>
      </w:tr>
      <w:tr w:rsidR="00D07F48" w:rsidRPr="004A04E3" w14:paraId="5B656E9F" w14:textId="77777777" w:rsidTr="00D053BA">
        <w:trPr>
          <w:trHeight w:val="312"/>
        </w:trPr>
        <w:tc>
          <w:tcPr>
            <w:tcW w:w="616" w:type="dxa"/>
            <w:vMerge/>
            <w:tcBorders>
              <w:top w:val="nil"/>
              <w:left w:val="single" w:sz="8" w:space="0" w:color="auto"/>
              <w:bottom w:val="single" w:sz="8" w:space="0" w:color="000000"/>
              <w:right w:val="single" w:sz="8" w:space="0" w:color="auto"/>
            </w:tcBorders>
            <w:vAlign w:val="center"/>
            <w:hideMark/>
          </w:tcPr>
          <w:p w14:paraId="2679CDA2"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29D27B6C"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single" w:sz="8" w:space="0" w:color="auto"/>
            </w:tcBorders>
            <w:vAlign w:val="center"/>
            <w:hideMark/>
          </w:tcPr>
          <w:p w14:paraId="0AD5A139"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3</w:t>
            </w:r>
          </w:p>
        </w:tc>
        <w:tc>
          <w:tcPr>
            <w:tcW w:w="917" w:type="dxa"/>
            <w:vMerge w:val="restart"/>
            <w:tcBorders>
              <w:top w:val="nil"/>
              <w:left w:val="single" w:sz="8" w:space="0" w:color="auto"/>
              <w:bottom w:val="single" w:sz="8" w:space="0" w:color="000000"/>
              <w:right w:val="single" w:sz="8" w:space="0" w:color="auto"/>
            </w:tcBorders>
            <w:vAlign w:val="center"/>
            <w:hideMark/>
          </w:tcPr>
          <w:p w14:paraId="4096CA05"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101 calls</w:t>
            </w:r>
          </w:p>
        </w:tc>
        <w:tc>
          <w:tcPr>
            <w:tcW w:w="3052" w:type="dxa"/>
            <w:tcBorders>
              <w:top w:val="nil"/>
              <w:left w:val="nil"/>
              <w:bottom w:val="nil"/>
              <w:right w:val="single" w:sz="8" w:space="0" w:color="auto"/>
            </w:tcBorders>
            <w:vAlign w:val="center"/>
            <w:hideMark/>
          </w:tcPr>
          <w:p w14:paraId="73D0F223"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answered with 60 seconds (answered calls)</w:t>
            </w:r>
          </w:p>
        </w:tc>
        <w:tc>
          <w:tcPr>
            <w:tcW w:w="268" w:type="dxa"/>
            <w:tcBorders>
              <w:top w:val="nil"/>
              <w:left w:val="nil"/>
              <w:bottom w:val="nil"/>
              <w:right w:val="single" w:sz="8" w:space="0" w:color="auto"/>
            </w:tcBorders>
            <w:noWrap/>
            <w:vAlign w:val="bottom"/>
          </w:tcPr>
          <w:p w14:paraId="31E61E21" w14:textId="4EB44A96"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641EA3BD"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067C7C01"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79.8%</w:t>
            </w:r>
          </w:p>
        </w:tc>
        <w:tc>
          <w:tcPr>
            <w:tcW w:w="1106" w:type="dxa"/>
            <w:gridSpan w:val="2"/>
            <w:tcBorders>
              <w:top w:val="nil"/>
              <w:left w:val="nil"/>
              <w:bottom w:val="nil"/>
              <w:right w:val="single" w:sz="8" w:space="0" w:color="auto"/>
            </w:tcBorders>
            <w:shd w:val="clear" w:color="000000" w:fill="F8CBAD"/>
            <w:noWrap/>
            <w:vAlign w:val="center"/>
            <w:hideMark/>
          </w:tcPr>
          <w:p w14:paraId="70ADECE1"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74.1%</w:t>
            </w:r>
          </w:p>
        </w:tc>
      </w:tr>
      <w:tr w:rsidR="00D07F48" w:rsidRPr="004A04E3" w14:paraId="6527EC3F" w14:textId="77777777" w:rsidTr="00D053BA">
        <w:trPr>
          <w:trHeight w:val="324"/>
        </w:trPr>
        <w:tc>
          <w:tcPr>
            <w:tcW w:w="616" w:type="dxa"/>
            <w:vMerge/>
            <w:tcBorders>
              <w:top w:val="nil"/>
              <w:left w:val="single" w:sz="8" w:space="0" w:color="auto"/>
              <w:bottom w:val="single" w:sz="8" w:space="0" w:color="000000"/>
              <w:right w:val="single" w:sz="8" w:space="0" w:color="auto"/>
            </w:tcBorders>
            <w:vAlign w:val="center"/>
            <w:hideMark/>
          </w:tcPr>
          <w:p w14:paraId="5D519F67"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1F5D23DD"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533588E9"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4</w:t>
            </w:r>
          </w:p>
        </w:tc>
        <w:tc>
          <w:tcPr>
            <w:tcW w:w="917" w:type="dxa"/>
            <w:vMerge/>
            <w:tcBorders>
              <w:top w:val="nil"/>
              <w:left w:val="single" w:sz="8" w:space="0" w:color="auto"/>
              <w:bottom w:val="single" w:sz="8" w:space="0" w:color="000000"/>
              <w:right w:val="single" w:sz="8" w:space="0" w:color="auto"/>
            </w:tcBorders>
            <w:vAlign w:val="center"/>
            <w:hideMark/>
          </w:tcPr>
          <w:p w14:paraId="47D23241"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3052" w:type="dxa"/>
            <w:tcBorders>
              <w:top w:val="nil"/>
              <w:left w:val="nil"/>
              <w:bottom w:val="single" w:sz="8" w:space="0" w:color="auto"/>
              <w:right w:val="single" w:sz="8" w:space="0" w:color="auto"/>
            </w:tcBorders>
            <w:vAlign w:val="center"/>
            <w:hideMark/>
          </w:tcPr>
          <w:p w14:paraId="65DEB8C2"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abandoned (all points)</w:t>
            </w:r>
          </w:p>
        </w:tc>
        <w:tc>
          <w:tcPr>
            <w:tcW w:w="268" w:type="dxa"/>
            <w:tcBorders>
              <w:top w:val="nil"/>
              <w:left w:val="nil"/>
              <w:bottom w:val="nil"/>
              <w:right w:val="single" w:sz="8" w:space="0" w:color="auto"/>
            </w:tcBorders>
            <w:noWrap/>
            <w:vAlign w:val="bottom"/>
          </w:tcPr>
          <w:p w14:paraId="2C62DFD1" w14:textId="791FA971"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683119A2"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3EB14B58"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12.5%</w:t>
            </w:r>
          </w:p>
        </w:tc>
        <w:tc>
          <w:tcPr>
            <w:tcW w:w="1106" w:type="dxa"/>
            <w:gridSpan w:val="2"/>
            <w:tcBorders>
              <w:top w:val="nil"/>
              <w:left w:val="nil"/>
              <w:bottom w:val="nil"/>
              <w:right w:val="single" w:sz="8" w:space="0" w:color="auto"/>
            </w:tcBorders>
            <w:shd w:val="clear" w:color="000000" w:fill="C6E0B4"/>
            <w:noWrap/>
            <w:vAlign w:val="center"/>
            <w:hideMark/>
          </w:tcPr>
          <w:p w14:paraId="32A45399"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12.4%</w:t>
            </w:r>
          </w:p>
        </w:tc>
      </w:tr>
      <w:tr w:rsidR="009F77E3" w:rsidRPr="004A04E3" w14:paraId="53EE9591" w14:textId="77777777" w:rsidTr="00D053BA">
        <w:trPr>
          <w:trHeight w:val="324"/>
        </w:trPr>
        <w:tc>
          <w:tcPr>
            <w:tcW w:w="616" w:type="dxa"/>
            <w:vMerge w:val="restart"/>
            <w:tcBorders>
              <w:top w:val="nil"/>
              <w:left w:val="single" w:sz="8" w:space="0" w:color="auto"/>
              <w:bottom w:val="nil"/>
              <w:right w:val="single" w:sz="8" w:space="0" w:color="auto"/>
            </w:tcBorders>
            <w:noWrap/>
            <w:vAlign w:val="center"/>
            <w:hideMark/>
          </w:tcPr>
          <w:p w14:paraId="479F1AA8"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PO2</w:t>
            </w:r>
          </w:p>
        </w:tc>
        <w:tc>
          <w:tcPr>
            <w:tcW w:w="1795" w:type="dxa"/>
            <w:vMerge w:val="restart"/>
            <w:tcBorders>
              <w:top w:val="nil"/>
              <w:left w:val="single" w:sz="8" w:space="0" w:color="auto"/>
              <w:bottom w:val="nil"/>
              <w:right w:val="single" w:sz="8" w:space="0" w:color="auto"/>
            </w:tcBorders>
            <w:vAlign w:val="center"/>
            <w:hideMark/>
          </w:tcPr>
          <w:p w14:paraId="3DCE7CD8"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Improve accessibility and visibility of policing within the county</w:t>
            </w:r>
          </w:p>
        </w:tc>
        <w:tc>
          <w:tcPr>
            <w:tcW w:w="709" w:type="dxa"/>
            <w:tcBorders>
              <w:top w:val="nil"/>
              <w:left w:val="nil"/>
              <w:bottom w:val="single" w:sz="8" w:space="0" w:color="auto"/>
              <w:right w:val="single" w:sz="8" w:space="0" w:color="auto"/>
            </w:tcBorders>
            <w:vAlign w:val="center"/>
            <w:hideMark/>
          </w:tcPr>
          <w:p w14:paraId="35982DD5"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5</w:t>
            </w:r>
          </w:p>
        </w:tc>
        <w:tc>
          <w:tcPr>
            <w:tcW w:w="3969" w:type="dxa"/>
            <w:gridSpan w:val="2"/>
            <w:tcBorders>
              <w:top w:val="single" w:sz="8" w:space="0" w:color="auto"/>
              <w:left w:val="nil"/>
              <w:bottom w:val="nil"/>
              <w:right w:val="single" w:sz="8" w:space="0" w:color="000000"/>
            </w:tcBorders>
            <w:vAlign w:val="center"/>
            <w:hideMark/>
          </w:tcPr>
          <w:p w14:paraId="2A23032C"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Demand received via SOH - increase</w:t>
            </w:r>
          </w:p>
        </w:tc>
        <w:tc>
          <w:tcPr>
            <w:tcW w:w="268" w:type="dxa"/>
            <w:tcBorders>
              <w:top w:val="nil"/>
              <w:left w:val="nil"/>
              <w:bottom w:val="nil"/>
              <w:right w:val="single" w:sz="8" w:space="0" w:color="auto"/>
            </w:tcBorders>
            <w:noWrap/>
            <w:vAlign w:val="bottom"/>
          </w:tcPr>
          <w:p w14:paraId="1C3D6AB4" w14:textId="3E2DABAC"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7B334C4F"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7A03797E" w14:textId="3981AE8B"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14</w:t>
            </w:r>
            <w:r w:rsidR="00595878">
              <w:rPr>
                <w:rFonts w:eastAsia="Times New Roman" w:cs="Calibri"/>
                <w:color w:val="000000"/>
                <w:sz w:val="18"/>
                <w:szCs w:val="18"/>
                <w:lang w:eastAsia="en-GB"/>
              </w:rPr>
              <w:t>,</w:t>
            </w:r>
            <w:r w:rsidRPr="004A04E3">
              <w:rPr>
                <w:rFonts w:eastAsia="Times New Roman" w:cs="Calibri"/>
                <w:color w:val="000000"/>
                <w:sz w:val="18"/>
                <w:szCs w:val="18"/>
                <w:lang w:eastAsia="en-GB"/>
              </w:rPr>
              <w:t>103</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7258CE48" w14:textId="3F11E5D6"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18</w:t>
            </w:r>
            <w:r w:rsidR="00595878">
              <w:rPr>
                <w:rFonts w:eastAsia="Times New Roman" w:cs="Calibri"/>
                <w:b/>
                <w:bCs/>
                <w:color w:val="000000"/>
                <w:sz w:val="18"/>
                <w:szCs w:val="18"/>
                <w:lang w:eastAsia="en-GB"/>
              </w:rPr>
              <w:t>,</w:t>
            </w:r>
            <w:r w:rsidRPr="004A04E3">
              <w:rPr>
                <w:rFonts w:eastAsia="Times New Roman" w:cs="Calibri"/>
                <w:b/>
                <w:bCs/>
                <w:color w:val="000000"/>
                <w:sz w:val="18"/>
                <w:szCs w:val="18"/>
                <w:lang w:eastAsia="en-GB"/>
              </w:rPr>
              <w:t>576</w:t>
            </w:r>
          </w:p>
        </w:tc>
      </w:tr>
      <w:tr w:rsidR="001C3EE8" w:rsidRPr="004A04E3" w14:paraId="20570A84" w14:textId="77777777" w:rsidTr="00D053BA">
        <w:trPr>
          <w:trHeight w:val="324"/>
        </w:trPr>
        <w:tc>
          <w:tcPr>
            <w:tcW w:w="616" w:type="dxa"/>
            <w:vMerge/>
            <w:tcBorders>
              <w:top w:val="nil"/>
              <w:left w:val="single" w:sz="8" w:space="0" w:color="auto"/>
              <w:bottom w:val="nil"/>
              <w:right w:val="single" w:sz="8" w:space="0" w:color="auto"/>
            </w:tcBorders>
            <w:vAlign w:val="center"/>
            <w:hideMark/>
          </w:tcPr>
          <w:p w14:paraId="02ECCDCC"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nil"/>
              <w:right w:val="single" w:sz="8" w:space="0" w:color="auto"/>
            </w:tcBorders>
            <w:vAlign w:val="center"/>
            <w:hideMark/>
          </w:tcPr>
          <w:p w14:paraId="519FB0B9"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nil"/>
            </w:tcBorders>
            <w:vAlign w:val="center"/>
            <w:hideMark/>
          </w:tcPr>
          <w:p w14:paraId="764B8A17"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6</w:t>
            </w:r>
          </w:p>
        </w:tc>
        <w:tc>
          <w:tcPr>
            <w:tcW w:w="3969" w:type="dxa"/>
            <w:gridSpan w:val="2"/>
            <w:tcBorders>
              <w:top w:val="single" w:sz="8" w:space="0" w:color="auto"/>
              <w:left w:val="single" w:sz="8" w:space="0" w:color="auto"/>
              <w:bottom w:val="nil"/>
              <w:right w:val="single" w:sz="8" w:space="0" w:color="000000"/>
            </w:tcBorders>
            <w:vAlign w:val="center"/>
            <w:hideMark/>
          </w:tcPr>
          <w:p w14:paraId="4AFD7FE1"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True visibility (out of station + PH) for all frontline teams*</w:t>
            </w:r>
          </w:p>
        </w:tc>
        <w:tc>
          <w:tcPr>
            <w:tcW w:w="268" w:type="dxa"/>
            <w:tcBorders>
              <w:top w:val="nil"/>
              <w:left w:val="nil"/>
              <w:bottom w:val="nil"/>
              <w:right w:val="single" w:sz="8" w:space="0" w:color="auto"/>
            </w:tcBorders>
            <w:noWrap/>
            <w:vAlign w:val="bottom"/>
          </w:tcPr>
          <w:p w14:paraId="7A1FA763" w14:textId="5BFCB678"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2B657A33"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6F0DCC78"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66.7%</w:t>
            </w:r>
          </w:p>
        </w:tc>
        <w:tc>
          <w:tcPr>
            <w:tcW w:w="1106" w:type="dxa"/>
            <w:gridSpan w:val="2"/>
            <w:tcBorders>
              <w:top w:val="nil"/>
              <w:left w:val="nil"/>
              <w:bottom w:val="nil"/>
              <w:right w:val="single" w:sz="8" w:space="0" w:color="000000"/>
            </w:tcBorders>
            <w:shd w:val="clear" w:color="000000" w:fill="F8CBAD"/>
            <w:noWrap/>
            <w:vAlign w:val="center"/>
            <w:hideMark/>
          </w:tcPr>
          <w:p w14:paraId="7F69FE8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66.5%</w:t>
            </w:r>
          </w:p>
        </w:tc>
      </w:tr>
      <w:tr w:rsidR="00D07F48" w:rsidRPr="004A04E3" w14:paraId="3526B1C6" w14:textId="77777777" w:rsidTr="00D053BA">
        <w:trPr>
          <w:trHeight w:val="312"/>
        </w:trPr>
        <w:tc>
          <w:tcPr>
            <w:tcW w:w="616" w:type="dxa"/>
            <w:vMerge w:val="restart"/>
            <w:tcBorders>
              <w:top w:val="single" w:sz="8" w:space="0" w:color="000000"/>
              <w:left w:val="single" w:sz="8" w:space="0" w:color="000000"/>
              <w:bottom w:val="single" w:sz="8" w:space="0" w:color="000000"/>
              <w:right w:val="single" w:sz="8" w:space="0" w:color="auto"/>
            </w:tcBorders>
            <w:noWrap/>
            <w:vAlign w:val="center"/>
            <w:hideMark/>
          </w:tcPr>
          <w:p w14:paraId="463B32B5"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PO3</w:t>
            </w:r>
          </w:p>
        </w:tc>
        <w:tc>
          <w:tcPr>
            <w:tcW w:w="1795" w:type="dxa"/>
            <w:vMerge w:val="restart"/>
            <w:tcBorders>
              <w:top w:val="single" w:sz="8" w:space="0" w:color="000000"/>
              <w:left w:val="single" w:sz="8" w:space="0" w:color="auto"/>
              <w:bottom w:val="single" w:sz="8" w:space="0" w:color="000000"/>
              <w:right w:val="single" w:sz="8" w:space="0" w:color="000000"/>
            </w:tcBorders>
            <w:vAlign w:val="center"/>
            <w:hideMark/>
          </w:tcPr>
          <w:p w14:paraId="681531E7"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Attend G1 incidents promptly and within the SLA</w:t>
            </w:r>
          </w:p>
        </w:tc>
        <w:tc>
          <w:tcPr>
            <w:tcW w:w="709" w:type="dxa"/>
            <w:tcBorders>
              <w:top w:val="single" w:sz="8" w:space="0" w:color="auto"/>
              <w:left w:val="nil"/>
              <w:bottom w:val="nil"/>
              <w:right w:val="single" w:sz="8" w:space="0" w:color="auto"/>
            </w:tcBorders>
            <w:vAlign w:val="center"/>
            <w:hideMark/>
          </w:tcPr>
          <w:p w14:paraId="10285731"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7</w:t>
            </w:r>
          </w:p>
        </w:tc>
        <w:tc>
          <w:tcPr>
            <w:tcW w:w="917" w:type="dxa"/>
            <w:vMerge w:val="restart"/>
            <w:tcBorders>
              <w:top w:val="single" w:sz="8" w:space="0" w:color="auto"/>
              <w:left w:val="single" w:sz="8" w:space="0" w:color="auto"/>
              <w:bottom w:val="nil"/>
              <w:right w:val="single" w:sz="8" w:space="0" w:color="auto"/>
            </w:tcBorders>
            <w:vAlign w:val="center"/>
            <w:hideMark/>
          </w:tcPr>
          <w:p w14:paraId="76A5B855"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G1 Urban Incidents</w:t>
            </w:r>
          </w:p>
        </w:tc>
        <w:tc>
          <w:tcPr>
            <w:tcW w:w="3052" w:type="dxa"/>
            <w:tcBorders>
              <w:top w:val="single" w:sz="8" w:space="0" w:color="auto"/>
              <w:left w:val="nil"/>
              <w:bottom w:val="nil"/>
              <w:right w:val="single" w:sz="8" w:space="0" w:color="auto"/>
            </w:tcBorders>
            <w:vAlign w:val="center"/>
            <w:hideMark/>
          </w:tcPr>
          <w:p w14:paraId="4E9D844C"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G1U incidents attended in local 15m SLA</w:t>
            </w:r>
          </w:p>
        </w:tc>
        <w:tc>
          <w:tcPr>
            <w:tcW w:w="268" w:type="dxa"/>
            <w:tcBorders>
              <w:top w:val="nil"/>
              <w:left w:val="nil"/>
              <w:bottom w:val="nil"/>
              <w:right w:val="nil"/>
            </w:tcBorders>
            <w:noWrap/>
            <w:vAlign w:val="bottom"/>
          </w:tcPr>
          <w:p w14:paraId="0BE93559" w14:textId="08F10738"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single" w:sz="8" w:space="0" w:color="000000"/>
              <w:left w:val="single" w:sz="8" w:space="0" w:color="000000"/>
              <w:bottom w:val="nil"/>
              <w:right w:val="nil"/>
            </w:tcBorders>
            <w:noWrap/>
            <w:vAlign w:val="center"/>
            <w:hideMark/>
          </w:tcPr>
          <w:p w14:paraId="0CB053BA"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000000"/>
              <w:left w:val="nil"/>
              <w:bottom w:val="nil"/>
              <w:right w:val="nil"/>
            </w:tcBorders>
            <w:noWrap/>
            <w:vAlign w:val="center"/>
            <w:hideMark/>
          </w:tcPr>
          <w:p w14:paraId="6388C97B"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52.3%</w:t>
            </w:r>
          </w:p>
        </w:tc>
        <w:tc>
          <w:tcPr>
            <w:tcW w:w="1106" w:type="dxa"/>
            <w:gridSpan w:val="2"/>
            <w:tcBorders>
              <w:top w:val="single" w:sz="8" w:space="0" w:color="000000"/>
              <w:left w:val="single" w:sz="8" w:space="0" w:color="000000"/>
              <w:bottom w:val="nil"/>
              <w:right w:val="single" w:sz="8" w:space="0" w:color="000000"/>
            </w:tcBorders>
            <w:shd w:val="clear" w:color="000000" w:fill="F8CBAD"/>
            <w:noWrap/>
            <w:vAlign w:val="center"/>
            <w:hideMark/>
          </w:tcPr>
          <w:p w14:paraId="11A65565"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47.3%</w:t>
            </w:r>
          </w:p>
        </w:tc>
      </w:tr>
      <w:tr w:rsidR="00D07F48" w:rsidRPr="004A04E3" w14:paraId="61793408" w14:textId="77777777" w:rsidTr="00D053BA">
        <w:trPr>
          <w:trHeight w:val="324"/>
        </w:trPr>
        <w:tc>
          <w:tcPr>
            <w:tcW w:w="616" w:type="dxa"/>
            <w:vMerge/>
            <w:tcBorders>
              <w:top w:val="single" w:sz="8" w:space="0" w:color="000000"/>
              <w:left w:val="single" w:sz="8" w:space="0" w:color="000000"/>
              <w:bottom w:val="single" w:sz="8" w:space="0" w:color="000000"/>
              <w:right w:val="single" w:sz="8" w:space="0" w:color="auto"/>
            </w:tcBorders>
            <w:vAlign w:val="center"/>
            <w:hideMark/>
          </w:tcPr>
          <w:p w14:paraId="287EC79B"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000000"/>
              <w:left w:val="single" w:sz="8" w:space="0" w:color="auto"/>
              <w:bottom w:val="single" w:sz="8" w:space="0" w:color="000000"/>
              <w:right w:val="single" w:sz="8" w:space="0" w:color="000000"/>
            </w:tcBorders>
            <w:vAlign w:val="center"/>
            <w:hideMark/>
          </w:tcPr>
          <w:p w14:paraId="22BC5483"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2E02D8D8"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8</w:t>
            </w:r>
          </w:p>
        </w:tc>
        <w:tc>
          <w:tcPr>
            <w:tcW w:w="917" w:type="dxa"/>
            <w:vMerge/>
            <w:tcBorders>
              <w:top w:val="single" w:sz="8" w:space="0" w:color="auto"/>
              <w:left w:val="single" w:sz="8" w:space="0" w:color="auto"/>
              <w:bottom w:val="nil"/>
              <w:right w:val="single" w:sz="8" w:space="0" w:color="auto"/>
            </w:tcBorders>
            <w:vAlign w:val="center"/>
            <w:hideMark/>
          </w:tcPr>
          <w:p w14:paraId="3E45933C"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3052" w:type="dxa"/>
            <w:tcBorders>
              <w:top w:val="nil"/>
              <w:left w:val="nil"/>
              <w:bottom w:val="single" w:sz="8" w:space="0" w:color="auto"/>
              <w:right w:val="single" w:sz="8" w:space="0" w:color="auto"/>
            </w:tcBorders>
            <w:vAlign w:val="center"/>
            <w:hideMark/>
          </w:tcPr>
          <w:p w14:paraId="0E2E4A8E"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Median time (overall)</w:t>
            </w:r>
          </w:p>
        </w:tc>
        <w:tc>
          <w:tcPr>
            <w:tcW w:w="268" w:type="dxa"/>
            <w:tcBorders>
              <w:top w:val="nil"/>
              <w:left w:val="nil"/>
              <w:bottom w:val="nil"/>
              <w:right w:val="nil"/>
            </w:tcBorders>
            <w:noWrap/>
            <w:vAlign w:val="bottom"/>
          </w:tcPr>
          <w:p w14:paraId="20EED053" w14:textId="4BC77704"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single" w:sz="8" w:space="0" w:color="000000"/>
              <w:bottom w:val="single" w:sz="8" w:space="0" w:color="000000"/>
              <w:right w:val="nil"/>
            </w:tcBorders>
            <w:noWrap/>
            <w:vAlign w:val="center"/>
            <w:hideMark/>
          </w:tcPr>
          <w:p w14:paraId="04BAD679"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000000"/>
              <w:right w:val="single" w:sz="8" w:space="0" w:color="000000"/>
            </w:tcBorders>
            <w:noWrap/>
            <w:vAlign w:val="bottom"/>
            <w:hideMark/>
          </w:tcPr>
          <w:p w14:paraId="0EC29D07"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00:14:22</w:t>
            </w:r>
          </w:p>
        </w:tc>
        <w:tc>
          <w:tcPr>
            <w:tcW w:w="1106" w:type="dxa"/>
            <w:gridSpan w:val="2"/>
            <w:tcBorders>
              <w:top w:val="nil"/>
              <w:left w:val="nil"/>
              <w:bottom w:val="single" w:sz="8" w:space="0" w:color="000000"/>
              <w:right w:val="single" w:sz="8" w:space="0" w:color="000000"/>
            </w:tcBorders>
            <w:shd w:val="clear" w:color="000000" w:fill="F8CBAD"/>
            <w:noWrap/>
            <w:vAlign w:val="bottom"/>
            <w:hideMark/>
          </w:tcPr>
          <w:p w14:paraId="5B0ECA71"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00:15:41</w:t>
            </w:r>
          </w:p>
        </w:tc>
      </w:tr>
      <w:tr w:rsidR="00D07F48" w:rsidRPr="004A04E3" w14:paraId="1A3C80B1" w14:textId="77777777" w:rsidTr="00D053BA">
        <w:trPr>
          <w:trHeight w:val="312"/>
        </w:trPr>
        <w:tc>
          <w:tcPr>
            <w:tcW w:w="616" w:type="dxa"/>
            <w:vMerge/>
            <w:tcBorders>
              <w:top w:val="single" w:sz="8" w:space="0" w:color="000000"/>
              <w:left w:val="single" w:sz="8" w:space="0" w:color="000000"/>
              <w:bottom w:val="single" w:sz="8" w:space="0" w:color="000000"/>
              <w:right w:val="single" w:sz="8" w:space="0" w:color="auto"/>
            </w:tcBorders>
            <w:vAlign w:val="center"/>
            <w:hideMark/>
          </w:tcPr>
          <w:p w14:paraId="01CDEEBA"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000000"/>
              <w:left w:val="single" w:sz="8" w:space="0" w:color="auto"/>
              <w:bottom w:val="single" w:sz="8" w:space="0" w:color="000000"/>
              <w:right w:val="single" w:sz="8" w:space="0" w:color="000000"/>
            </w:tcBorders>
            <w:vAlign w:val="center"/>
            <w:hideMark/>
          </w:tcPr>
          <w:p w14:paraId="544C048D"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nil"/>
            </w:tcBorders>
            <w:vAlign w:val="center"/>
            <w:hideMark/>
          </w:tcPr>
          <w:p w14:paraId="03576ACC"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9</w:t>
            </w:r>
          </w:p>
        </w:tc>
        <w:tc>
          <w:tcPr>
            <w:tcW w:w="917" w:type="dxa"/>
            <w:vMerge w:val="restart"/>
            <w:tcBorders>
              <w:top w:val="single" w:sz="8" w:space="0" w:color="000000"/>
              <w:left w:val="single" w:sz="8" w:space="0" w:color="000000"/>
              <w:bottom w:val="single" w:sz="8" w:space="0" w:color="000000"/>
              <w:right w:val="single" w:sz="8" w:space="0" w:color="000000"/>
            </w:tcBorders>
            <w:vAlign w:val="center"/>
            <w:hideMark/>
          </w:tcPr>
          <w:p w14:paraId="4BA8C8DC"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G1 Rural Incidents</w:t>
            </w:r>
          </w:p>
        </w:tc>
        <w:tc>
          <w:tcPr>
            <w:tcW w:w="3052" w:type="dxa"/>
            <w:tcBorders>
              <w:top w:val="nil"/>
              <w:left w:val="nil"/>
              <w:bottom w:val="nil"/>
              <w:right w:val="single" w:sz="8" w:space="0" w:color="auto"/>
            </w:tcBorders>
            <w:vAlign w:val="center"/>
            <w:hideMark/>
          </w:tcPr>
          <w:p w14:paraId="252E74F8"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G1R incidents attended in local 20m SLA</w:t>
            </w:r>
          </w:p>
        </w:tc>
        <w:tc>
          <w:tcPr>
            <w:tcW w:w="268" w:type="dxa"/>
            <w:tcBorders>
              <w:top w:val="nil"/>
              <w:left w:val="nil"/>
              <w:bottom w:val="nil"/>
              <w:right w:val="nil"/>
            </w:tcBorders>
            <w:noWrap/>
            <w:vAlign w:val="bottom"/>
          </w:tcPr>
          <w:p w14:paraId="024A07CB" w14:textId="21F4EA26"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single" w:sz="8" w:space="0" w:color="000000"/>
              <w:bottom w:val="nil"/>
              <w:right w:val="nil"/>
            </w:tcBorders>
            <w:noWrap/>
            <w:vAlign w:val="center"/>
            <w:hideMark/>
          </w:tcPr>
          <w:p w14:paraId="6D19A4F9"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nil"/>
            </w:tcBorders>
            <w:noWrap/>
            <w:vAlign w:val="center"/>
            <w:hideMark/>
          </w:tcPr>
          <w:p w14:paraId="0BDAE770"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62.7%</w:t>
            </w:r>
          </w:p>
        </w:tc>
        <w:tc>
          <w:tcPr>
            <w:tcW w:w="1106" w:type="dxa"/>
            <w:gridSpan w:val="2"/>
            <w:tcBorders>
              <w:top w:val="nil"/>
              <w:left w:val="single" w:sz="8" w:space="0" w:color="000000"/>
              <w:bottom w:val="nil"/>
              <w:right w:val="single" w:sz="8" w:space="0" w:color="000000"/>
            </w:tcBorders>
            <w:shd w:val="clear" w:color="000000" w:fill="F8CBAD"/>
            <w:noWrap/>
            <w:vAlign w:val="center"/>
            <w:hideMark/>
          </w:tcPr>
          <w:p w14:paraId="67ED6B5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57.7%</w:t>
            </w:r>
          </w:p>
        </w:tc>
      </w:tr>
      <w:tr w:rsidR="00D07F48" w:rsidRPr="004A04E3" w14:paraId="14AC0431" w14:textId="77777777" w:rsidTr="00D053BA">
        <w:trPr>
          <w:trHeight w:val="324"/>
        </w:trPr>
        <w:tc>
          <w:tcPr>
            <w:tcW w:w="616" w:type="dxa"/>
            <w:vMerge/>
            <w:tcBorders>
              <w:top w:val="single" w:sz="8" w:space="0" w:color="000000"/>
              <w:left w:val="single" w:sz="8" w:space="0" w:color="000000"/>
              <w:bottom w:val="single" w:sz="8" w:space="0" w:color="000000"/>
              <w:right w:val="single" w:sz="8" w:space="0" w:color="auto"/>
            </w:tcBorders>
            <w:vAlign w:val="center"/>
            <w:hideMark/>
          </w:tcPr>
          <w:p w14:paraId="1E21B8BB"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000000"/>
              <w:left w:val="single" w:sz="8" w:space="0" w:color="auto"/>
              <w:bottom w:val="single" w:sz="8" w:space="0" w:color="000000"/>
              <w:right w:val="single" w:sz="8" w:space="0" w:color="000000"/>
            </w:tcBorders>
            <w:vAlign w:val="center"/>
            <w:hideMark/>
          </w:tcPr>
          <w:p w14:paraId="0EB89AC7"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nil"/>
              <w:right w:val="nil"/>
            </w:tcBorders>
            <w:vAlign w:val="center"/>
            <w:hideMark/>
          </w:tcPr>
          <w:p w14:paraId="5B168AA6"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10</w:t>
            </w:r>
          </w:p>
        </w:tc>
        <w:tc>
          <w:tcPr>
            <w:tcW w:w="917" w:type="dxa"/>
            <w:vMerge/>
            <w:tcBorders>
              <w:top w:val="single" w:sz="8" w:space="0" w:color="000000"/>
              <w:left w:val="single" w:sz="8" w:space="0" w:color="000000"/>
              <w:bottom w:val="single" w:sz="8" w:space="0" w:color="000000"/>
              <w:right w:val="single" w:sz="8" w:space="0" w:color="000000"/>
            </w:tcBorders>
            <w:vAlign w:val="center"/>
            <w:hideMark/>
          </w:tcPr>
          <w:p w14:paraId="0AD1F1A7"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3052" w:type="dxa"/>
            <w:tcBorders>
              <w:top w:val="nil"/>
              <w:left w:val="nil"/>
              <w:bottom w:val="nil"/>
              <w:right w:val="single" w:sz="8" w:space="0" w:color="auto"/>
            </w:tcBorders>
            <w:vAlign w:val="center"/>
            <w:hideMark/>
          </w:tcPr>
          <w:p w14:paraId="333043FF"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Median time (overall)</w:t>
            </w:r>
          </w:p>
        </w:tc>
        <w:tc>
          <w:tcPr>
            <w:tcW w:w="268" w:type="dxa"/>
            <w:tcBorders>
              <w:top w:val="nil"/>
              <w:left w:val="nil"/>
              <w:bottom w:val="single" w:sz="8" w:space="0" w:color="auto"/>
              <w:right w:val="nil"/>
            </w:tcBorders>
            <w:noWrap/>
            <w:vAlign w:val="bottom"/>
          </w:tcPr>
          <w:p w14:paraId="5DAD6D8B" w14:textId="21AE98DB"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single" w:sz="8" w:space="0" w:color="000000"/>
              <w:bottom w:val="single" w:sz="8" w:space="0" w:color="000000"/>
              <w:right w:val="nil"/>
            </w:tcBorders>
            <w:noWrap/>
            <w:vAlign w:val="center"/>
            <w:hideMark/>
          </w:tcPr>
          <w:p w14:paraId="61505A84"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000000"/>
              <w:right w:val="single" w:sz="8" w:space="0" w:color="000000"/>
            </w:tcBorders>
            <w:noWrap/>
            <w:vAlign w:val="bottom"/>
            <w:hideMark/>
          </w:tcPr>
          <w:p w14:paraId="62AD5ECE"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00:16:14</w:t>
            </w:r>
          </w:p>
        </w:tc>
        <w:tc>
          <w:tcPr>
            <w:tcW w:w="1106" w:type="dxa"/>
            <w:gridSpan w:val="2"/>
            <w:tcBorders>
              <w:top w:val="nil"/>
              <w:left w:val="nil"/>
              <w:bottom w:val="single" w:sz="8" w:space="0" w:color="000000"/>
              <w:right w:val="single" w:sz="8" w:space="0" w:color="000000"/>
            </w:tcBorders>
            <w:shd w:val="clear" w:color="000000" w:fill="F8CBAD"/>
            <w:noWrap/>
            <w:vAlign w:val="bottom"/>
            <w:hideMark/>
          </w:tcPr>
          <w:p w14:paraId="301AF169"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00:17:35</w:t>
            </w:r>
          </w:p>
        </w:tc>
      </w:tr>
      <w:tr w:rsidR="004A04E3" w:rsidRPr="004A04E3" w14:paraId="21C80FAC" w14:textId="77777777" w:rsidTr="00D053BA">
        <w:trPr>
          <w:gridAfter w:val="1"/>
          <w:wAfter w:w="133" w:type="dxa"/>
          <w:trHeight w:val="300"/>
        </w:trPr>
        <w:tc>
          <w:tcPr>
            <w:tcW w:w="10632" w:type="dxa"/>
            <w:gridSpan w:val="9"/>
            <w:tcBorders>
              <w:top w:val="single" w:sz="8" w:space="0" w:color="auto"/>
              <w:left w:val="nil"/>
              <w:bottom w:val="single" w:sz="8" w:space="0" w:color="auto"/>
              <w:right w:val="nil"/>
            </w:tcBorders>
            <w:vAlign w:val="center"/>
            <w:hideMark/>
          </w:tcPr>
          <w:p w14:paraId="081A9DF5" w14:textId="77777777" w:rsidR="00E3092F" w:rsidRDefault="00E3092F" w:rsidP="004A04E3">
            <w:pPr>
              <w:spacing w:after="0" w:line="240" w:lineRule="auto"/>
              <w:jc w:val="center"/>
              <w:rPr>
                <w:rFonts w:eastAsia="Times New Roman" w:cs="Calibri"/>
                <w:b/>
                <w:bCs/>
                <w:color w:val="000000"/>
                <w:sz w:val="8"/>
                <w:szCs w:val="8"/>
                <w:lang w:eastAsia="en-GB"/>
              </w:rPr>
            </w:pPr>
          </w:p>
          <w:p w14:paraId="7A9C84D2" w14:textId="77777777" w:rsidR="00E3092F" w:rsidRDefault="00E3092F" w:rsidP="004A04E3">
            <w:pPr>
              <w:spacing w:after="0" w:line="240" w:lineRule="auto"/>
              <w:jc w:val="center"/>
              <w:rPr>
                <w:rFonts w:eastAsia="Times New Roman" w:cs="Calibri"/>
                <w:b/>
                <w:bCs/>
                <w:color w:val="000000"/>
                <w:sz w:val="8"/>
                <w:szCs w:val="8"/>
                <w:lang w:eastAsia="en-GB"/>
              </w:rPr>
            </w:pPr>
          </w:p>
          <w:p w14:paraId="64324987" w14:textId="77777777" w:rsidR="00E3092F" w:rsidRDefault="00E3092F" w:rsidP="004A04E3">
            <w:pPr>
              <w:spacing w:after="0" w:line="240" w:lineRule="auto"/>
              <w:jc w:val="center"/>
              <w:rPr>
                <w:rFonts w:eastAsia="Times New Roman" w:cs="Calibri"/>
                <w:b/>
                <w:bCs/>
                <w:color w:val="000000"/>
                <w:sz w:val="8"/>
                <w:szCs w:val="8"/>
                <w:lang w:eastAsia="en-GB"/>
              </w:rPr>
            </w:pPr>
          </w:p>
          <w:p w14:paraId="218864E8" w14:textId="77777777" w:rsidR="00E3092F" w:rsidRDefault="00E3092F" w:rsidP="004A04E3">
            <w:pPr>
              <w:spacing w:after="0" w:line="240" w:lineRule="auto"/>
              <w:jc w:val="center"/>
              <w:rPr>
                <w:rFonts w:eastAsia="Times New Roman" w:cs="Calibri"/>
                <w:b/>
                <w:bCs/>
                <w:color w:val="000000"/>
                <w:sz w:val="8"/>
                <w:szCs w:val="8"/>
                <w:lang w:eastAsia="en-GB"/>
              </w:rPr>
            </w:pPr>
          </w:p>
          <w:p w14:paraId="298C5CAF" w14:textId="77777777" w:rsidR="00E3092F" w:rsidRDefault="00E3092F" w:rsidP="004A04E3">
            <w:pPr>
              <w:spacing w:after="0" w:line="240" w:lineRule="auto"/>
              <w:jc w:val="center"/>
              <w:rPr>
                <w:rFonts w:eastAsia="Times New Roman" w:cs="Calibri"/>
                <w:b/>
                <w:bCs/>
                <w:color w:val="000000"/>
                <w:sz w:val="8"/>
                <w:szCs w:val="8"/>
                <w:lang w:eastAsia="en-GB"/>
              </w:rPr>
            </w:pPr>
          </w:p>
          <w:p w14:paraId="260D7088" w14:textId="77777777" w:rsidR="00E3092F" w:rsidRDefault="00E3092F" w:rsidP="004A04E3">
            <w:pPr>
              <w:spacing w:after="0" w:line="240" w:lineRule="auto"/>
              <w:jc w:val="center"/>
              <w:rPr>
                <w:rFonts w:eastAsia="Times New Roman" w:cs="Calibri"/>
                <w:b/>
                <w:bCs/>
                <w:color w:val="000000"/>
                <w:sz w:val="8"/>
                <w:szCs w:val="8"/>
                <w:lang w:eastAsia="en-GB"/>
              </w:rPr>
            </w:pPr>
          </w:p>
          <w:p w14:paraId="3BA720EE" w14:textId="77777777" w:rsidR="00E3092F" w:rsidRDefault="00E3092F" w:rsidP="004A04E3">
            <w:pPr>
              <w:spacing w:after="0" w:line="240" w:lineRule="auto"/>
              <w:jc w:val="center"/>
              <w:rPr>
                <w:rFonts w:eastAsia="Times New Roman" w:cs="Calibri"/>
                <w:b/>
                <w:bCs/>
                <w:color w:val="000000"/>
                <w:sz w:val="8"/>
                <w:szCs w:val="8"/>
                <w:lang w:eastAsia="en-GB"/>
              </w:rPr>
            </w:pPr>
          </w:p>
          <w:p w14:paraId="26298460" w14:textId="6CA2C687" w:rsidR="004A04E3" w:rsidRPr="004A04E3" w:rsidRDefault="004A04E3" w:rsidP="004A04E3">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1C3EE8" w:rsidRPr="004A04E3" w14:paraId="3C4E35D1" w14:textId="77777777" w:rsidTr="00D053BA">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130E0730"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Objective</w:t>
            </w:r>
          </w:p>
        </w:tc>
        <w:tc>
          <w:tcPr>
            <w:tcW w:w="4678" w:type="dxa"/>
            <w:gridSpan w:val="3"/>
            <w:tcBorders>
              <w:top w:val="single" w:sz="8" w:space="0" w:color="auto"/>
              <w:left w:val="nil"/>
              <w:bottom w:val="single" w:sz="8" w:space="0" w:color="auto"/>
              <w:right w:val="nil"/>
            </w:tcBorders>
            <w:vAlign w:val="center"/>
            <w:hideMark/>
          </w:tcPr>
          <w:p w14:paraId="1C367DC7"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nil"/>
              <w:left w:val="single" w:sz="8" w:space="0" w:color="auto"/>
              <w:bottom w:val="nil"/>
              <w:right w:val="single" w:sz="8" w:space="0" w:color="auto"/>
            </w:tcBorders>
            <w:noWrap/>
            <w:vAlign w:val="bottom"/>
          </w:tcPr>
          <w:p w14:paraId="7183FDC0" w14:textId="422AD529" w:rsidR="004A04E3" w:rsidRPr="004A04E3" w:rsidRDefault="004A04E3" w:rsidP="004A04E3">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nil"/>
            </w:tcBorders>
            <w:noWrap/>
            <w:vAlign w:val="center"/>
            <w:hideMark/>
          </w:tcPr>
          <w:p w14:paraId="6FAAB35F"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single" w:sz="8" w:space="0" w:color="auto"/>
              <w:bottom w:val="single" w:sz="8" w:space="0" w:color="auto"/>
              <w:right w:val="single" w:sz="8" w:space="0" w:color="auto"/>
            </w:tcBorders>
            <w:vAlign w:val="center"/>
            <w:hideMark/>
          </w:tcPr>
          <w:p w14:paraId="02B030D6"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D053BA" w:rsidRPr="004A04E3" w14:paraId="4A0F00CD" w14:textId="77777777" w:rsidTr="00D053BA">
        <w:trPr>
          <w:trHeight w:val="432"/>
        </w:trPr>
        <w:tc>
          <w:tcPr>
            <w:tcW w:w="7089" w:type="dxa"/>
            <w:gridSpan w:val="5"/>
            <w:tcBorders>
              <w:top w:val="single" w:sz="8" w:space="0" w:color="auto"/>
              <w:left w:val="single" w:sz="8" w:space="0" w:color="auto"/>
              <w:bottom w:val="single" w:sz="8" w:space="0" w:color="auto"/>
              <w:right w:val="nil"/>
            </w:tcBorders>
            <w:shd w:val="clear" w:color="000000" w:fill="BFBFBF"/>
            <w:noWrap/>
            <w:vAlign w:val="center"/>
            <w:hideMark/>
          </w:tcPr>
          <w:p w14:paraId="1F7375FC" w14:textId="77777777" w:rsidR="004A04E3" w:rsidRPr="004A04E3" w:rsidRDefault="004A04E3" w:rsidP="004A04E3">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2 - How well are we protecting people from harm?</w:t>
            </w:r>
          </w:p>
        </w:tc>
        <w:tc>
          <w:tcPr>
            <w:tcW w:w="268" w:type="dxa"/>
            <w:tcBorders>
              <w:top w:val="nil"/>
              <w:left w:val="single" w:sz="8" w:space="0" w:color="auto"/>
              <w:bottom w:val="nil"/>
              <w:right w:val="single" w:sz="8" w:space="0" w:color="auto"/>
            </w:tcBorders>
            <w:noWrap/>
            <w:vAlign w:val="center"/>
          </w:tcPr>
          <w:p w14:paraId="2B8213F9" w14:textId="00406A4D" w:rsidR="004A04E3" w:rsidRPr="004A04E3" w:rsidRDefault="004A04E3" w:rsidP="004A04E3">
            <w:pPr>
              <w:spacing w:after="0" w:line="240" w:lineRule="auto"/>
              <w:jc w:val="left"/>
              <w:rPr>
                <w:rFonts w:eastAsia="Times New Roman" w:cs="Calibri"/>
                <w:b/>
                <w:bCs/>
                <w:i/>
                <w:iCs/>
                <w:color w:val="000000"/>
                <w:sz w:val="8"/>
                <w:szCs w:val="8"/>
                <w:lang w:eastAsia="en-GB"/>
              </w:rPr>
            </w:pPr>
          </w:p>
        </w:tc>
        <w:tc>
          <w:tcPr>
            <w:tcW w:w="3408" w:type="dxa"/>
            <w:gridSpan w:val="4"/>
            <w:tcBorders>
              <w:top w:val="single" w:sz="8" w:space="0" w:color="auto"/>
              <w:left w:val="nil"/>
              <w:bottom w:val="single" w:sz="8" w:space="0" w:color="auto"/>
              <w:right w:val="single" w:sz="8" w:space="0" w:color="000000"/>
            </w:tcBorders>
            <w:shd w:val="clear" w:color="000000" w:fill="C6E0B4"/>
            <w:noWrap/>
            <w:vAlign w:val="center"/>
            <w:hideMark/>
          </w:tcPr>
          <w:p w14:paraId="3844FF9D" w14:textId="77777777" w:rsidR="004A04E3" w:rsidRPr="004A04E3" w:rsidRDefault="004A04E3" w:rsidP="004A04E3">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met</w:t>
            </w:r>
          </w:p>
        </w:tc>
      </w:tr>
      <w:tr w:rsidR="001C3EE8" w:rsidRPr="004A04E3" w14:paraId="7978C9C2" w14:textId="77777777" w:rsidTr="00D053BA">
        <w:trPr>
          <w:trHeight w:val="324"/>
        </w:trPr>
        <w:tc>
          <w:tcPr>
            <w:tcW w:w="616" w:type="dxa"/>
            <w:tcBorders>
              <w:top w:val="nil"/>
              <w:left w:val="single" w:sz="8" w:space="0" w:color="auto"/>
              <w:bottom w:val="single" w:sz="8" w:space="0" w:color="auto"/>
              <w:right w:val="single" w:sz="8" w:space="0" w:color="auto"/>
            </w:tcBorders>
            <w:noWrap/>
            <w:vAlign w:val="center"/>
            <w:hideMark/>
          </w:tcPr>
          <w:p w14:paraId="3C9E9F5A"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PO4</w:t>
            </w:r>
          </w:p>
        </w:tc>
        <w:tc>
          <w:tcPr>
            <w:tcW w:w="1795" w:type="dxa"/>
            <w:tcBorders>
              <w:top w:val="nil"/>
              <w:left w:val="nil"/>
              <w:bottom w:val="single" w:sz="8" w:space="0" w:color="auto"/>
              <w:right w:val="single" w:sz="8" w:space="0" w:color="auto"/>
            </w:tcBorders>
            <w:noWrap/>
            <w:vAlign w:val="center"/>
            <w:hideMark/>
          </w:tcPr>
          <w:p w14:paraId="2C54023C"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Reduce repeat victimisation (Crimes excluding Rex)</w:t>
            </w:r>
          </w:p>
        </w:tc>
        <w:tc>
          <w:tcPr>
            <w:tcW w:w="709" w:type="dxa"/>
            <w:tcBorders>
              <w:top w:val="nil"/>
              <w:left w:val="nil"/>
              <w:bottom w:val="single" w:sz="8" w:space="0" w:color="auto"/>
              <w:right w:val="nil"/>
            </w:tcBorders>
            <w:noWrap/>
            <w:vAlign w:val="center"/>
            <w:hideMark/>
          </w:tcPr>
          <w:p w14:paraId="2DE676AA"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11</w:t>
            </w:r>
          </w:p>
        </w:tc>
        <w:tc>
          <w:tcPr>
            <w:tcW w:w="3969" w:type="dxa"/>
            <w:gridSpan w:val="2"/>
            <w:tcBorders>
              <w:top w:val="nil"/>
              <w:left w:val="single" w:sz="8" w:space="0" w:color="auto"/>
              <w:bottom w:val="single" w:sz="8" w:space="0" w:color="auto"/>
              <w:right w:val="nil"/>
            </w:tcBorders>
            <w:vAlign w:val="center"/>
            <w:hideMark/>
          </w:tcPr>
          <w:p w14:paraId="7D631A71"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Persistent victims rate (5 or more crimes in the last 12m)</w:t>
            </w:r>
          </w:p>
        </w:tc>
        <w:tc>
          <w:tcPr>
            <w:tcW w:w="268" w:type="dxa"/>
            <w:tcBorders>
              <w:top w:val="nil"/>
              <w:left w:val="single" w:sz="8" w:space="0" w:color="auto"/>
              <w:bottom w:val="nil"/>
              <w:right w:val="single" w:sz="8" w:space="0" w:color="auto"/>
            </w:tcBorders>
            <w:noWrap/>
            <w:vAlign w:val="bottom"/>
          </w:tcPr>
          <w:p w14:paraId="5DFA5437" w14:textId="61FC2A70"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677DA2DC"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59DDCCCE"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5.4%</w:t>
            </w:r>
          </w:p>
        </w:tc>
        <w:tc>
          <w:tcPr>
            <w:tcW w:w="1106" w:type="dxa"/>
            <w:gridSpan w:val="2"/>
            <w:tcBorders>
              <w:top w:val="nil"/>
              <w:left w:val="nil"/>
              <w:bottom w:val="nil"/>
              <w:right w:val="single" w:sz="8" w:space="0" w:color="auto"/>
            </w:tcBorders>
            <w:shd w:val="clear" w:color="000000" w:fill="C6E0B4"/>
            <w:noWrap/>
            <w:vAlign w:val="center"/>
            <w:hideMark/>
          </w:tcPr>
          <w:p w14:paraId="2D06D07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5.0%</w:t>
            </w:r>
          </w:p>
        </w:tc>
      </w:tr>
      <w:tr w:rsidR="009F77E3" w:rsidRPr="004A04E3" w14:paraId="79DCF15F" w14:textId="77777777" w:rsidTr="00D053BA">
        <w:trPr>
          <w:trHeight w:val="492"/>
        </w:trPr>
        <w:tc>
          <w:tcPr>
            <w:tcW w:w="616" w:type="dxa"/>
            <w:tcBorders>
              <w:top w:val="nil"/>
              <w:left w:val="single" w:sz="8" w:space="0" w:color="auto"/>
              <w:bottom w:val="nil"/>
              <w:right w:val="single" w:sz="8" w:space="0" w:color="auto"/>
            </w:tcBorders>
            <w:noWrap/>
            <w:vAlign w:val="center"/>
            <w:hideMark/>
          </w:tcPr>
          <w:p w14:paraId="29E117D5"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PO5</w:t>
            </w:r>
          </w:p>
        </w:tc>
        <w:tc>
          <w:tcPr>
            <w:tcW w:w="1795" w:type="dxa"/>
            <w:tcBorders>
              <w:top w:val="nil"/>
              <w:left w:val="nil"/>
              <w:bottom w:val="nil"/>
              <w:right w:val="single" w:sz="8" w:space="0" w:color="auto"/>
            </w:tcBorders>
            <w:vAlign w:val="center"/>
            <w:hideMark/>
          </w:tcPr>
          <w:p w14:paraId="3B5BFFB3"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Achieve a</w:t>
            </w:r>
            <w:r w:rsidRPr="004A04E3">
              <w:rPr>
                <w:rFonts w:eastAsia="Times New Roman" w:cs="Calibri"/>
                <w:b/>
                <w:bCs/>
                <w:color w:val="000000"/>
                <w:sz w:val="18"/>
                <w:szCs w:val="18"/>
                <w:lang w:eastAsia="en-GB"/>
              </w:rPr>
              <w:t xml:space="preserve"> Victim Based Crime </w:t>
            </w:r>
            <w:r w:rsidRPr="004A04E3">
              <w:rPr>
                <w:rFonts w:eastAsia="Times New Roman" w:cs="Calibri"/>
                <w:color w:val="000000"/>
                <w:sz w:val="18"/>
                <w:szCs w:val="18"/>
                <w:lang w:eastAsia="en-GB"/>
              </w:rPr>
              <w:t>rate per 1000 people lower than our most similar forces</w:t>
            </w:r>
          </w:p>
        </w:tc>
        <w:tc>
          <w:tcPr>
            <w:tcW w:w="709" w:type="dxa"/>
            <w:tcBorders>
              <w:top w:val="nil"/>
              <w:left w:val="nil"/>
              <w:bottom w:val="nil"/>
              <w:right w:val="single" w:sz="8" w:space="0" w:color="auto"/>
            </w:tcBorders>
            <w:vAlign w:val="center"/>
            <w:hideMark/>
          </w:tcPr>
          <w:p w14:paraId="536D4E24"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12</w:t>
            </w:r>
          </w:p>
        </w:tc>
        <w:tc>
          <w:tcPr>
            <w:tcW w:w="3969" w:type="dxa"/>
            <w:gridSpan w:val="2"/>
            <w:tcBorders>
              <w:top w:val="single" w:sz="8" w:space="0" w:color="auto"/>
              <w:left w:val="nil"/>
              <w:bottom w:val="nil"/>
              <w:right w:val="nil"/>
            </w:tcBorders>
            <w:vAlign w:val="center"/>
            <w:hideMark/>
          </w:tcPr>
          <w:p w14:paraId="235BAC4C"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Northants rate of VBC per 1k</w:t>
            </w:r>
          </w:p>
        </w:tc>
        <w:tc>
          <w:tcPr>
            <w:tcW w:w="268" w:type="dxa"/>
            <w:tcBorders>
              <w:top w:val="nil"/>
              <w:left w:val="single" w:sz="8" w:space="0" w:color="auto"/>
              <w:bottom w:val="nil"/>
              <w:right w:val="single" w:sz="8" w:space="0" w:color="auto"/>
            </w:tcBorders>
            <w:noWrap/>
            <w:vAlign w:val="bottom"/>
          </w:tcPr>
          <w:p w14:paraId="0EEDA4B2" w14:textId="423ACEBC"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4DD40646"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MSG 2024/25 rate</w:t>
            </w:r>
          </w:p>
        </w:tc>
        <w:tc>
          <w:tcPr>
            <w:tcW w:w="869" w:type="dxa"/>
            <w:tcBorders>
              <w:top w:val="single" w:sz="8" w:space="0" w:color="auto"/>
              <w:left w:val="nil"/>
              <w:bottom w:val="single" w:sz="8" w:space="0" w:color="auto"/>
              <w:right w:val="single" w:sz="8" w:space="0" w:color="auto"/>
            </w:tcBorders>
            <w:noWrap/>
            <w:vAlign w:val="center"/>
            <w:hideMark/>
          </w:tcPr>
          <w:p w14:paraId="5A017B74"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68.4</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05E9EAAF"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61.6</w:t>
            </w:r>
          </w:p>
        </w:tc>
      </w:tr>
      <w:tr w:rsidR="009F77E3" w:rsidRPr="004A04E3" w14:paraId="62319F93" w14:textId="77777777" w:rsidTr="00D053BA">
        <w:trPr>
          <w:trHeight w:val="324"/>
        </w:trPr>
        <w:tc>
          <w:tcPr>
            <w:tcW w:w="616" w:type="dxa"/>
            <w:tcBorders>
              <w:top w:val="single" w:sz="8" w:space="0" w:color="auto"/>
              <w:left w:val="single" w:sz="8" w:space="0" w:color="auto"/>
              <w:bottom w:val="nil"/>
              <w:right w:val="nil"/>
            </w:tcBorders>
            <w:noWrap/>
            <w:vAlign w:val="center"/>
            <w:hideMark/>
          </w:tcPr>
          <w:p w14:paraId="2C24B363"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PO6</w:t>
            </w:r>
          </w:p>
        </w:tc>
        <w:tc>
          <w:tcPr>
            <w:tcW w:w="1795" w:type="dxa"/>
            <w:tcBorders>
              <w:top w:val="single" w:sz="8" w:space="0" w:color="auto"/>
              <w:left w:val="single" w:sz="8" w:space="0" w:color="auto"/>
              <w:bottom w:val="nil"/>
              <w:right w:val="nil"/>
            </w:tcBorders>
            <w:vAlign w:val="center"/>
            <w:hideMark/>
          </w:tcPr>
          <w:p w14:paraId="1702A9C5"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Safeguard victims of domestic abuse</w:t>
            </w:r>
          </w:p>
        </w:tc>
        <w:tc>
          <w:tcPr>
            <w:tcW w:w="709" w:type="dxa"/>
            <w:tcBorders>
              <w:top w:val="single" w:sz="8" w:space="0" w:color="auto"/>
              <w:left w:val="single" w:sz="8" w:space="0" w:color="auto"/>
              <w:bottom w:val="nil"/>
              <w:right w:val="single" w:sz="8" w:space="0" w:color="auto"/>
            </w:tcBorders>
            <w:vAlign w:val="center"/>
            <w:hideMark/>
          </w:tcPr>
          <w:p w14:paraId="5C37A502"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13</w:t>
            </w:r>
          </w:p>
        </w:tc>
        <w:tc>
          <w:tcPr>
            <w:tcW w:w="3969" w:type="dxa"/>
            <w:gridSpan w:val="2"/>
            <w:tcBorders>
              <w:top w:val="single" w:sz="8" w:space="0" w:color="auto"/>
              <w:left w:val="nil"/>
              <w:bottom w:val="single" w:sz="8" w:space="0" w:color="auto"/>
              <w:right w:val="nil"/>
            </w:tcBorders>
            <w:vAlign w:val="center"/>
            <w:hideMark/>
          </w:tcPr>
          <w:p w14:paraId="5DC231A4"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DVPOs secured</w:t>
            </w:r>
          </w:p>
        </w:tc>
        <w:tc>
          <w:tcPr>
            <w:tcW w:w="268" w:type="dxa"/>
            <w:tcBorders>
              <w:top w:val="nil"/>
              <w:left w:val="single" w:sz="8" w:space="0" w:color="auto"/>
              <w:bottom w:val="nil"/>
              <w:right w:val="single" w:sz="8" w:space="0" w:color="auto"/>
            </w:tcBorders>
            <w:noWrap/>
            <w:vAlign w:val="bottom"/>
          </w:tcPr>
          <w:p w14:paraId="7DF73A57" w14:textId="333A6331" w:rsidR="00D053BA" w:rsidRPr="004A04E3" w:rsidRDefault="00D053BA"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10860CAD"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01A10013"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331</w:t>
            </w:r>
          </w:p>
        </w:tc>
        <w:tc>
          <w:tcPr>
            <w:tcW w:w="1106" w:type="dxa"/>
            <w:gridSpan w:val="2"/>
            <w:tcBorders>
              <w:top w:val="nil"/>
              <w:left w:val="nil"/>
              <w:bottom w:val="single" w:sz="8" w:space="0" w:color="auto"/>
              <w:right w:val="single" w:sz="8" w:space="0" w:color="auto"/>
            </w:tcBorders>
            <w:shd w:val="clear" w:color="000000" w:fill="C6E0B4"/>
            <w:noWrap/>
            <w:vAlign w:val="center"/>
            <w:hideMark/>
          </w:tcPr>
          <w:p w14:paraId="188C875C"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341</w:t>
            </w:r>
          </w:p>
        </w:tc>
      </w:tr>
      <w:tr w:rsidR="009F77E3" w:rsidRPr="004A04E3" w14:paraId="755FB783" w14:textId="77777777" w:rsidTr="00D053BA">
        <w:trPr>
          <w:trHeight w:val="492"/>
        </w:trPr>
        <w:tc>
          <w:tcPr>
            <w:tcW w:w="616" w:type="dxa"/>
            <w:tcBorders>
              <w:top w:val="single" w:sz="8" w:space="0" w:color="auto"/>
              <w:left w:val="single" w:sz="8" w:space="0" w:color="auto"/>
              <w:bottom w:val="nil"/>
              <w:right w:val="nil"/>
            </w:tcBorders>
            <w:noWrap/>
            <w:vAlign w:val="center"/>
            <w:hideMark/>
          </w:tcPr>
          <w:p w14:paraId="24C3B6DD"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PO7</w:t>
            </w:r>
          </w:p>
        </w:tc>
        <w:tc>
          <w:tcPr>
            <w:tcW w:w="1795" w:type="dxa"/>
            <w:tcBorders>
              <w:top w:val="single" w:sz="8" w:space="0" w:color="auto"/>
              <w:left w:val="single" w:sz="8" w:space="0" w:color="auto"/>
              <w:bottom w:val="nil"/>
              <w:right w:val="nil"/>
            </w:tcBorders>
            <w:vAlign w:val="center"/>
            <w:hideMark/>
          </w:tcPr>
          <w:p w14:paraId="034B0006"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Increase representation of the voice of the child</w:t>
            </w:r>
          </w:p>
        </w:tc>
        <w:tc>
          <w:tcPr>
            <w:tcW w:w="709" w:type="dxa"/>
            <w:tcBorders>
              <w:top w:val="single" w:sz="8" w:space="0" w:color="auto"/>
              <w:left w:val="single" w:sz="8" w:space="0" w:color="auto"/>
              <w:bottom w:val="nil"/>
              <w:right w:val="single" w:sz="8" w:space="0" w:color="auto"/>
            </w:tcBorders>
            <w:vAlign w:val="center"/>
            <w:hideMark/>
          </w:tcPr>
          <w:p w14:paraId="6F4CA172"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14</w:t>
            </w:r>
          </w:p>
        </w:tc>
        <w:tc>
          <w:tcPr>
            <w:tcW w:w="3969" w:type="dxa"/>
            <w:gridSpan w:val="2"/>
            <w:tcBorders>
              <w:top w:val="single" w:sz="8" w:space="0" w:color="auto"/>
              <w:left w:val="nil"/>
              <w:bottom w:val="nil"/>
              <w:right w:val="nil"/>
            </w:tcBorders>
            <w:vAlign w:val="center"/>
            <w:hideMark/>
          </w:tcPr>
          <w:p w14:paraId="69DA8641"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PPNs when the child was seen to record the Voice of the Child</w:t>
            </w:r>
          </w:p>
        </w:tc>
        <w:tc>
          <w:tcPr>
            <w:tcW w:w="268" w:type="dxa"/>
            <w:tcBorders>
              <w:top w:val="nil"/>
              <w:left w:val="single" w:sz="8" w:space="0" w:color="auto"/>
              <w:bottom w:val="single" w:sz="8" w:space="0" w:color="auto"/>
              <w:right w:val="single" w:sz="8" w:space="0" w:color="auto"/>
            </w:tcBorders>
            <w:noWrap/>
            <w:vAlign w:val="bottom"/>
          </w:tcPr>
          <w:p w14:paraId="7F5D557C" w14:textId="4A8CAD93" w:rsidR="00D053BA" w:rsidRPr="004A04E3" w:rsidRDefault="00D053BA" w:rsidP="004A04E3">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nil"/>
              <w:right w:val="nil"/>
            </w:tcBorders>
            <w:noWrap/>
            <w:vAlign w:val="center"/>
            <w:hideMark/>
          </w:tcPr>
          <w:p w14:paraId="3AA56923"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nil"/>
              <w:right w:val="single" w:sz="8" w:space="0" w:color="auto"/>
            </w:tcBorders>
            <w:noWrap/>
            <w:vAlign w:val="center"/>
            <w:hideMark/>
          </w:tcPr>
          <w:p w14:paraId="76BF3D8D"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62%</w:t>
            </w:r>
          </w:p>
        </w:tc>
        <w:tc>
          <w:tcPr>
            <w:tcW w:w="1106" w:type="dxa"/>
            <w:gridSpan w:val="2"/>
            <w:tcBorders>
              <w:top w:val="single" w:sz="8" w:space="0" w:color="auto"/>
              <w:left w:val="nil"/>
              <w:bottom w:val="single" w:sz="4" w:space="0" w:color="auto"/>
              <w:right w:val="single" w:sz="8" w:space="0" w:color="auto"/>
            </w:tcBorders>
            <w:shd w:val="clear" w:color="000000" w:fill="C6E0B4"/>
            <w:noWrap/>
            <w:vAlign w:val="center"/>
            <w:hideMark/>
          </w:tcPr>
          <w:p w14:paraId="21A94243"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62.7%</w:t>
            </w:r>
          </w:p>
        </w:tc>
      </w:tr>
      <w:tr w:rsidR="004A04E3" w:rsidRPr="004A04E3" w14:paraId="2986858F" w14:textId="77777777" w:rsidTr="00D053BA">
        <w:trPr>
          <w:gridAfter w:val="1"/>
          <w:wAfter w:w="133" w:type="dxa"/>
          <w:trHeight w:val="324"/>
        </w:trPr>
        <w:tc>
          <w:tcPr>
            <w:tcW w:w="10632" w:type="dxa"/>
            <w:gridSpan w:val="9"/>
            <w:tcBorders>
              <w:top w:val="single" w:sz="8" w:space="0" w:color="auto"/>
              <w:left w:val="nil"/>
              <w:bottom w:val="single" w:sz="8" w:space="0" w:color="auto"/>
              <w:right w:val="nil"/>
            </w:tcBorders>
            <w:vAlign w:val="center"/>
            <w:hideMark/>
          </w:tcPr>
          <w:p w14:paraId="381E9836" w14:textId="77777777" w:rsidR="00595878" w:rsidRDefault="00595878" w:rsidP="004A04E3">
            <w:pPr>
              <w:spacing w:after="0" w:line="240" w:lineRule="auto"/>
              <w:jc w:val="center"/>
              <w:rPr>
                <w:rFonts w:eastAsia="Times New Roman" w:cs="Calibri"/>
                <w:b/>
                <w:bCs/>
                <w:color w:val="000000"/>
                <w:sz w:val="8"/>
                <w:szCs w:val="8"/>
                <w:lang w:eastAsia="en-GB"/>
              </w:rPr>
            </w:pPr>
          </w:p>
          <w:p w14:paraId="1B1F264B" w14:textId="77777777" w:rsidR="00595878" w:rsidRDefault="00595878" w:rsidP="004A04E3">
            <w:pPr>
              <w:spacing w:after="0" w:line="240" w:lineRule="auto"/>
              <w:jc w:val="center"/>
              <w:rPr>
                <w:rFonts w:eastAsia="Times New Roman" w:cs="Calibri"/>
                <w:b/>
                <w:bCs/>
                <w:color w:val="000000"/>
                <w:sz w:val="8"/>
                <w:szCs w:val="8"/>
                <w:lang w:eastAsia="en-GB"/>
              </w:rPr>
            </w:pPr>
          </w:p>
          <w:p w14:paraId="246537BC" w14:textId="77777777" w:rsidR="00595878" w:rsidRDefault="00595878" w:rsidP="004A04E3">
            <w:pPr>
              <w:spacing w:after="0" w:line="240" w:lineRule="auto"/>
              <w:jc w:val="center"/>
              <w:rPr>
                <w:rFonts w:eastAsia="Times New Roman" w:cs="Calibri"/>
                <w:b/>
                <w:bCs/>
                <w:color w:val="000000"/>
                <w:sz w:val="8"/>
                <w:szCs w:val="8"/>
                <w:lang w:eastAsia="en-GB"/>
              </w:rPr>
            </w:pPr>
          </w:p>
          <w:p w14:paraId="641BE277" w14:textId="77777777" w:rsidR="00595878" w:rsidRDefault="00595878" w:rsidP="004A04E3">
            <w:pPr>
              <w:spacing w:after="0" w:line="240" w:lineRule="auto"/>
              <w:jc w:val="center"/>
              <w:rPr>
                <w:rFonts w:eastAsia="Times New Roman" w:cs="Calibri"/>
                <w:b/>
                <w:bCs/>
                <w:color w:val="000000"/>
                <w:sz w:val="8"/>
                <w:szCs w:val="8"/>
                <w:lang w:eastAsia="en-GB"/>
              </w:rPr>
            </w:pPr>
          </w:p>
          <w:p w14:paraId="53CA883B" w14:textId="77777777" w:rsidR="00595878" w:rsidRDefault="00595878" w:rsidP="004A04E3">
            <w:pPr>
              <w:spacing w:after="0" w:line="240" w:lineRule="auto"/>
              <w:jc w:val="center"/>
              <w:rPr>
                <w:rFonts w:eastAsia="Times New Roman" w:cs="Calibri"/>
                <w:b/>
                <w:bCs/>
                <w:color w:val="000000"/>
                <w:sz w:val="8"/>
                <w:szCs w:val="8"/>
                <w:lang w:eastAsia="en-GB"/>
              </w:rPr>
            </w:pPr>
          </w:p>
          <w:p w14:paraId="76181CA7" w14:textId="05BA0968" w:rsidR="00595878" w:rsidRPr="00595878" w:rsidRDefault="0056528E" w:rsidP="004A04E3">
            <w:pPr>
              <w:spacing w:after="0" w:line="240" w:lineRule="auto"/>
              <w:jc w:val="center"/>
              <w:rPr>
                <w:rFonts w:eastAsia="Times New Roman" w:cs="Calibri"/>
                <w:b/>
                <w:bCs/>
                <w:color w:val="000000"/>
                <w:szCs w:val="20"/>
                <w:lang w:eastAsia="en-GB"/>
              </w:rPr>
            </w:pPr>
            <w:r>
              <w:rPr>
                <w:rFonts w:eastAsia="Times New Roman" w:cs="Calibri"/>
                <w:b/>
                <w:bCs/>
                <w:color w:val="000000"/>
                <w:szCs w:val="20"/>
                <w:lang w:eastAsia="en-GB"/>
              </w:rPr>
              <w:t>CONT/D</w:t>
            </w:r>
          </w:p>
          <w:p w14:paraId="07C6F7F7" w14:textId="77777777" w:rsidR="00595878" w:rsidRDefault="00595878" w:rsidP="004A04E3">
            <w:pPr>
              <w:spacing w:after="0" w:line="240" w:lineRule="auto"/>
              <w:jc w:val="center"/>
              <w:rPr>
                <w:rFonts w:eastAsia="Times New Roman" w:cs="Calibri"/>
                <w:b/>
                <w:bCs/>
                <w:color w:val="000000"/>
                <w:sz w:val="8"/>
                <w:szCs w:val="8"/>
                <w:lang w:eastAsia="en-GB"/>
              </w:rPr>
            </w:pPr>
          </w:p>
          <w:p w14:paraId="25DE4D0F" w14:textId="77777777" w:rsidR="00595878" w:rsidRDefault="00595878" w:rsidP="004A04E3">
            <w:pPr>
              <w:spacing w:after="0" w:line="240" w:lineRule="auto"/>
              <w:jc w:val="center"/>
              <w:rPr>
                <w:rFonts w:eastAsia="Times New Roman" w:cs="Calibri"/>
                <w:b/>
                <w:bCs/>
                <w:color w:val="000000"/>
                <w:sz w:val="8"/>
                <w:szCs w:val="8"/>
                <w:lang w:eastAsia="en-GB"/>
              </w:rPr>
            </w:pPr>
          </w:p>
          <w:p w14:paraId="757D6E4D" w14:textId="77777777" w:rsidR="00595878" w:rsidRDefault="00595878" w:rsidP="004A04E3">
            <w:pPr>
              <w:spacing w:after="0" w:line="240" w:lineRule="auto"/>
              <w:jc w:val="center"/>
              <w:rPr>
                <w:rFonts w:eastAsia="Times New Roman" w:cs="Calibri"/>
                <w:b/>
                <w:bCs/>
                <w:color w:val="000000"/>
                <w:sz w:val="8"/>
                <w:szCs w:val="8"/>
                <w:lang w:eastAsia="en-GB"/>
              </w:rPr>
            </w:pPr>
          </w:p>
          <w:p w14:paraId="00F7A972" w14:textId="77777777" w:rsidR="00595878" w:rsidRDefault="00595878" w:rsidP="004A04E3">
            <w:pPr>
              <w:spacing w:after="0" w:line="240" w:lineRule="auto"/>
              <w:jc w:val="center"/>
              <w:rPr>
                <w:rFonts w:eastAsia="Times New Roman" w:cs="Calibri"/>
                <w:b/>
                <w:bCs/>
                <w:color w:val="000000"/>
                <w:sz w:val="8"/>
                <w:szCs w:val="8"/>
                <w:lang w:eastAsia="en-GB"/>
              </w:rPr>
            </w:pPr>
          </w:p>
          <w:p w14:paraId="1333E6A2" w14:textId="77777777" w:rsidR="00595878" w:rsidRDefault="00595878" w:rsidP="004A04E3">
            <w:pPr>
              <w:spacing w:after="0" w:line="240" w:lineRule="auto"/>
              <w:jc w:val="center"/>
              <w:rPr>
                <w:rFonts w:eastAsia="Times New Roman" w:cs="Calibri"/>
                <w:b/>
                <w:bCs/>
                <w:color w:val="000000"/>
                <w:sz w:val="8"/>
                <w:szCs w:val="8"/>
                <w:lang w:eastAsia="en-GB"/>
              </w:rPr>
            </w:pPr>
          </w:p>
          <w:p w14:paraId="72D01495" w14:textId="77777777" w:rsidR="00595878" w:rsidRDefault="00595878" w:rsidP="004A04E3">
            <w:pPr>
              <w:spacing w:after="0" w:line="240" w:lineRule="auto"/>
              <w:jc w:val="center"/>
              <w:rPr>
                <w:rFonts w:eastAsia="Times New Roman" w:cs="Calibri"/>
                <w:b/>
                <w:bCs/>
                <w:color w:val="000000"/>
                <w:sz w:val="8"/>
                <w:szCs w:val="8"/>
                <w:lang w:eastAsia="en-GB"/>
              </w:rPr>
            </w:pPr>
          </w:p>
          <w:p w14:paraId="6379DE6B" w14:textId="77777777" w:rsidR="00595878" w:rsidRDefault="00595878" w:rsidP="004A04E3">
            <w:pPr>
              <w:spacing w:after="0" w:line="240" w:lineRule="auto"/>
              <w:jc w:val="center"/>
              <w:rPr>
                <w:rFonts w:eastAsia="Times New Roman" w:cs="Calibri"/>
                <w:b/>
                <w:bCs/>
                <w:color w:val="000000"/>
                <w:sz w:val="8"/>
                <w:szCs w:val="8"/>
                <w:lang w:eastAsia="en-GB"/>
              </w:rPr>
            </w:pPr>
          </w:p>
          <w:p w14:paraId="792861D7" w14:textId="77777777" w:rsidR="00595878" w:rsidRDefault="00595878" w:rsidP="004A04E3">
            <w:pPr>
              <w:spacing w:after="0" w:line="240" w:lineRule="auto"/>
              <w:jc w:val="center"/>
              <w:rPr>
                <w:rFonts w:eastAsia="Times New Roman" w:cs="Calibri"/>
                <w:b/>
                <w:bCs/>
                <w:color w:val="000000"/>
                <w:sz w:val="8"/>
                <w:szCs w:val="8"/>
                <w:lang w:eastAsia="en-GB"/>
              </w:rPr>
            </w:pPr>
          </w:p>
          <w:p w14:paraId="7D782847" w14:textId="77777777" w:rsidR="00595878" w:rsidRDefault="00595878" w:rsidP="004A04E3">
            <w:pPr>
              <w:spacing w:after="0" w:line="240" w:lineRule="auto"/>
              <w:jc w:val="center"/>
              <w:rPr>
                <w:rFonts w:eastAsia="Times New Roman" w:cs="Calibri"/>
                <w:b/>
                <w:bCs/>
                <w:color w:val="000000"/>
                <w:sz w:val="8"/>
                <w:szCs w:val="8"/>
                <w:lang w:eastAsia="en-GB"/>
              </w:rPr>
            </w:pPr>
          </w:p>
          <w:p w14:paraId="03E95DD6" w14:textId="77777777" w:rsidR="00595878" w:rsidRDefault="00595878" w:rsidP="004A04E3">
            <w:pPr>
              <w:spacing w:after="0" w:line="240" w:lineRule="auto"/>
              <w:jc w:val="center"/>
              <w:rPr>
                <w:rFonts w:eastAsia="Times New Roman" w:cs="Calibri"/>
                <w:b/>
                <w:bCs/>
                <w:color w:val="000000"/>
                <w:sz w:val="8"/>
                <w:szCs w:val="8"/>
                <w:lang w:eastAsia="en-GB"/>
              </w:rPr>
            </w:pPr>
          </w:p>
          <w:p w14:paraId="5E1AF048" w14:textId="77777777" w:rsidR="00595878" w:rsidRDefault="00595878" w:rsidP="004A04E3">
            <w:pPr>
              <w:spacing w:after="0" w:line="240" w:lineRule="auto"/>
              <w:jc w:val="center"/>
              <w:rPr>
                <w:rFonts w:eastAsia="Times New Roman" w:cs="Calibri"/>
                <w:b/>
                <w:bCs/>
                <w:color w:val="000000"/>
                <w:sz w:val="8"/>
                <w:szCs w:val="8"/>
                <w:lang w:eastAsia="en-GB"/>
              </w:rPr>
            </w:pPr>
          </w:p>
          <w:p w14:paraId="4E626C01" w14:textId="77777777" w:rsidR="00595878" w:rsidRDefault="00595878" w:rsidP="004A04E3">
            <w:pPr>
              <w:spacing w:after="0" w:line="240" w:lineRule="auto"/>
              <w:jc w:val="center"/>
              <w:rPr>
                <w:rFonts w:eastAsia="Times New Roman" w:cs="Calibri"/>
                <w:b/>
                <w:bCs/>
                <w:color w:val="000000"/>
                <w:sz w:val="8"/>
                <w:szCs w:val="8"/>
                <w:lang w:eastAsia="en-GB"/>
              </w:rPr>
            </w:pPr>
          </w:p>
          <w:p w14:paraId="23DF1EF0" w14:textId="77777777" w:rsidR="00595878" w:rsidRDefault="00595878" w:rsidP="004A04E3">
            <w:pPr>
              <w:spacing w:after="0" w:line="240" w:lineRule="auto"/>
              <w:jc w:val="center"/>
              <w:rPr>
                <w:rFonts w:eastAsia="Times New Roman" w:cs="Calibri"/>
                <w:b/>
                <w:bCs/>
                <w:color w:val="000000"/>
                <w:sz w:val="8"/>
                <w:szCs w:val="8"/>
                <w:lang w:eastAsia="en-GB"/>
              </w:rPr>
            </w:pPr>
          </w:p>
          <w:p w14:paraId="7DAED589" w14:textId="77777777" w:rsidR="00595878" w:rsidRDefault="00595878" w:rsidP="004A04E3">
            <w:pPr>
              <w:spacing w:after="0" w:line="240" w:lineRule="auto"/>
              <w:jc w:val="center"/>
              <w:rPr>
                <w:rFonts w:eastAsia="Times New Roman" w:cs="Calibri"/>
                <w:b/>
                <w:bCs/>
                <w:color w:val="000000"/>
                <w:sz w:val="8"/>
                <w:szCs w:val="8"/>
                <w:lang w:eastAsia="en-GB"/>
              </w:rPr>
            </w:pPr>
          </w:p>
          <w:p w14:paraId="1A24AA7C" w14:textId="77777777" w:rsidR="00595878" w:rsidRDefault="00595878" w:rsidP="004A04E3">
            <w:pPr>
              <w:spacing w:after="0" w:line="240" w:lineRule="auto"/>
              <w:jc w:val="center"/>
              <w:rPr>
                <w:rFonts w:eastAsia="Times New Roman" w:cs="Calibri"/>
                <w:b/>
                <w:bCs/>
                <w:color w:val="000000"/>
                <w:sz w:val="8"/>
                <w:szCs w:val="8"/>
                <w:lang w:eastAsia="en-GB"/>
              </w:rPr>
            </w:pPr>
          </w:p>
          <w:p w14:paraId="090C21C2" w14:textId="77777777" w:rsidR="00595878" w:rsidRDefault="00595878" w:rsidP="004A04E3">
            <w:pPr>
              <w:spacing w:after="0" w:line="240" w:lineRule="auto"/>
              <w:jc w:val="center"/>
              <w:rPr>
                <w:rFonts w:eastAsia="Times New Roman" w:cs="Calibri"/>
                <w:b/>
                <w:bCs/>
                <w:color w:val="000000"/>
                <w:sz w:val="8"/>
                <w:szCs w:val="8"/>
                <w:lang w:eastAsia="en-GB"/>
              </w:rPr>
            </w:pPr>
          </w:p>
          <w:p w14:paraId="5D6D1A8F" w14:textId="77777777" w:rsidR="00595878" w:rsidRDefault="00595878" w:rsidP="004A04E3">
            <w:pPr>
              <w:spacing w:after="0" w:line="240" w:lineRule="auto"/>
              <w:jc w:val="center"/>
              <w:rPr>
                <w:rFonts w:eastAsia="Times New Roman" w:cs="Calibri"/>
                <w:b/>
                <w:bCs/>
                <w:color w:val="000000"/>
                <w:sz w:val="8"/>
                <w:szCs w:val="8"/>
                <w:lang w:eastAsia="en-GB"/>
              </w:rPr>
            </w:pPr>
          </w:p>
          <w:p w14:paraId="59BC6F49" w14:textId="77777777" w:rsidR="00595878" w:rsidRDefault="00595878" w:rsidP="004A04E3">
            <w:pPr>
              <w:spacing w:after="0" w:line="240" w:lineRule="auto"/>
              <w:jc w:val="center"/>
              <w:rPr>
                <w:rFonts w:eastAsia="Times New Roman" w:cs="Calibri"/>
                <w:b/>
                <w:bCs/>
                <w:color w:val="000000"/>
                <w:sz w:val="8"/>
                <w:szCs w:val="8"/>
                <w:lang w:eastAsia="en-GB"/>
              </w:rPr>
            </w:pPr>
          </w:p>
          <w:p w14:paraId="6280D779" w14:textId="77777777" w:rsidR="00595878" w:rsidRDefault="00595878" w:rsidP="004A04E3">
            <w:pPr>
              <w:spacing w:after="0" w:line="240" w:lineRule="auto"/>
              <w:jc w:val="center"/>
              <w:rPr>
                <w:rFonts w:eastAsia="Times New Roman" w:cs="Calibri"/>
                <w:b/>
                <w:bCs/>
                <w:color w:val="000000"/>
                <w:sz w:val="8"/>
                <w:szCs w:val="8"/>
                <w:lang w:eastAsia="en-GB"/>
              </w:rPr>
            </w:pPr>
          </w:p>
          <w:p w14:paraId="72E7C459" w14:textId="77777777" w:rsidR="00595878" w:rsidRDefault="00595878" w:rsidP="004A04E3">
            <w:pPr>
              <w:spacing w:after="0" w:line="240" w:lineRule="auto"/>
              <w:jc w:val="center"/>
              <w:rPr>
                <w:rFonts w:eastAsia="Times New Roman" w:cs="Calibri"/>
                <w:b/>
                <w:bCs/>
                <w:color w:val="000000"/>
                <w:sz w:val="8"/>
                <w:szCs w:val="8"/>
                <w:lang w:eastAsia="en-GB"/>
              </w:rPr>
            </w:pPr>
          </w:p>
          <w:p w14:paraId="74101F1D" w14:textId="03D73A64" w:rsidR="004A04E3" w:rsidRPr="004A04E3" w:rsidRDefault="004A04E3" w:rsidP="004A04E3">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1C3EE8" w:rsidRPr="004A04E3" w14:paraId="161AE2E5" w14:textId="77777777" w:rsidTr="00595878">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28BE99B0"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lastRenderedPageBreak/>
              <w:t>Objective</w:t>
            </w:r>
          </w:p>
        </w:tc>
        <w:tc>
          <w:tcPr>
            <w:tcW w:w="4678" w:type="dxa"/>
            <w:gridSpan w:val="3"/>
            <w:tcBorders>
              <w:top w:val="single" w:sz="8" w:space="0" w:color="auto"/>
              <w:left w:val="nil"/>
              <w:bottom w:val="single" w:sz="8" w:space="0" w:color="auto"/>
              <w:right w:val="single" w:sz="4" w:space="0" w:color="000000"/>
            </w:tcBorders>
            <w:vAlign w:val="center"/>
            <w:hideMark/>
          </w:tcPr>
          <w:p w14:paraId="331ACD81"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single" w:sz="4" w:space="0" w:color="000000"/>
              <w:left w:val="single" w:sz="4" w:space="0" w:color="000000"/>
              <w:bottom w:val="nil"/>
              <w:right w:val="single" w:sz="4" w:space="0" w:color="000000"/>
            </w:tcBorders>
            <w:noWrap/>
            <w:vAlign w:val="bottom"/>
          </w:tcPr>
          <w:p w14:paraId="264A9C2A" w14:textId="503B1E50" w:rsidR="004A04E3" w:rsidRPr="004A04E3" w:rsidRDefault="004A04E3" w:rsidP="004A04E3">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single" w:sz="4" w:space="0" w:color="000000"/>
              <w:bottom w:val="single" w:sz="8" w:space="0" w:color="auto"/>
              <w:right w:val="single" w:sz="8" w:space="0" w:color="000000"/>
            </w:tcBorders>
            <w:noWrap/>
            <w:vAlign w:val="center"/>
            <w:hideMark/>
          </w:tcPr>
          <w:p w14:paraId="1755C9F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nil"/>
              <w:bottom w:val="single" w:sz="8" w:space="0" w:color="auto"/>
              <w:right w:val="single" w:sz="8" w:space="0" w:color="auto"/>
            </w:tcBorders>
            <w:vAlign w:val="center"/>
            <w:hideMark/>
          </w:tcPr>
          <w:p w14:paraId="51326A0A"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D053BA" w:rsidRPr="004A04E3" w14:paraId="0E627504" w14:textId="77777777" w:rsidTr="00595878">
        <w:trPr>
          <w:trHeight w:val="432"/>
        </w:trPr>
        <w:tc>
          <w:tcPr>
            <w:tcW w:w="7089" w:type="dxa"/>
            <w:gridSpan w:val="5"/>
            <w:tcBorders>
              <w:top w:val="single" w:sz="8" w:space="0" w:color="auto"/>
              <w:left w:val="single" w:sz="8" w:space="0" w:color="auto"/>
              <w:bottom w:val="single" w:sz="8" w:space="0" w:color="auto"/>
              <w:right w:val="single" w:sz="4" w:space="0" w:color="000000"/>
            </w:tcBorders>
            <w:shd w:val="clear" w:color="000000" w:fill="BFBFBF"/>
            <w:noWrap/>
            <w:vAlign w:val="center"/>
            <w:hideMark/>
          </w:tcPr>
          <w:p w14:paraId="207F15D4" w14:textId="77777777" w:rsidR="004A04E3" w:rsidRPr="004A04E3" w:rsidRDefault="004A04E3" w:rsidP="004A04E3">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3 - To what extent are we providing a quality investigation and outcome?</w:t>
            </w:r>
          </w:p>
        </w:tc>
        <w:tc>
          <w:tcPr>
            <w:tcW w:w="268" w:type="dxa"/>
            <w:tcBorders>
              <w:top w:val="nil"/>
              <w:left w:val="single" w:sz="4" w:space="0" w:color="000000"/>
              <w:bottom w:val="nil"/>
              <w:right w:val="single" w:sz="4" w:space="0" w:color="000000"/>
            </w:tcBorders>
            <w:noWrap/>
            <w:vAlign w:val="center"/>
          </w:tcPr>
          <w:p w14:paraId="4675270E" w14:textId="0706D0D6" w:rsidR="004A04E3" w:rsidRPr="004A04E3" w:rsidRDefault="004A04E3" w:rsidP="004A04E3">
            <w:pPr>
              <w:spacing w:after="0" w:line="240" w:lineRule="auto"/>
              <w:jc w:val="left"/>
              <w:rPr>
                <w:rFonts w:eastAsia="Times New Roman" w:cs="Calibri"/>
                <w:b/>
                <w:bCs/>
                <w:i/>
                <w:iCs/>
                <w:color w:val="000000"/>
                <w:sz w:val="8"/>
                <w:szCs w:val="8"/>
                <w:lang w:eastAsia="en-GB"/>
              </w:rPr>
            </w:pPr>
          </w:p>
        </w:tc>
        <w:tc>
          <w:tcPr>
            <w:tcW w:w="3408" w:type="dxa"/>
            <w:gridSpan w:val="4"/>
            <w:tcBorders>
              <w:top w:val="single" w:sz="8" w:space="0" w:color="auto"/>
              <w:left w:val="single" w:sz="4" w:space="0" w:color="000000"/>
              <w:bottom w:val="single" w:sz="8" w:space="0" w:color="auto"/>
              <w:right w:val="single" w:sz="8" w:space="0" w:color="000000"/>
            </w:tcBorders>
            <w:shd w:val="clear" w:color="000000" w:fill="F8CBAD"/>
            <w:vAlign w:val="center"/>
            <w:hideMark/>
          </w:tcPr>
          <w:p w14:paraId="1768110A" w14:textId="77777777" w:rsidR="004A04E3" w:rsidRPr="004A04E3" w:rsidRDefault="004A04E3" w:rsidP="004A04E3">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9F77E3" w:rsidRPr="004A04E3" w14:paraId="23F7BAFD" w14:textId="77777777" w:rsidTr="00595878">
        <w:trPr>
          <w:trHeight w:val="324"/>
        </w:trPr>
        <w:tc>
          <w:tcPr>
            <w:tcW w:w="616" w:type="dxa"/>
            <w:vMerge w:val="restart"/>
            <w:tcBorders>
              <w:top w:val="nil"/>
              <w:left w:val="single" w:sz="8" w:space="0" w:color="auto"/>
              <w:bottom w:val="single" w:sz="8" w:space="0" w:color="000000"/>
              <w:right w:val="single" w:sz="8" w:space="0" w:color="auto"/>
            </w:tcBorders>
            <w:noWrap/>
            <w:vAlign w:val="center"/>
            <w:hideMark/>
          </w:tcPr>
          <w:p w14:paraId="722FDFC2"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PO8</w:t>
            </w:r>
          </w:p>
        </w:tc>
        <w:tc>
          <w:tcPr>
            <w:tcW w:w="1795" w:type="dxa"/>
            <w:vMerge w:val="restart"/>
            <w:tcBorders>
              <w:top w:val="nil"/>
              <w:left w:val="single" w:sz="8" w:space="0" w:color="auto"/>
              <w:bottom w:val="single" w:sz="8" w:space="0" w:color="000000"/>
              <w:right w:val="single" w:sz="8" w:space="0" w:color="auto"/>
            </w:tcBorders>
            <w:vAlign w:val="center"/>
            <w:hideMark/>
          </w:tcPr>
          <w:p w14:paraId="31A8165B"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xml:space="preserve">Improve the outcomes secured for </w:t>
            </w:r>
            <w:r w:rsidRPr="004A04E3">
              <w:rPr>
                <w:rFonts w:eastAsia="Times New Roman" w:cs="Calibri"/>
                <w:b/>
                <w:bCs/>
                <w:color w:val="000000"/>
                <w:sz w:val="18"/>
                <w:szCs w:val="18"/>
                <w:lang w:eastAsia="en-GB"/>
              </w:rPr>
              <w:t>V</w:t>
            </w:r>
            <w:r w:rsidRPr="004A04E3">
              <w:rPr>
                <w:rFonts w:eastAsia="Times New Roman" w:cs="Calibri"/>
                <w:b/>
                <w:bCs/>
                <w:color w:val="auto"/>
                <w:sz w:val="18"/>
                <w:szCs w:val="18"/>
                <w:lang w:eastAsia="en-GB"/>
              </w:rPr>
              <w:t>ictim Based Crimes</w:t>
            </w:r>
          </w:p>
        </w:tc>
        <w:tc>
          <w:tcPr>
            <w:tcW w:w="709" w:type="dxa"/>
            <w:tcBorders>
              <w:top w:val="nil"/>
              <w:left w:val="nil"/>
              <w:bottom w:val="nil"/>
              <w:right w:val="nil"/>
            </w:tcBorders>
            <w:vAlign w:val="center"/>
            <w:hideMark/>
          </w:tcPr>
          <w:p w14:paraId="186E64B9"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15</w:t>
            </w:r>
          </w:p>
        </w:tc>
        <w:tc>
          <w:tcPr>
            <w:tcW w:w="3969" w:type="dxa"/>
            <w:gridSpan w:val="2"/>
            <w:tcBorders>
              <w:top w:val="nil"/>
              <w:left w:val="single" w:sz="8" w:space="0" w:color="auto"/>
              <w:bottom w:val="single" w:sz="8" w:space="0" w:color="auto"/>
              <w:right w:val="single" w:sz="4" w:space="0" w:color="000000"/>
            </w:tcBorders>
            <w:vAlign w:val="center"/>
            <w:hideMark/>
          </w:tcPr>
          <w:p w14:paraId="5E1AC181"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Solved rate (OC1-8 less 5)</w:t>
            </w:r>
          </w:p>
        </w:tc>
        <w:tc>
          <w:tcPr>
            <w:tcW w:w="268" w:type="dxa"/>
            <w:tcBorders>
              <w:top w:val="nil"/>
              <w:left w:val="single" w:sz="4" w:space="0" w:color="000000"/>
              <w:bottom w:val="nil"/>
              <w:right w:val="single" w:sz="4" w:space="0" w:color="000000"/>
            </w:tcBorders>
            <w:noWrap/>
            <w:vAlign w:val="bottom"/>
          </w:tcPr>
          <w:p w14:paraId="437E69D3" w14:textId="2B865931"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single" w:sz="4" w:space="0" w:color="000000"/>
              <w:bottom w:val="nil"/>
              <w:right w:val="nil"/>
            </w:tcBorders>
            <w:noWrap/>
            <w:vAlign w:val="center"/>
            <w:hideMark/>
          </w:tcPr>
          <w:p w14:paraId="63AE9612"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3BC02940"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11.3%</w:t>
            </w:r>
          </w:p>
        </w:tc>
        <w:tc>
          <w:tcPr>
            <w:tcW w:w="1106" w:type="dxa"/>
            <w:gridSpan w:val="2"/>
            <w:tcBorders>
              <w:top w:val="nil"/>
              <w:left w:val="nil"/>
              <w:bottom w:val="nil"/>
              <w:right w:val="single" w:sz="8" w:space="0" w:color="auto"/>
            </w:tcBorders>
            <w:shd w:val="clear" w:color="000000" w:fill="C6E0B4"/>
            <w:noWrap/>
            <w:vAlign w:val="center"/>
            <w:hideMark/>
          </w:tcPr>
          <w:p w14:paraId="55FB47A0"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11.4%</w:t>
            </w:r>
          </w:p>
        </w:tc>
      </w:tr>
      <w:tr w:rsidR="001C3EE8" w:rsidRPr="004A04E3" w14:paraId="6624C209" w14:textId="77777777" w:rsidTr="00595878">
        <w:trPr>
          <w:trHeight w:val="324"/>
        </w:trPr>
        <w:tc>
          <w:tcPr>
            <w:tcW w:w="616" w:type="dxa"/>
            <w:vMerge/>
            <w:tcBorders>
              <w:top w:val="nil"/>
              <w:left w:val="single" w:sz="8" w:space="0" w:color="auto"/>
              <w:bottom w:val="single" w:sz="8" w:space="0" w:color="000000"/>
              <w:right w:val="single" w:sz="8" w:space="0" w:color="auto"/>
            </w:tcBorders>
            <w:vAlign w:val="center"/>
            <w:hideMark/>
          </w:tcPr>
          <w:p w14:paraId="71CD4B08"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nil"/>
              <w:left w:val="single" w:sz="8" w:space="0" w:color="auto"/>
              <w:bottom w:val="single" w:sz="8" w:space="0" w:color="000000"/>
              <w:right w:val="single" w:sz="8" w:space="0" w:color="auto"/>
            </w:tcBorders>
            <w:vAlign w:val="center"/>
            <w:hideMark/>
          </w:tcPr>
          <w:p w14:paraId="6BC46AEA"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single" w:sz="8" w:space="0" w:color="auto"/>
              <w:left w:val="nil"/>
              <w:bottom w:val="single" w:sz="8" w:space="0" w:color="auto"/>
              <w:right w:val="single" w:sz="8" w:space="0" w:color="auto"/>
            </w:tcBorders>
            <w:vAlign w:val="center"/>
            <w:hideMark/>
          </w:tcPr>
          <w:p w14:paraId="69467A55"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16</w:t>
            </w:r>
          </w:p>
        </w:tc>
        <w:tc>
          <w:tcPr>
            <w:tcW w:w="3969" w:type="dxa"/>
            <w:gridSpan w:val="2"/>
            <w:tcBorders>
              <w:top w:val="single" w:sz="8" w:space="0" w:color="auto"/>
              <w:left w:val="nil"/>
              <w:bottom w:val="single" w:sz="8" w:space="0" w:color="auto"/>
              <w:right w:val="single" w:sz="4" w:space="0" w:color="000000"/>
            </w:tcBorders>
            <w:vAlign w:val="center"/>
            <w:hideMark/>
          </w:tcPr>
          <w:p w14:paraId="4FCFFB4D"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Charge rate (OC1)</w:t>
            </w:r>
          </w:p>
        </w:tc>
        <w:tc>
          <w:tcPr>
            <w:tcW w:w="268" w:type="dxa"/>
            <w:tcBorders>
              <w:top w:val="nil"/>
              <w:left w:val="single" w:sz="4" w:space="0" w:color="000000"/>
              <w:bottom w:val="nil"/>
              <w:right w:val="single" w:sz="4" w:space="0" w:color="000000"/>
            </w:tcBorders>
            <w:noWrap/>
            <w:vAlign w:val="bottom"/>
          </w:tcPr>
          <w:p w14:paraId="78E88C71" w14:textId="5C187029"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single" w:sz="8" w:space="0" w:color="auto"/>
              <w:left w:val="single" w:sz="4" w:space="0" w:color="000000"/>
              <w:bottom w:val="single" w:sz="8" w:space="0" w:color="auto"/>
              <w:right w:val="nil"/>
            </w:tcBorders>
            <w:noWrap/>
            <w:vAlign w:val="center"/>
            <w:hideMark/>
          </w:tcPr>
          <w:p w14:paraId="0C60B23B"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74A2398D"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8.8%</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0E86D84D"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9.2%</w:t>
            </w:r>
          </w:p>
        </w:tc>
      </w:tr>
      <w:tr w:rsidR="009F77E3" w:rsidRPr="004A04E3" w14:paraId="4D7CCF96" w14:textId="77777777" w:rsidTr="00595878">
        <w:trPr>
          <w:trHeight w:val="612"/>
        </w:trPr>
        <w:tc>
          <w:tcPr>
            <w:tcW w:w="616" w:type="dxa"/>
            <w:tcBorders>
              <w:top w:val="nil"/>
              <w:left w:val="single" w:sz="8" w:space="0" w:color="auto"/>
              <w:bottom w:val="single" w:sz="8" w:space="0" w:color="auto"/>
              <w:right w:val="single" w:sz="8" w:space="0" w:color="auto"/>
            </w:tcBorders>
            <w:noWrap/>
            <w:vAlign w:val="center"/>
            <w:hideMark/>
          </w:tcPr>
          <w:p w14:paraId="2B34B8B9"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PO9</w:t>
            </w:r>
          </w:p>
        </w:tc>
        <w:tc>
          <w:tcPr>
            <w:tcW w:w="1795" w:type="dxa"/>
            <w:tcBorders>
              <w:top w:val="nil"/>
              <w:left w:val="nil"/>
              <w:bottom w:val="single" w:sz="8" w:space="0" w:color="auto"/>
              <w:right w:val="single" w:sz="8" w:space="0" w:color="auto"/>
            </w:tcBorders>
            <w:vAlign w:val="center"/>
            <w:hideMark/>
          </w:tcPr>
          <w:p w14:paraId="209F68CD"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Ensure all investigations are effectively supervised</w:t>
            </w:r>
          </w:p>
        </w:tc>
        <w:tc>
          <w:tcPr>
            <w:tcW w:w="709" w:type="dxa"/>
            <w:tcBorders>
              <w:top w:val="nil"/>
              <w:left w:val="nil"/>
              <w:bottom w:val="single" w:sz="8" w:space="0" w:color="auto"/>
              <w:right w:val="nil"/>
            </w:tcBorders>
            <w:vAlign w:val="center"/>
            <w:hideMark/>
          </w:tcPr>
          <w:p w14:paraId="1E8440EA"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17</w:t>
            </w:r>
          </w:p>
        </w:tc>
        <w:tc>
          <w:tcPr>
            <w:tcW w:w="3969" w:type="dxa"/>
            <w:gridSpan w:val="2"/>
            <w:tcBorders>
              <w:top w:val="single" w:sz="8" w:space="0" w:color="auto"/>
              <w:left w:val="single" w:sz="8" w:space="0" w:color="auto"/>
              <w:bottom w:val="single" w:sz="8" w:space="0" w:color="auto"/>
              <w:right w:val="single" w:sz="4" w:space="0" w:color="000000"/>
            </w:tcBorders>
            <w:vAlign w:val="center"/>
            <w:hideMark/>
          </w:tcPr>
          <w:p w14:paraId="52BB0C93" w14:textId="77777777" w:rsidR="004A04E3" w:rsidRPr="004A04E3" w:rsidRDefault="004A04E3" w:rsidP="004A04E3">
            <w:pPr>
              <w:spacing w:after="0" w:line="240" w:lineRule="auto"/>
              <w:jc w:val="left"/>
              <w:rPr>
                <w:rFonts w:eastAsia="Times New Roman" w:cs="Calibri"/>
                <w:color w:val="auto"/>
                <w:sz w:val="18"/>
                <w:szCs w:val="18"/>
                <w:lang w:eastAsia="en-GB"/>
              </w:rPr>
            </w:pPr>
            <w:r w:rsidRPr="004A04E3">
              <w:rPr>
                <w:rFonts w:eastAsia="Times New Roman" w:cs="Calibri"/>
                <w:color w:val="auto"/>
                <w:sz w:val="18"/>
                <w:szCs w:val="18"/>
                <w:lang w:eastAsia="en-GB"/>
              </w:rPr>
              <w:t>% of occurrences with a supervisor update at least every 28 days whilst live</w:t>
            </w:r>
          </w:p>
        </w:tc>
        <w:tc>
          <w:tcPr>
            <w:tcW w:w="268" w:type="dxa"/>
            <w:tcBorders>
              <w:top w:val="nil"/>
              <w:left w:val="single" w:sz="4" w:space="0" w:color="000000"/>
              <w:bottom w:val="nil"/>
              <w:right w:val="single" w:sz="4" w:space="0" w:color="000000"/>
            </w:tcBorders>
            <w:noWrap/>
            <w:vAlign w:val="bottom"/>
          </w:tcPr>
          <w:p w14:paraId="6CDE4CC0" w14:textId="3093BA0D" w:rsidR="004A04E3" w:rsidRPr="004A04E3" w:rsidRDefault="004A04E3" w:rsidP="004A04E3">
            <w:pPr>
              <w:spacing w:after="0" w:line="240" w:lineRule="auto"/>
              <w:jc w:val="center"/>
              <w:rPr>
                <w:rFonts w:eastAsia="Times New Roman" w:cs="Calibri"/>
                <w:color w:val="000000"/>
                <w:sz w:val="8"/>
                <w:szCs w:val="8"/>
                <w:lang w:eastAsia="en-GB"/>
              </w:rPr>
            </w:pPr>
          </w:p>
        </w:tc>
        <w:tc>
          <w:tcPr>
            <w:tcW w:w="1433" w:type="dxa"/>
            <w:tcBorders>
              <w:top w:val="nil"/>
              <w:left w:val="single" w:sz="4" w:space="0" w:color="000000"/>
              <w:bottom w:val="nil"/>
              <w:right w:val="nil"/>
            </w:tcBorders>
            <w:noWrap/>
            <w:vAlign w:val="center"/>
            <w:hideMark/>
          </w:tcPr>
          <w:p w14:paraId="27334A6D"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75BB07FE"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69.7%</w:t>
            </w:r>
          </w:p>
        </w:tc>
        <w:tc>
          <w:tcPr>
            <w:tcW w:w="1106" w:type="dxa"/>
            <w:gridSpan w:val="2"/>
            <w:tcBorders>
              <w:top w:val="nil"/>
              <w:left w:val="nil"/>
              <w:bottom w:val="nil"/>
              <w:right w:val="single" w:sz="8" w:space="0" w:color="auto"/>
            </w:tcBorders>
            <w:shd w:val="clear" w:color="000000" w:fill="C6E0B4"/>
            <w:noWrap/>
            <w:vAlign w:val="center"/>
            <w:hideMark/>
          </w:tcPr>
          <w:p w14:paraId="232E97A8"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72.1%</w:t>
            </w:r>
          </w:p>
        </w:tc>
      </w:tr>
      <w:tr w:rsidR="009F77E3" w:rsidRPr="004A04E3" w14:paraId="2DD46C53" w14:textId="77777777" w:rsidTr="00595878">
        <w:trPr>
          <w:trHeight w:val="552"/>
        </w:trPr>
        <w:tc>
          <w:tcPr>
            <w:tcW w:w="616" w:type="dxa"/>
            <w:tcBorders>
              <w:top w:val="nil"/>
              <w:left w:val="single" w:sz="8" w:space="0" w:color="auto"/>
              <w:bottom w:val="single" w:sz="8" w:space="0" w:color="auto"/>
              <w:right w:val="single" w:sz="8" w:space="0" w:color="auto"/>
            </w:tcBorders>
            <w:noWrap/>
            <w:vAlign w:val="center"/>
            <w:hideMark/>
          </w:tcPr>
          <w:p w14:paraId="4834993D"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PO10</w:t>
            </w:r>
          </w:p>
        </w:tc>
        <w:tc>
          <w:tcPr>
            <w:tcW w:w="1795" w:type="dxa"/>
            <w:tcBorders>
              <w:top w:val="nil"/>
              <w:left w:val="nil"/>
              <w:bottom w:val="single" w:sz="8" w:space="0" w:color="auto"/>
              <w:right w:val="nil"/>
            </w:tcBorders>
            <w:vAlign w:val="center"/>
            <w:hideMark/>
          </w:tcPr>
          <w:p w14:paraId="24E79AA5" w14:textId="79099B84"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xml:space="preserve">Ensure victims are updated </w:t>
            </w:r>
            <w:r w:rsidR="00595878" w:rsidRPr="004A04E3">
              <w:rPr>
                <w:rFonts w:eastAsia="Times New Roman" w:cs="Calibri"/>
                <w:color w:val="000000"/>
                <w:sz w:val="18"/>
                <w:szCs w:val="18"/>
                <w:lang w:eastAsia="en-GB"/>
              </w:rPr>
              <w:t>regularly</w:t>
            </w:r>
            <w:r w:rsidRPr="004A04E3">
              <w:rPr>
                <w:rFonts w:eastAsia="Times New Roman" w:cs="Calibri"/>
                <w:color w:val="000000"/>
                <w:sz w:val="18"/>
                <w:szCs w:val="18"/>
                <w:lang w:eastAsia="en-GB"/>
              </w:rPr>
              <w:t xml:space="preserve"> on the progress of an investigation</w:t>
            </w:r>
          </w:p>
        </w:tc>
        <w:tc>
          <w:tcPr>
            <w:tcW w:w="709" w:type="dxa"/>
            <w:tcBorders>
              <w:top w:val="nil"/>
              <w:left w:val="single" w:sz="8" w:space="0" w:color="auto"/>
              <w:bottom w:val="single" w:sz="8" w:space="0" w:color="auto"/>
              <w:right w:val="single" w:sz="8" w:space="0" w:color="auto"/>
            </w:tcBorders>
            <w:vAlign w:val="center"/>
            <w:hideMark/>
          </w:tcPr>
          <w:p w14:paraId="64246B7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18</w:t>
            </w:r>
          </w:p>
        </w:tc>
        <w:tc>
          <w:tcPr>
            <w:tcW w:w="3969" w:type="dxa"/>
            <w:gridSpan w:val="2"/>
            <w:tcBorders>
              <w:top w:val="single" w:sz="8" w:space="0" w:color="auto"/>
              <w:left w:val="nil"/>
              <w:bottom w:val="single" w:sz="8" w:space="0" w:color="auto"/>
              <w:right w:val="single" w:sz="4" w:space="0" w:color="000000"/>
            </w:tcBorders>
            <w:vAlign w:val="center"/>
            <w:hideMark/>
          </w:tcPr>
          <w:p w14:paraId="643C28B8"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of VBC occurrences adhering to Victims Bill updates (standard and enhanced)</w:t>
            </w:r>
          </w:p>
        </w:tc>
        <w:tc>
          <w:tcPr>
            <w:tcW w:w="268" w:type="dxa"/>
            <w:tcBorders>
              <w:top w:val="nil"/>
              <w:left w:val="single" w:sz="4" w:space="0" w:color="000000"/>
              <w:bottom w:val="nil"/>
              <w:right w:val="single" w:sz="4" w:space="0" w:color="000000"/>
            </w:tcBorders>
            <w:noWrap/>
            <w:vAlign w:val="bottom"/>
          </w:tcPr>
          <w:p w14:paraId="72F30F48" w14:textId="2E554071" w:rsidR="004A04E3" w:rsidRPr="004A04E3" w:rsidRDefault="004A04E3" w:rsidP="004A04E3">
            <w:pPr>
              <w:spacing w:after="0" w:line="240" w:lineRule="auto"/>
              <w:jc w:val="center"/>
              <w:rPr>
                <w:rFonts w:eastAsia="Times New Roman" w:cs="Calibri"/>
                <w:color w:val="000000"/>
                <w:sz w:val="8"/>
                <w:szCs w:val="8"/>
                <w:lang w:eastAsia="en-GB"/>
              </w:rPr>
            </w:pPr>
          </w:p>
        </w:tc>
        <w:tc>
          <w:tcPr>
            <w:tcW w:w="1433" w:type="dxa"/>
            <w:tcBorders>
              <w:top w:val="single" w:sz="8" w:space="0" w:color="auto"/>
              <w:left w:val="single" w:sz="4" w:space="0" w:color="000000"/>
              <w:bottom w:val="single" w:sz="8" w:space="0" w:color="auto"/>
              <w:right w:val="nil"/>
            </w:tcBorders>
            <w:noWrap/>
            <w:vAlign w:val="center"/>
            <w:hideMark/>
          </w:tcPr>
          <w:p w14:paraId="719E2155"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5A71B489"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83.7%</w:t>
            </w:r>
          </w:p>
        </w:tc>
        <w:tc>
          <w:tcPr>
            <w:tcW w:w="1106" w:type="dxa"/>
            <w:gridSpan w:val="2"/>
            <w:tcBorders>
              <w:top w:val="single" w:sz="8" w:space="0" w:color="auto"/>
              <w:left w:val="nil"/>
              <w:bottom w:val="single" w:sz="8" w:space="0" w:color="auto"/>
              <w:right w:val="single" w:sz="8" w:space="0" w:color="auto"/>
            </w:tcBorders>
            <w:shd w:val="clear" w:color="000000" w:fill="C6E0B4"/>
            <w:noWrap/>
            <w:vAlign w:val="center"/>
            <w:hideMark/>
          </w:tcPr>
          <w:p w14:paraId="5727D2F2"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84.2%</w:t>
            </w:r>
          </w:p>
        </w:tc>
      </w:tr>
      <w:tr w:rsidR="009F77E3" w:rsidRPr="004A04E3" w14:paraId="76DA4EE9" w14:textId="77777777" w:rsidTr="00595878">
        <w:trPr>
          <w:trHeight w:val="492"/>
        </w:trPr>
        <w:tc>
          <w:tcPr>
            <w:tcW w:w="616" w:type="dxa"/>
            <w:tcBorders>
              <w:top w:val="nil"/>
              <w:left w:val="single" w:sz="8" w:space="0" w:color="auto"/>
              <w:bottom w:val="single" w:sz="8" w:space="0" w:color="auto"/>
              <w:right w:val="single" w:sz="8" w:space="0" w:color="auto"/>
            </w:tcBorders>
            <w:noWrap/>
            <w:vAlign w:val="center"/>
            <w:hideMark/>
          </w:tcPr>
          <w:p w14:paraId="494C80E5"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PO11</w:t>
            </w:r>
          </w:p>
        </w:tc>
        <w:tc>
          <w:tcPr>
            <w:tcW w:w="1795" w:type="dxa"/>
            <w:tcBorders>
              <w:top w:val="nil"/>
              <w:left w:val="nil"/>
              <w:bottom w:val="single" w:sz="8" w:space="0" w:color="auto"/>
              <w:right w:val="nil"/>
            </w:tcBorders>
            <w:vAlign w:val="center"/>
            <w:hideMark/>
          </w:tcPr>
          <w:p w14:paraId="16F9BBBE" w14:textId="31292F7C"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Increase victim satisfaction with overall service</w:t>
            </w:r>
          </w:p>
        </w:tc>
        <w:tc>
          <w:tcPr>
            <w:tcW w:w="709" w:type="dxa"/>
            <w:tcBorders>
              <w:top w:val="nil"/>
              <w:left w:val="single" w:sz="8" w:space="0" w:color="auto"/>
              <w:bottom w:val="single" w:sz="8" w:space="0" w:color="auto"/>
              <w:right w:val="single" w:sz="8" w:space="0" w:color="auto"/>
            </w:tcBorders>
            <w:vAlign w:val="center"/>
            <w:hideMark/>
          </w:tcPr>
          <w:p w14:paraId="05A426BE"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19</w:t>
            </w:r>
          </w:p>
        </w:tc>
        <w:tc>
          <w:tcPr>
            <w:tcW w:w="3969" w:type="dxa"/>
            <w:gridSpan w:val="2"/>
            <w:tcBorders>
              <w:top w:val="single" w:sz="8" w:space="0" w:color="auto"/>
              <w:left w:val="nil"/>
              <w:bottom w:val="single" w:sz="8" w:space="0" w:color="auto"/>
              <w:right w:val="single" w:sz="4" w:space="0" w:color="000000"/>
            </w:tcBorders>
            <w:vAlign w:val="center"/>
            <w:hideMark/>
          </w:tcPr>
          <w:p w14:paraId="056EFBC7"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Victim Satisfaction rate with overall service</w:t>
            </w:r>
          </w:p>
        </w:tc>
        <w:tc>
          <w:tcPr>
            <w:tcW w:w="268" w:type="dxa"/>
            <w:tcBorders>
              <w:top w:val="nil"/>
              <w:left w:val="single" w:sz="4" w:space="0" w:color="000000"/>
              <w:bottom w:val="single" w:sz="4" w:space="0" w:color="000000"/>
              <w:right w:val="single" w:sz="4" w:space="0" w:color="000000"/>
            </w:tcBorders>
            <w:noWrap/>
            <w:vAlign w:val="bottom"/>
          </w:tcPr>
          <w:p w14:paraId="0DBDAFFA" w14:textId="1795FFFA" w:rsidR="004A04E3" w:rsidRPr="004A04E3" w:rsidRDefault="004A04E3" w:rsidP="004A04E3">
            <w:pPr>
              <w:spacing w:after="0" w:line="240" w:lineRule="auto"/>
              <w:jc w:val="center"/>
              <w:rPr>
                <w:rFonts w:eastAsia="Times New Roman" w:cs="Calibri"/>
                <w:color w:val="000000"/>
                <w:sz w:val="8"/>
                <w:szCs w:val="8"/>
                <w:lang w:eastAsia="en-GB"/>
              </w:rPr>
            </w:pPr>
          </w:p>
        </w:tc>
        <w:tc>
          <w:tcPr>
            <w:tcW w:w="1433" w:type="dxa"/>
            <w:tcBorders>
              <w:top w:val="nil"/>
              <w:left w:val="single" w:sz="4" w:space="0" w:color="000000"/>
              <w:bottom w:val="single" w:sz="8" w:space="0" w:color="auto"/>
              <w:right w:val="nil"/>
            </w:tcBorders>
            <w:noWrap/>
            <w:vAlign w:val="center"/>
            <w:hideMark/>
          </w:tcPr>
          <w:p w14:paraId="4114C384"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auto"/>
              <w:right w:val="single" w:sz="8" w:space="0" w:color="auto"/>
            </w:tcBorders>
            <w:noWrap/>
            <w:vAlign w:val="center"/>
            <w:hideMark/>
          </w:tcPr>
          <w:p w14:paraId="549D738C"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71.2%</w:t>
            </w:r>
          </w:p>
        </w:tc>
        <w:tc>
          <w:tcPr>
            <w:tcW w:w="1106" w:type="dxa"/>
            <w:gridSpan w:val="2"/>
            <w:tcBorders>
              <w:top w:val="nil"/>
              <w:left w:val="nil"/>
              <w:bottom w:val="single" w:sz="8" w:space="0" w:color="auto"/>
              <w:right w:val="single" w:sz="8" w:space="0" w:color="auto"/>
            </w:tcBorders>
            <w:shd w:val="clear" w:color="000000" w:fill="F8CBAD"/>
            <w:noWrap/>
            <w:vAlign w:val="center"/>
            <w:hideMark/>
          </w:tcPr>
          <w:p w14:paraId="37669E79"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68.9%</w:t>
            </w:r>
          </w:p>
        </w:tc>
      </w:tr>
      <w:tr w:rsidR="004A04E3" w:rsidRPr="004A04E3" w14:paraId="4762B5C0" w14:textId="77777777" w:rsidTr="00D053BA">
        <w:trPr>
          <w:gridAfter w:val="1"/>
          <w:wAfter w:w="133" w:type="dxa"/>
          <w:trHeight w:val="300"/>
        </w:trPr>
        <w:tc>
          <w:tcPr>
            <w:tcW w:w="10632" w:type="dxa"/>
            <w:gridSpan w:val="9"/>
            <w:tcBorders>
              <w:top w:val="single" w:sz="8" w:space="0" w:color="auto"/>
              <w:left w:val="nil"/>
              <w:bottom w:val="single" w:sz="8" w:space="0" w:color="auto"/>
              <w:right w:val="nil"/>
            </w:tcBorders>
            <w:vAlign w:val="center"/>
            <w:hideMark/>
          </w:tcPr>
          <w:p w14:paraId="3012415F" w14:textId="77777777" w:rsidR="004A04E3" w:rsidRPr="004A04E3" w:rsidRDefault="004A04E3" w:rsidP="004A04E3">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1C3EE8" w:rsidRPr="004A04E3" w14:paraId="1E89B121" w14:textId="77777777" w:rsidTr="00595878">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30E3513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Objective</w:t>
            </w:r>
          </w:p>
        </w:tc>
        <w:tc>
          <w:tcPr>
            <w:tcW w:w="4678" w:type="dxa"/>
            <w:gridSpan w:val="3"/>
            <w:tcBorders>
              <w:top w:val="single" w:sz="8" w:space="0" w:color="auto"/>
              <w:left w:val="nil"/>
              <w:bottom w:val="single" w:sz="8" w:space="0" w:color="auto"/>
              <w:right w:val="single" w:sz="8" w:space="0" w:color="000000"/>
            </w:tcBorders>
            <w:vAlign w:val="center"/>
            <w:hideMark/>
          </w:tcPr>
          <w:p w14:paraId="1BB00D0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nil"/>
              <w:left w:val="nil"/>
              <w:bottom w:val="nil"/>
              <w:right w:val="single" w:sz="8" w:space="0" w:color="auto"/>
            </w:tcBorders>
            <w:noWrap/>
            <w:vAlign w:val="bottom"/>
          </w:tcPr>
          <w:p w14:paraId="4BF112D9" w14:textId="7089D3E3" w:rsidR="004A04E3" w:rsidRPr="004A04E3" w:rsidRDefault="004A04E3" w:rsidP="004A04E3">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single" w:sz="4" w:space="0" w:color="auto"/>
            </w:tcBorders>
            <w:noWrap/>
            <w:vAlign w:val="center"/>
            <w:hideMark/>
          </w:tcPr>
          <w:p w14:paraId="7A6CDCFB"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3D667455"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D053BA" w:rsidRPr="004A04E3" w14:paraId="1B7A17B0" w14:textId="77777777" w:rsidTr="00595878">
        <w:trPr>
          <w:trHeight w:val="432"/>
        </w:trPr>
        <w:tc>
          <w:tcPr>
            <w:tcW w:w="7089" w:type="dxa"/>
            <w:gridSpan w:val="5"/>
            <w:tcBorders>
              <w:top w:val="single" w:sz="4" w:space="0" w:color="auto"/>
              <w:left w:val="single" w:sz="8" w:space="0" w:color="auto"/>
              <w:bottom w:val="single" w:sz="8" w:space="0" w:color="auto"/>
              <w:right w:val="single" w:sz="8" w:space="0" w:color="000000"/>
            </w:tcBorders>
            <w:shd w:val="clear" w:color="000000" w:fill="BFBFBF"/>
            <w:noWrap/>
            <w:vAlign w:val="center"/>
            <w:hideMark/>
          </w:tcPr>
          <w:p w14:paraId="235D0712" w14:textId="77777777" w:rsidR="004A04E3" w:rsidRPr="004A04E3" w:rsidRDefault="004A04E3" w:rsidP="004A04E3">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4 - To what extent are we able to deliver an effective service?</w:t>
            </w:r>
          </w:p>
        </w:tc>
        <w:tc>
          <w:tcPr>
            <w:tcW w:w="268" w:type="dxa"/>
            <w:tcBorders>
              <w:left w:val="nil"/>
              <w:bottom w:val="nil"/>
              <w:right w:val="single" w:sz="8" w:space="0" w:color="auto"/>
            </w:tcBorders>
            <w:noWrap/>
            <w:vAlign w:val="center"/>
          </w:tcPr>
          <w:p w14:paraId="42E50D56" w14:textId="7292A2E6" w:rsidR="004A04E3" w:rsidRPr="004A04E3" w:rsidRDefault="004A04E3" w:rsidP="004A04E3">
            <w:pPr>
              <w:spacing w:after="0" w:line="240" w:lineRule="auto"/>
              <w:jc w:val="left"/>
              <w:rPr>
                <w:rFonts w:eastAsia="Times New Roman" w:cs="Calibri"/>
                <w:b/>
                <w:bCs/>
                <w:i/>
                <w:iCs/>
                <w:color w:val="000000"/>
                <w:sz w:val="8"/>
                <w:szCs w:val="8"/>
                <w:lang w:eastAsia="en-GB"/>
              </w:rPr>
            </w:pPr>
          </w:p>
        </w:tc>
        <w:tc>
          <w:tcPr>
            <w:tcW w:w="3408" w:type="dxa"/>
            <w:gridSpan w:val="4"/>
            <w:tcBorders>
              <w:top w:val="single" w:sz="4" w:space="0" w:color="auto"/>
              <w:left w:val="nil"/>
              <w:bottom w:val="single" w:sz="8" w:space="0" w:color="auto"/>
              <w:right w:val="single" w:sz="8" w:space="0" w:color="000000"/>
            </w:tcBorders>
            <w:shd w:val="clear" w:color="000000" w:fill="F8CBAD"/>
            <w:noWrap/>
            <w:vAlign w:val="center"/>
            <w:hideMark/>
          </w:tcPr>
          <w:p w14:paraId="683D873D" w14:textId="77777777" w:rsidR="004A04E3" w:rsidRPr="004A04E3" w:rsidRDefault="004A04E3" w:rsidP="004A04E3">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9F77E3" w:rsidRPr="004A04E3" w14:paraId="139E909F" w14:textId="77777777" w:rsidTr="00D053BA">
        <w:trPr>
          <w:trHeight w:val="492"/>
        </w:trPr>
        <w:tc>
          <w:tcPr>
            <w:tcW w:w="616" w:type="dxa"/>
            <w:tcBorders>
              <w:top w:val="nil"/>
              <w:left w:val="single" w:sz="8" w:space="0" w:color="auto"/>
              <w:bottom w:val="nil"/>
              <w:right w:val="single" w:sz="8" w:space="0" w:color="auto"/>
            </w:tcBorders>
            <w:noWrap/>
            <w:vAlign w:val="center"/>
            <w:hideMark/>
          </w:tcPr>
          <w:p w14:paraId="35EB7D53"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PO12</w:t>
            </w:r>
          </w:p>
        </w:tc>
        <w:tc>
          <w:tcPr>
            <w:tcW w:w="1795" w:type="dxa"/>
            <w:tcBorders>
              <w:top w:val="nil"/>
              <w:left w:val="nil"/>
              <w:bottom w:val="nil"/>
              <w:right w:val="single" w:sz="8" w:space="0" w:color="auto"/>
            </w:tcBorders>
            <w:vAlign w:val="center"/>
            <w:hideMark/>
          </w:tcPr>
          <w:p w14:paraId="2633B072"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Achieve workforce numbers in line with establishment</w:t>
            </w:r>
          </w:p>
        </w:tc>
        <w:tc>
          <w:tcPr>
            <w:tcW w:w="709" w:type="dxa"/>
            <w:tcBorders>
              <w:top w:val="nil"/>
              <w:left w:val="nil"/>
              <w:bottom w:val="nil"/>
              <w:right w:val="nil"/>
            </w:tcBorders>
            <w:vAlign w:val="center"/>
            <w:hideMark/>
          </w:tcPr>
          <w:p w14:paraId="2804D058"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20</w:t>
            </w:r>
          </w:p>
        </w:tc>
        <w:tc>
          <w:tcPr>
            <w:tcW w:w="3969" w:type="dxa"/>
            <w:gridSpan w:val="2"/>
            <w:tcBorders>
              <w:top w:val="nil"/>
              <w:left w:val="single" w:sz="8" w:space="0" w:color="auto"/>
              <w:bottom w:val="single" w:sz="8" w:space="0" w:color="auto"/>
              <w:right w:val="single" w:sz="8" w:space="0" w:color="000000"/>
            </w:tcBorders>
            <w:vAlign w:val="center"/>
            <w:hideMark/>
          </w:tcPr>
          <w:p w14:paraId="5BB98C05" w14:textId="77777777" w:rsidR="004A04E3" w:rsidRPr="004A04E3" w:rsidRDefault="004A04E3" w:rsidP="004A04E3">
            <w:pPr>
              <w:spacing w:after="0" w:line="240" w:lineRule="auto"/>
              <w:jc w:val="left"/>
              <w:rPr>
                <w:rFonts w:eastAsia="Times New Roman" w:cs="Calibri"/>
                <w:color w:val="000000"/>
                <w:sz w:val="18"/>
                <w:szCs w:val="18"/>
                <w:lang w:eastAsia="en-GB"/>
              </w:rPr>
            </w:pPr>
            <w:proofErr w:type="gramStart"/>
            <w:r w:rsidRPr="004A04E3">
              <w:rPr>
                <w:rFonts w:eastAsia="Times New Roman" w:cs="Calibri"/>
                <w:color w:val="000000"/>
                <w:sz w:val="18"/>
                <w:szCs w:val="18"/>
                <w:lang w:eastAsia="en-GB"/>
              </w:rPr>
              <w:t>Overall</w:t>
            </w:r>
            <w:proofErr w:type="gramEnd"/>
            <w:r w:rsidRPr="004A04E3">
              <w:rPr>
                <w:rFonts w:eastAsia="Times New Roman" w:cs="Calibri"/>
                <w:color w:val="000000"/>
                <w:sz w:val="18"/>
                <w:szCs w:val="18"/>
                <w:lang w:eastAsia="en-GB"/>
              </w:rPr>
              <w:t xml:space="preserve"> Officer strength (HC) vs establishment</w:t>
            </w:r>
          </w:p>
        </w:tc>
        <w:tc>
          <w:tcPr>
            <w:tcW w:w="268" w:type="dxa"/>
            <w:tcBorders>
              <w:top w:val="nil"/>
              <w:left w:val="nil"/>
              <w:bottom w:val="nil"/>
              <w:right w:val="single" w:sz="8" w:space="0" w:color="auto"/>
            </w:tcBorders>
            <w:noWrap/>
            <w:vAlign w:val="bottom"/>
          </w:tcPr>
          <w:p w14:paraId="783D83AA" w14:textId="7E804012"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6AF10784"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nil"/>
              <w:right w:val="single" w:sz="8" w:space="0" w:color="auto"/>
            </w:tcBorders>
            <w:noWrap/>
            <w:vAlign w:val="center"/>
            <w:hideMark/>
          </w:tcPr>
          <w:p w14:paraId="3BBA4F69" w14:textId="00A00494"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w:t>
            </w:r>
            <w:r w:rsidR="00595878">
              <w:rPr>
                <w:rFonts w:eastAsia="Times New Roman" w:cs="Calibri"/>
                <w:color w:val="000000"/>
                <w:sz w:val="18"/>
                <w:szCs w:val="18"/>
                <w:lang w:eastAsia="en-GB"/>
              </w:rPr>
              <w:t>,</w:t>
            </w:r>
            <w:r w:rsidRPr="004A04E3">
              <w:rPr>
                <w:rFonts w:eastAsia="Times New Roman" w:cs="Calibri"/>
                <w:color w:val="000000"/>
                <w:sz w:val="18"/>
                <w:szCs w:val="18"/>
                <w:lang w:eastAsia="en-GB"/>
              </w:rPr>
              <w:t>501</w:t>
            </w:r>
          </w:p>
        </w:tc>
        <w:tc>
          <w:tcPr>
            <w:tcW w:w="1106" w:type="dxa"/>
            <w:gridSpan w:val="2"/>
            <w:tcBorders>
              <w:top w:val="nil"/>
              <w:left w:val="nil"/>
              <w:bottom w:val="nil"/>
              <w:right w:val="single" w:sz="8" w:space="0" w:color="auto"/>
            </w:tcBorders>
            <w:shd w:val="clear" w:color="000000" w:fill="C6E0B4"/>
            <w:noWrap/>
            <w:vAlign w:val="center"/>
            <w:hideMark/>
          </w:tcPr>
          <w:p w14:paraId="75853DBE" w14:textId="15DC4B5B"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w:t>
            </w:r>
            <w:r w:rsidR="00595878">
              <w:rPr>
                <w:rFonts w:eastAsia="Times New Roman" w:cs="Calibri"/>
                <w:b/>
                <w:bCs/>
                <w:color w:val="000000"/>
                <w:sz w:val="18"/>
                <w:szCs w:val="18"/>
                <w:lang w:eastAsia="en-GB"/>
              </w:rPr>
              <w:t>,</w:t>
            </w:r>
            <w:r w:rsidRPr="004A04E3">
              <w:rPr>
                <w:rFonts w:eastAsia="Times New Roman" w:cs="Calibri"/>
                <w:b/>
                <w:bCs/>
                <w:color w:val="000000"/>
                <w:sz w:val="18"/>
                <w:szCs w:val="18"/>
                <w:lang w:eastAsia="en-GB"/>
              </w:rPr>
              <w:t>514</w:t>
            </w:r>
          </w:p>
        </w:tc>
      </w:tr>
      <w:tr w:rsidR="009F77E3" w:rsidRPr="004A04E3" w14:paraId="16222726" w14:textId="77777777" w:rsidTr="00595878">
        <w:trPr>
          <w:trHeight w:val="300"/>
        </w:trPr>
        <w:tc>
          <w:tcPr>
            <w:tcW w:w="616" w:type="dxa"/>
            <w:tcBorders>
              <w:top w:val="single" w:sz="8" w:space="0" w:color="auto"/>
              <w:left w:val="single" w:sz="8" w:space="0" w:color="auto"/>
              <w:bottom w:val="nil"/>
              <w:right w:val="single" w:sz="8" w:space="0" w:color="auto"/>
            </w:tcBorders>
            <w:noWrap/>
            <w:vAlign w:val="center"/>
            <w:hideMark/>
          </w:tcPr>
          <w:p w14:paraId="451EDB22"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PO13</w:t>
            </w:r>
          </w:p>
        </w:tc>
        <w:tc>
          <w:tcPr>
            <w:tcW w:w="1795" w:type="dxa"/>
            <w:tcBorders>
              <w:top w:val="single" w:sz="8" w:space="0" w:color="auto"/>
              <w:left w:val="nil"/>
              <w:bottom w:val="nil"/>
              <w:right w:val="single" w:sz="8" w:space="0" w:color="auto"/>
            </w:tcBorders>
            <w:vAlign w:val="center"/>
            <w:hideMark/>
          </w:tcPr>
          <w:p w14:paraId="4BC98A1B"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Maintain a healthy workforce</w:t>
            </w:r>
          </w:p>
        </w:tc>
        <w:tc>
          <w:tcPr>
            <w:tcW w:w="709" w:type="dxa"/>
            <w:tcBorders>
              <w:top w:val="single" w:sz="8" w:space="0" w:color="auto"/>
              <w:left w:val="nil"/>
              <w:bottom w:val="nil"/>
              <w:right w:val="nil"/>
            </w:tcBorders>
            <w:vAlign w:val="center"/>
            <w:hideMark/>
          </w:tcPr>
          <w:p w14:paraId="0DC41716"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21</w:t>
            </w:r>
          </w:p>
        </w:tc>
        <w:tc>
          <w:tcPr>
            <w:tcW w:w="3969" w:type="dxa"/>
            <w:gridSpan w:val="2"/>
            <w:tcBorders>
              <w:top w:val="single" w:sz="8" w:space="0" w:color="auto"/>
              <w:left w:val="single" w:sz="8" w:space="0" w:color="auto"/>
              <w:bottom w:val="single" w:sz="8" w:space="0" w:color="auto"/>
              <w:right w:val="single" w:sz="8" w:space="0" w:color="000000"/>
            </w:tcBorders>
            <w:vAlign w:val="center"/>
            <w:hideMark/>
          </w:tcPr>
          <w:p w14:paraId="36B66256"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of days lost to sickness</w:t>
            </w:r>
          </w:p>
        </w:tc>
        <w:tc>
          <w:tcPr>
            <w:tcW w:w="268" w:type="dxa"/>
            <w:tcBorders>
              <w:top w:val="nil"/>
              <w:left w:val="nil"/>
              <w:bottom w:val="nil"/>
              <w:right w:val="single" w:sz="8" w:space="0" w:color="auto"/>
            </w:tcBorders>
            <w:noWrap/>
            <w:vAlign w:val="bottom"/>
          </w:tcPr>
          <w:p w14:paraId="0DE751B1" w14:textId="1926EFBF"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7E359B9C"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699FA53B"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5.5%</w:t>
            </w:r>
          </w:p>
        </w:tc>
        <w:tc>
          <w:tcPr>
            <w:tcW w:w="1106" w:type="dxa"/>
            <w:gridSpan w:val="2"/>
            <w:tcBorders>
              <w:top w:val="single" w:sz="8" w:space="0" w:color="auto"/>
              <w:left w:val="nil"/>
              <w:bottom w:val="single" w:sz="4" w:space="0" w:color="auto"/>
              <w:right w:val="single" w:sz="8" w:space="0" w:color="auto"/>
            </w:tcBorders>
            <w:shd w:val="clear" w:color="000000" w:fill="F8CBAD"/>
            <w:noWrap/>
            <w:vAlign w:val="center"/>
            <w:hideMark/>
          </w:tcPr>
          <w:p w14:paraId="2C92C87D"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5.7%</w:t>
            </w:r>
          </w:p>
        </w:tc>
      </w:tr>
      <w:tr w:rsidR="009F77E3" w:rsidRPr="004A04E3" w14:paraId="2D387076" w14:textId="77777777" w:rsidTr="00595878">
        <w:trPr>
          <w:trHeight w:val="300"/>
        </w:trPr>
        <w:tc>
          <w:tcPr>
            <w:tcW w:w="616" w:type="dxa"/>
            <w:tcBorders>
              <w:top w:val="single" w:sz="8" w:space="0" w:color="auto"/>
              <w:left w:val="single" w:sz="8" w:space="0" w:color="auto"/>
              <w:bottom w:val="nil"/>
              <w:right w:val="single" w:sz="8" w:space="0" w:color="auto"/>
            </w:tcBorders>
            <w:noWrap/>
            <w:vAlign w:val="center"/>
            <w:hideMark/>
          </w:tcPr>
          <w:p w14:paraId="37449813"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PO14</w:t>
            </w:r>
          </w:p>
        </w:tc>
        <w:tc>
          <w:tcPr>
            <w:tcW w:w="1795" w:type="dxa"/>
            <w:tcBorders>
              <w:top w:val="single" w:sz="8" w:space="0" w:color="auto"/>
              <w:left w:val="nil"/>
              <w:bottom w:val="nil"/>
              <w:right w:val="nil"/>
            </w:tcBorders>
            <w:vAlign w:val="center"/>
            <w:hideMark/>
          </w:tcPr>
          <w:p w14:paraId="5D8ADE60"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Deliver within budget</w:t>
            </w:r>
          </w:p>
        </w:tc>
        <w:tc>
          <w:tcPr>
            <w:tcW w:w="709" w:type="dxa"/>
            <w:tcBorders>
              <w:top w:val="single" w:sz="8" w:space="0" w:color="auto"/>
              <w:left w:val="single" w:sz="8" w:space="0" w:color="auto"/>
              <w:bottom w:val="nil"/>
              <w:right w:val="single" w:sz="8" w:space="0" w:color="auto"/>
            </w:tcBorders>
            <w:vAlign w:val="center"/>
            <w:hideMark/>
          </w:tcPr>
          <w:p w14:paraId="33820209"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22</w:t>
            </w:r>
          </w:p>
        </w:tc>
        <w:tc>
          <w:tcPr>
            <w:tcW w:w="3969" w:type="dxa"/>
            <w:gridSpan w:val="2"/>
            <w:tcBorders>
              <w:top w:val="single" w:sz="8" w:space="0" w:color="auto"/>
              <w:left w:val="nil"/>
              <w:bottom w:val="nil"/>
              <w:right w:val="single" w:sz="8" w:space="0" w:color="000000"/>
            </w:tcBorders>
            <w:vAlign w:val="center"/>
            <w:hideMark/>
          </w:tcPr>
          <w:p w14:paraId="1D94E219"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Budget spend against planned expenditure</w:t>
            </w:r>
          </w:p>
        </w:tc>
        <w:tc>
          <w:tcPr>
            <w:tcW w:w="268" w:type="dxa"/>
            <w:tcBorders>
              <w:top w:val="nil"/>
              <w:left w:val="nil"/>
              <w:bottom w:val="single" w:sz="8" w:space="0" w:color="auto"/>
              <w:right w:val="single" w:sz="8" w:space="0" w:color="auto"/>
            </w:tcBorders>
            <w:noWrap/>
            <w:vAlign w:val="bottom"/>
          </w:tcPr>
          <w:p w14:paraId="73B28FDA" w14:textId="05C839F2"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244595EF"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Target</w:t>
            </w:r>
          </w:p>
        </w:tc>
        <w:tc>
          <w:tcPr>
            <w:tcW w:w="869" w:type="dxa"/>
            <w:tcBorders>
              <w:top w:val="nil"/>
              <w:left w:val="nil"/>
              <w:bottom w:val="nil"/>
              <w:right w:val="single" w:sz="4" w:space="0" w:color="auto"/>
            </w:tcBorders>
            <w:noWrap/>
            <w:vAlign w:val="center"/>
            <w:hideMark/>
          </w:tcPr>
          <w:p w14:paraId="1C95AF7E"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Even</w:t>
            </w:r>
          </w:p>
        </w:tc>
        <w:tc>
          <w:tcPr>
            <w:tcW w:w="110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357A3B0F"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£592K (+0.3%)</w:t>
            </w:r>
          </w:p>
        </w:tc>
      </w:tr>
      <w:tr w:rsidR="004A04E3" w:rsidRPr="004A04E3" w14:paraId="3994A7BF" w14:textId="77777777" w:rsidTr="00D053BA">
        <w:trPr>
          <w:gridAfter w:val="1"/>
          <w:wAfter w:w="133" w:type="dxa"/>
          <w:trHeight w:val="300"/>
        </w:trPr>
        <w:tc>
          <w:tcPr>
            <w:tcW w:w="10632" w:type="dxa"/>
            <w:gridSpan w:val="9"/>
            <w:tcBorders>
              <w:top w:val="single" w:sz="8" w:space="0" w:color="auto"/>
              <w:left w:val="nil"/>
              <w:bottom w:val="single" w:sz="8" w:space="0" w:color="auto"/>
              <w:right w:val="nil"/>
            </w:tcBorders>
            <w:vAlign w:val="center"/>
            <w:hideMark/>
          </w:tcPr>
          <w:p w14:paraId="693F39AE" w14:textId="77777777" w:rsidR="004A04E3" w:rsidRPr="004A04E3" w:rsidRDefault="004A04E3" w:rsidP="004A04E3">
            <w:pPr>
              <w:spacing w:after="0" w:line="240" w:lineRule="auto"/>
              <w:jc w:val="center"/>
              <w:rPr>
                <w:rFonts w:eastAsia="Times New Roman" w:cs="Calibri"/>
                <w:b/>
                <w:bCs/>
                <w:color w:val="000000"/>
                <w:sz w:val="8"/>
                <w:szCs w:val="8"/>
                <w:lang w:eastAsia="en-GB"/>
              </w:rPr>
            </w:pPr>
            <w:r w:rsidRPr="004A04E3">
              <w:rPr>
                <w:rFonts w:eastAsia="Times New Roman" w:cs="Calibri"/>
                <w:b/>
                <w:bCs/>
                <w:color w:val="000000"/>
                <w:sz w:val="8"/>
                <w:szCs w:val="8"/>
                <w:lang w:eastAsia="en-GB"/>
              </w:rPr>
              <w:t> </w:t>
            </w:r>
          </w:p>
        </w:tc>
      </w:tr>
      <w:tr w:rsidR="001C3EE8" w:rsidRPr="004A04E3" w14:paraId="25EB7741" w14:textId="77777777" w:rsidTr="00595878">
        <w:trPr>
          <w:trHeight w:val="324"/>
        </w:trPr>
        <w:tc>
          <w:tcPr>
            <w:tcW w:w="2411" w:type="dxa"/>
            <w:gridSpan w:val="2"/>
            <w:tcBorders>
              <w:top w:val="single" w:sz="8" w:space="0" w:color="auto"/>
              <w:left w:val="single" w:sz="8" w:space="0" w:color="auto"/>
              <w:bottom w:val="single" w:sz="8" w:space="0" w:color="auto"/>
              <w:right w:val="single" w:sz="8" w:space="0" w:color="000000"/>
            </w:tcBorders>
            <w:vAlign w:val="center"/>
            <w:hideMark/>
          </w:tcPr>
          <w:p w14:paraId="16F41492"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Objective</w:t>
            </w:r>
          </w:p>
        </w:tc>
        <w:tc>
          <w:tcPr>
            <w:tcW w:w="4678" w:type="dxa"/>
            <w:gridSpan w:val="3"/>
            <w:tcBorders>
              <w:top w:val="single" w:sz="8" w:space="0" w:color="auto"/>
              <w:left w:val="nil"/>
              <w:bottom w:val="single" w:sz="8" w:space="0" w:color="auto"/>
              <w:right w:val="single" w:sz="8" w:space="0" w:color="000000"/>
            </w:tcBorders>
            <w:vAlign w:val="center"/>
            <w:hideMark/>
          </w:tcPr>
          <w:p w14:paraId="2CC5D1C6"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and measurement</w:t>
            </w:r>
          </w:p>
        </w:tc>
        <w:tc>
          <w:tcPr>
            <w:tcW w:w="268" w:type="dxa"/>
            <w:tcBorders>
              <w:top w:val="nil"/>
              <w:left w:val="single" w:sz="8" w:space="0" w:color="000000"/>
              <w:bottom w:val="nil"/>
              <w:right w:val="single" w:sz="8" w:space="0" w:color="auto"/>
            </w:tcBorders>
            <w:noWrap/>
            <w:vAlign w:val="bottom"/>
          </w:tcPr>
          <w:p w14:paraId="3C0D5D44" w14:textId="63213A52" w:rsidR="004A04E3" w:rsidRPr="004A04E3" w:rsidRDefault="004A04E3" w:rsidP="004A04E3">
            <w:pPr>
              <w:spacing w:after="0" w:line="240" w:lineRule="auto"/>
              <w:jc w:val="left"/>
              <w:rPr>
                <w:rFonts w:eastAsia="Times New Roman" w:cs="Calibri"/>
                <w:color w:val="000000"/>
                <w:sz w:val="8"/>
                <w:szCs w:val="8"/>
                <w:lang w:eastAsia="en-GB"/>
              </w:rPr>
            </w:pPr>
          </w:p>
        </w:tc>
        <w:tc>
          <w:tcPr>
            <w:tcW w:w="2302" w:type="dxa"/>
            <w:gridSpan w:val="2"/>
            <w:tcBorders>
              <w:top w:val="single" w:sz="8" w:space="0" w:color="auto"/>
              <w:left w:val="nil"/>
              <w:bottom w:val="single" w:sz="8" w:space="0" w:color="auto"/>
              <w:right w:val="single" w:sz="4" w:space="0" w:color="auto"/>
            </w:tcBorders>
            <w:noWrap/>
            <w:vAlign w:val="center"/>
            <w:hideMark/>
          </w:tcPr>
          <w:p w14:paraId="67BFC65A"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Comparator</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14:paraId="432963EE"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2025/26</w:t>
            </w:r>
          </w:p>
        </w:tc>
      </w:tr>
      <w:tr w:rsidR="00D053BA" w:rsidRPr="004A04E3" w14:paraId="366285A3" w14:textId="77777777" w:rsidTr="00595878">
        <w:trPr>
          <w:trHeight w:val="432"/>
        </w:trPr>
        <w:tc>
          <w:tcPr>
            <w:tcW w:w="7089" w:type="dxa"/>
            <w:gridSpan w:val="5"/>
            <w:tcBorders>
              <w:top w:val="single" w:sz="4" w:space="0" w:color="auto"/>
              <w:left w:val="single" w:sz="8" w:space="0" w:color="auto"/>
              <w:bottom w:val="single" w:sz="8" w:space="0" w:color="auto"/>
              <w:right w:val="single" w:sz="8" w:space="0" w:color="000000"/>
            </w:tcBorders>
            <w:shd w:val="clear" w:color="000000" w:fill="BFBFBF"/>
            <w:noWrap/>
            <w:vAlign w:val="center"/>
            <w:hideMark/>
          </w:tcPr>
          <w:p w14:paraId="554AD1A1" w14:textId="77777777" w:rsidR="004A04E3" w:rsidRPr="004A04E3" w:rsidRDefault="004A04E3" w:rsidP="004A04E3">
            <w:pPr>
              <w:spacing w:after="0" w:line="240" w:lineRule="auto"/>
              <w:jc w:val="left"/>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5 - To what extent do we have the trust and confidence of our communities?</w:t>
            </w:r>
          </w:p>
        </w:tc>
        <w:tc>
          <w:tcPr>
            <w:tcW w:w="268" w:type="dxa"/>
            <w:tcBorders>
              <w:left w:val="single" w:sz="8" w:space="0" w:color="000000"/>
              <w:bottom w:val="nil"/>
              <w:right w:val="single" w:sz="8" w:space="0" w:color="auto"/>
            </w:tcBorders>
            <w:noWrap/>
            <w:vAlign w:val="center"/>
          </w:tcPr>
          <w:p w14:paraId="3258DF3C" w14:textId="0CC738A1" w:rsidR="004A04E3" w:rsidRPr="004A04E3" w:rsidRDefault="004A04E3" w:rsidP="004A04E3">
            <w:pPr>
              <w:spacing w:after="0" w:line="240" w:lineRule="auto"/>
              <w:jc w:val="left"/>
              <w:rPr>
                <w:rFonts w:eastAsia="Times New Roman" w:cs="Calibri"/>
                <w:b/>
                <w:bCs/>
                <w:i/>
                <w:iCs/>
                <w:color w:val="000000"/>
                <w:sz w:val="8"/>
                <w:szCs w:val="8"/>
                <w:lang w:eastAsia="en-GB"/>
              </w:rPr>
            </w:pPr>
          </w:p>
        </w:tc>
        <w:tc>
          <w:tcPr>
            <w:tcW w:w="3408" w:type="dxa"/>
            <w:gridSpan w:val="4"/>
            <w:tcBorders>
              <w:top w:val="single" w:sz="4" w:space="0" w:color="auto"/>
              <w:left w:val="nil"/>
              <w:bottom w:val="single" w:sz="8" w:space="0" w:color="auto"/>
              <w:right w:val="single" w:sz="8" w:space="0" w:color="000000"/>
            </w:tcBorders>
            <w:shd w:val="clear" w:color="000000" w:fill="F8CBAD"/>
            <w:noWrap/>
            <w:vAlign w:val="center"/>
            <w:hideMark/>
          </w:tcPr>
          <w:p w14:paraId="1678E128" w14:textId="77777777" w:rsidR="004A04E3" w:rsidRPr="004A04E3" w:rsidRDefault="004A04E3" w:rsidP="004A04E3">
            <w:pPr>
              <w:spacing w:after="0" w:line="240" w:lineRule="auto"/>
              <w:jc w:val="center"/>
              <w:rPr>
                <w:rFonts w:eastAsia="Times New Roman" w:cs="Calibri"/>
                <w:b/>
                <w:bCs/>
                <w:i/>
                <w:iCs/>
                <w:color w:val="000000"/>
                <w:sz w:val="18"/>
                <w:szCs w:val="18"/>
                <w:lang w:eastAsia="en-GB"/>
              </w:rPr>
            </w:pPr>
            <w:r w:rsidRPr="004A04E3">
              <w:rPr>
                <w:rFonts w:eastAsia="Times New Roman" w:cs="Calibri"/>
                <w:b/>
                <w:bCs/>
                <w:i/>
                <w:iCs/>
                <w:color w:val="000000"/>
                <w:sz w:val="18"/>
                <w:szCs w:val="18"/>
                <w:lang w:eastAsia="en-GB"/>
              </w:rPr>
              <w:t>KPQ partially met</w:t>
            </w:r>
          </w:p>
        </w:tc>
      </w:tr>
      <w:tr w:rsidR="001C3EE8" w:rsidRPr="004A04E3" w14:paraId="6F109040" w14:textId="77777777" w:rsidTr="00595878">
        <w:trPr>
          <w:trHeight w:val="300"/>
        </w:trPr>
        <w:tc>
          <w:tcPr>
            <w:tcW w:w="616" w:type="dxa"/>
            <w:tcBorders>
              <w:top w:val="nil"/>
              <w:left w:val="single" w:sz="8" w:space="0" w:color="auto"/>
              <w:bottom w:val="nil"/>
              <w:right w:val="single" w:sz="8" w:space="0" w:color="auto"/>
            </w:tcBorders>
            <w:noWrap/>
            <w:vAlign w:val="center"/>
            <w:hideMark/>
          </w:tcPr>
          <w:p w14:paraId="7CAD8A57"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PO15</w:t>
            </w:r>
          </w:p>
        </w:tc>
        <w:tc>
          <w:tcPr>
            <w:tcW w:w="1795" w:type="dxa"/>
            <w:tcBorders>
              <w:top w:val="nil"/>
              <w:left w:val="nil"/>
              <w:bottom w:val="nil"/>
              <w:right w:val="nil"/>
            </w:tcBorders>
            <w:noWrap/>
            <w:vAlign w:val="center"/>
            <w:hideMark/>
          </w:tcPr>
          <w:p w14:paraId="28A11A6D"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Increase confidence in policing</w:t>
            </w:r>
          </w:p>
        </w:tc>
        <w:tc>
          <w:tcPr>
            <w:tcW w:w="709" w:type="dxa"/>
            <w:tcBorders>
              <w:top w:val="nil"/>
              <w:left w:val="single" w:sz="8" w:space="0" w:color="auto"/>
              <w:bottom w:val="nil"/>
              <w:right w:val="single" w:sz="8" w:space="0" w:color="auto"/>
            </w:tcBorders>
            <w:noWrap/>
            <w:vAlign w:val="center"/>
            <w:hideMark/>
          </w:tcPr>
          <w:p w14:paraId="477F93F3"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23</w:t>
            </w:r>
          </w:p>
        </w:tc>
        <w:tc>
          <w:tcPr>
            <w:tcW w:w="3969" w:type="dxa"/>
            <w:gridSpan w:val="2"/>
            <w:tcBorders>
              <w:top w:val="nil"/>
              <w:left w:val="nil"/>
              <w:bottom w:val="nil"/>
              <w:right w:val="single" w:sz="8" w:space="0" w:color="000000"/>
            </w:tcBorders>
            <w:vAlign w:val="center"/>
            <w:hideMark/>
          </w:tcPr>
          <w:p w14:paraId="045BAEA4"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 confidence in local police (CSEW)</w:t>
            </w:r>
          </w:p>
        </w:tc>
        <w:tc>
          <w:tcPr>
            <w:tcW w:w="268" w:type="dxa"/>
            <w:tcBorders>
              <w:top w:val="nil"/>
              <w:left w:val="single" w:sz="8" w:space="0" w:color="000000"/>
              <w:bottom w:val="nil"/>
              <w:right w:val="single" w:sz="8" w:space="0" w:color="auto"/>
            </w:tcBorders>
            <w:noWrap/>
            <w:vAlign w:val="bottom"/>
          </w:tcPr>
          <w:p w14:paraId="4C47897E" w14:textId="51D42DFC"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nil"/>
              <w:right w:val="nil"/>
            </w:tcBorders>
            <w:noWrap/>
            <w:vAlign w:val="center"/>
            <w:hideMark/>
          </w:tcPr>
          <w:p w14:paraId="6F727E4A"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Mar24</w:t>
            </w:r>
          </w:p>
        </w:tc>
        <w:tc>
          <w:tcPr>
            <w:tcW w:w="869" w:type="dxa"/>
            <w:tcBorders>
              <w:top w:val="nil"/>
              <w:left w:val="nil"/>
              <w:bottom w:val="nil"/>
              <w:right w:val="single" w:sz="8" w:space="0" w:color="auto"/>
            </w:tcBorders>
            <w:noWrap/>
            <w:vAlign w:val="center"/>
            <w:hideMark/>
          </w:tcPr>
          <w:p w14:paraId="1663BCB8"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59.8%</w:t>
            </w:r>
          </w:p>
        </w:tc>
        <w:tc>
          <w:tcPr>
            <w:tcW w:w="1106" w:type="dxa"/>
            <w:gridSpan w:val="2"/>
            <w:tcBorders>
              <w:top w:val="nil"/>
              <w:left w:val="nil"/>
              <w:bottom w:val="nil"/>
              <w:right w:val="single" w:sz="8" w:space="0" w:color="auto"/>
            </w:tcBorders>
            <w:shd w:val="clear" w:color="000000" w:fill="C6E0B4"/>
            <w:vAlign w:val="center"/>
            <w:hideMark/>
          </w:tcPr>
          <w:p w14:paraId="0B4B9E9C"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67.5%</w:t>
            </w:r>
          </w:p>
        </w:tc>
      </w:tr>
      <w:tr w:rsidR="009F77E3" w:rsidRPr="004A04E3" w14:paraId="212AE204" w14:textId="77777777" w:rsidTr="00595878">
        <w:trPr>
          <w:trHeight w:val="300"/>
        </w:trPr>
        <w:tc>
          <w:tcPr>
            <w:tcW w:w="616" w:type="dxa"/>
            <w:vMerge w:val="restart"/>
            <w:tcBorders>
              <w:top w:val="single" w:sz="8" w:space="0" w:color="auto"/>
              <w:left w:val="single" w:sz="8" w:space="0" w:color="auto"/>
              <w:bottom w:val="single" w:sz="8" w:space="0" w:color="000000"/>
              <w:right w:val="single" w:sz="8" w:space="0" w:color="auto"/>
            </w:tcBorders>
            <w:noWrap/>
            <w:vAlign w:val="center"/>
            <w:hideMark/>
          </w:tcPr>
          <w:p w14:paraId="697ACF53" w14:textId="77777777" w:rsidR="004A04E3" w:rsidRPr="004A04E3" w:rsidRDefault="004A04E3" w:rsidP="004A04E3">
            <w:pPr>
              <w:spacing w:after="0" w:line="240" w:lineRule="auto"/>
              <w:jc w:val="left"/>
              <w:rPr>
                <w:rFonts w:eastAsia="Times New Roman" w:cs="Calibri"/>
                <w:b/>
                <w:bCs/>
                <w:color w:val="000000"/>
                <w:sz w:val="18"/>
                <w:szCs w:val="18"/>
                <w:lang w:eastAsia="en-GB"/>
              </w:rPr>
            </w:pPr>
            <w:r w:rsidRPr="004A04E3">
              <w:rPr>
                <w:rFonts w:eastAsia="Times New Roman" w:cs="Calibri"/>
                <w:b/>
                <w:bCs/>
                <w:color w:val="000000"/>
                <w:sz w:val="18"/>
                <w:szCs w:val="18"/>
                <w:lang w:eastAsia="en-GB"/>
              </w:rPr>
              <w:t>PO16</w:t>
            </w:r>
          </w:p>
        </w:tc>
        <w:tc>
          <w:tcPr>
            <w:tcW w:w="1795" w:type="dxa"/>
            <w:vMerge w:val="restart"/>
            <w:tcBorders>
              <w:top w:val="single" w:sz="8" w:space="0" w:color="auto"/>
              <w:left w:val="nil"/>
              <w:bottom w:val="single" w:sz="8" w:space="0" w:color="000000"/>
              <w:right w:val="single" w:sz="8" w:space="0" w:color="000000"/>
            </w:tcBorders>
            <w:vAlign w:val="center"/>
            <w:hideMark/>
          </w:tcPr>
          <w:p w14:paraId="27708888"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Reduction in the levels of disproportionate powers used against subjects from ethnic minorities</w:t>
            </w:r>
          </w:p>
        </w:tc>
        <w:tc>
          <w:tcPr>
            <w:tcW w:w="709" w:type="dxa"/>
            <w:tcBorders>
              <w:top w:val="single" w:sz="8" w:space="0" w:color="auto"/>
              <w:left w:val="nil"/>
              <w:bottom w:val="single" w:sz="8" w:space="0" w:color="auto"/>
              <w:right w:val="single" w:sz="8" w:space="0" w:color="auto"/>
            </w:tcBorders>
            <w:noWrap/>
            <w:vAlign w:val="center"/>
            <w:hideMark/>
          </w:tcPr>
          <w:p w14:paraId="23329A08"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24</w:t>
            </w:r>
          </w:p>
        </w:tc>
        <w:tc>
          <w:tcPr>
            <w:tcW w:w="3969" w:type="dxa"/>
            <w:gridSpan w:val="2"/>
            <w:tcBorders>
              <w:top w:val="single" w:sz="8" w:space="0" w:color="auto"/>
              <w:left w:val="nil"/>
              <w:bottom w:val="nil"/>
              <w:right w:val="single" w:sz="8" w:space="0" w:color="000000"/>
            </w:tcBorders>
            <w:vAlign w:val="center"/>
            <w:hideMark/>
          </w:tcPr>
          <w:p w14:paraId="674BE977"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12m Relative Rate Index of stop searches (White vs all others)</w:t>
            </w:r>
          </w:p>
        </w:tc>
        <w:tc>
          <w:tcPr>
            <w:tcW w:w="268" w:type="dxa"/>
            <w:tcBorders>
              <w:left w:val="single" w:sz="8" w:space="0" w:color="000000"/>
              <w:bottom w:val="nil"/>
              <w:right w:val="single" w:sz="8" w:space="0" w:color="auto"/>
            </w:tcBorders>
            <w:noWrap/>
            <w:vAlign w:val="bottom"/>
          </w:tcPr>
          <w:p w14:paraId="66485BC9" w14:textId="53F510E9"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single" w:sz="8" w:space="0" w:color="auto"/>
              <w:left w:val="nil"/>
              <w:bottom w:val="single" w:sz="8" w:space="0" w:color="auto"/>
              <w:right w:val="nil"/>
            </w:tcBorders>
            <w:noWrap/>
            <w:vAlign w:val="center"/>
            <w:hideMark/>
          </w:tcPr>
          <w:p w14:paraId="00F61AE5"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single" w:sz="8" w:space="0" w:color="auto"/>
              <w:left w:val="nil"/>
              <w:bottom w:val="single" w:sz="8" w:space="0" w:color="auto"/>
              <w:right w:val="single" w:sz="8" w:space="0" w:color="auto"/>
            </w:tcBorders>
            <w:noWrap/>
            <w:vAlign w:val="center"/>
            <w:hideMark/>
          </w:tcPr>
          <w:p w14:paraId="7C7273BE"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1.93</w:t>
            </w:r>
          </w:p>
        </w:tc>
        <w:tc>
          <w:tcPr>
            <w:tcW w:w="1106" w:type="dxa"/>
            <w:gridSpan w:val="2"/>
            <w:tcBorders>
              <w:top w:val="single" w:sz="8" w:space="0" w:color="auto"/>
              <w:left w:val="nil"/>
              <w:bottom w:val="single" w:sz="8" w:space="0" w:color="auto"/>
              <w:right w:val="single" w:sz="8" w:space="0" w:color="auto"/>
            </w:tcBorders>
            <w:shd w:val="clear" w:color="000000" w:fill="F8CBAD"/>
            <w:noWrap/>
            <w:vAlign w:val="center"/>
            <w:hideMark/>
          </w:tcPr>
          <w:p w14:paraId="4DCF34D6"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2.45</w:t>
            </w:r>
          </w:p>
        </w:tc>
      </w:tr>
      <w:tr w:rsidR="001C3EE8" w:rsidRPr="004A04E3" w14:paraId="246A0747" w14:textId="77777777" w:rsidTr="00D053BA">
        <w:trPr>
          <w:trHeight w:val="528"/>
        </w:trPr>
        <w:tc>
          <w:tcPr>
            <w:tcW w:w="616" w:type="dxa"/>
            <w:vMerge/>
            <w:tcBorders>
              <w:top w:val="single" w:sz="8" w:space="0" w:color="auto"/>
              <w:left w:val="single" w:sz="8" w:space="0" w:color="auto"/>
              <w:bottom w:val="single" w:sz="8" w:space="0" w:color="000000"/>
              <w:right w:val="single" w:sz="8" w:space="0" w:color="auto"/>
            </w:tcBorders>
            <w:vAlign w:val="center"/>
            <w:hideMark/>
          </w:tcPr>
          <w:p w14:paraId="052D78FE" w14:textId="77777777" w:rsidR="004A04E3" w:rsidRPr="004A04E3" w:rsidRDefault="004A04E3" w:rsidP="004A04E3">
            <w:pPr>
              <w:spacing w:after="0" w:line="240" w:lineRule="auto"/>
              <w:jc w:val="left"/>
              <w:rPr>
                <w:rFonts w:eastAsia="Times New Roman" w:cs="Calibri"/>
                <w:b/>
                <w:bCs/>
                <w:color w:val="000000"/>
                <w:sz w:val="18"/>
                <w:szCs w:val="18"/>
                <w:lang w:eastAsia="en-GB"/>
              </w:rPr>
            </w:pPr>
          </w:p>
        </w:tc>
        <w:tc>
          <w:tcPr>
            <w:tcW w:w="1795" w:type="dxa"/>
            <w:vMerge/>
            <w:tcBorders>
              <w:top w:val="single" w:sz="8" w:space="0" w:color="auto"/>
              <w:left w:val="nil"/>
              <w:bottom w:val="single" w:sz="8" w:space="0" w:color="000000"/>
              <w:right w:val="single" w:sz="8" w:space="0" w:color="000000"/>
            </w:tcBorders>
            <w:vAlign w:val="center"/>
            <w:hideMark/>
          </w:tcPr>
          <w:p w14:paraId="3C874AF7" w14:textId="77777777" w:rsidR="004A04E3" w:rsidRPr="004A04E3" w:rsidRDefault="004A04E3" w:rsidP="004A04E3">
            <w:pPr>
              <w:spacing w:after="0" w:line="240" w:lineRule="auto"/>
              <w:jc w:val="left"/>
              <w:rPr>
                <w:rFonts w:eastAsia="Times New Roman" w:cs="Calibri"/>
                <w:color w:val="000000"/>
                <w:sz w:val="18"/>
                <w:szCs w:val="18"/>
                <w:lang w:eastAsia="en-GB"/>
              </w:rPr>
            </w:pPr>
          </w:p>
        </w:tc>
        <w:tc>
          <w:tcPr>
            <w:tcW w:w="709" w:type="dxa"/>
            <w:tcBorders>
              <w:top w:val="nil"/>
              <w:left w:val="nil"/>
              <w:bottom w:val="single" w:sz="8" w:space="0" w:color="auto"/>
              <w:right w:val="single" w:sz="8" w:space="0" w:color="auto"/>
            </w:tcBorders>
            <w:vAlign w:val="center"/>
            <w:hideMark/>
          </w:tcPr>
          <w:p w14:paraId="2D53C364"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KPI 25</w:t>
            </w:r>
          </w:p>
        </w:tc>
        <w:tc>
          <w:tcPr>
            <w:tcW w:w="3969" w:type="dxa"/>
            <w:gridSpan w:val="2"/>
            <w:tcBorders>
              <w:top w:val="single" w:sz="8" w:space="0" w:color="auto"/>
              <w:left w:val="nil"/>
              <w:bottom w:val="single" w:sz="8" w:space="0" w:color="auto"/>
              <w:right w:val="nil"/>
            </w:tcBorders>
            <w:vAlign w:val="center"/>
            <w:hideMark/>
          </w:tcPr>
          <w:p w14:paraId="017BAF1F" w14:textId="77777777" w:rsidR="004A04E3" w:rsidRPr="004A04E3" w:rsidRDefault="004A04E3" w:rsidP="004A04E3">
            <w:pPr>
              <w:spacing w:after="0" w:line="240" w:lineRule="auto"/>
              <w:jc w:val="left"/>
              <w:rPr>
                <w:rFonts w:eastAsia="Times New Roman" w:cs="Calibri"/>
                <w:color w:val="000000"/>
                <w:sz w:val="18"/>
                <w:szCs w:val="18"/>
                <w:lang w:eastAsia="en-GB"/>
              </w:rPr>
            </w:pPr>
            <w:r w:rsidRPr="004A04E3">
              <w:rPr>
                <w:rFonts w:eastAsia="Times New Roman" w:cs="Calibri"/>
                <w:color w:val="000000"/>
                <w:sz w:val="18"/>
                <w:szCs w:val="18"/>
                <w:lang w:eastAsia="en-GB"/>
              </w:rPr>
              <w:t>12m Relative Rate Index of use of force (White vs all others)</w:t>
            </w:r>
          </w:p>
        </w:tc>
        <w:tc>
          <w:tcPr>
            <w:tcW w:w="268" w:type="dxa"/>
            <w:tcBorders>
              <w:top w:val="nil"/>
              <w:left w:val="single" w:sz="8" w:space="0" w:color="auto"/>
              <w:bottom w:val="single" w:sz="8" w:space="0" w:color="auto"/>
              <w:right w:val="single" w:sz="8" w:space="0" w:color="auto"/>
            </w:tcBorders>
            <w:noWrap/>
            <w:vAlign w:val="bottom"/>
          </w:tcPr>
          <w:p w14:paraId="00F9D8EF" w14:textId="7B9697DA" w:rsidR="004A04E3" w:rsidRPr="004A04E3" w:rsidRDefault="004A04E3" w:rsidP="004A04E3">
            <w:pPr>
              <w:spacing w:after="0" w:line="240" w:lineRule="auto"/>
              <w:jc w:val="left"/>
              <w:rPr>
                <w:rFonts w:eastAsia="Times New Roman" w:cs="Calibri"/>
                <w:color w:val="000000"/>
                <w:sz w:val="8"/>
                <w:szCs w:val="8"/>
                <w:lang w:eastAsia="en-GB"/>
              </w:rPr>
            </w:pPr>
          </w:p>
        </w:tc>
        <w:tc>
          <w:tcPr>
            <w:tcW w:w="1433" w:type="dxa"/>
            <w:tcBorders>
              <w:top w:val="nil"/>
              <w:left w:val="nil"/>
              <w:bottom w:val="single" w:sz="8" w:space="0" w:color="auto"/>
              <w:right w:val="nil"/>
            </w:tcBorders>
            <w:noWrap/>
            <w:vAlign w:val="center"/>
            <w:hideMark/>
          </w:tcPr>
          <w:p w14:paraId="0C0403CC" w14:textId="77777777" w:rsidR="004A04E3" w:rsidRPr="004A04E3" w:rsidRDefault="004A04E3" w:rsidP="004A04E3">
            <w:pPr>
              <w:spacing w:after="0" w:line="240" w:lineRule="auto"/>
              <w:jc w:val="left"/>
              <w:rPr>
                <w:rFonts w:eastAsia="Times New Roman" w:cs="Calibri"/>
                <w:color w:val="000000"/>
                <w:sz w:val="16"/>
                <w:szCs w:val="16"/>
                <w:lang w:eastAsia="en-GB"/>
              </w:rPr>
            </w:pPr>
            <w:r w:rsidRPr="004A04E3">
              <w:rPr>
                <w:rFonts w:eastAsia="Times New Roman" w:cs="Calibri"/>
                <w:color w:val="000000"/>
                <w:sz w:val="16"/>
                <w:szCs w:val="16"/>
                <w:lang w:eastAsia="en-GB"/>
              </w:rPr>
              <w:t>Baseline 2024/25</w:t>
            </w:r>
          </w:p>
        </w:tc>
        <w:tc>
          <w:tcPr>
            <w:tcW w:w="869" w:type="dxa"/>
            <w:tcBorders>
              <w:top w:val="nil"/>
              <w:left w:val="nil"/>
              <w:bottom w:val="single" w:sz="8" w:space="0" w:color="auto"/>
              <w:right w:val="single" w:sz="8" w:space="0" w:color="auto"/>
            </w:tcBorders>
            <w:noWrap/>
            <w:vAlign w:val="center"/>
            <w:hideMark/>
          </w:tcPr>
          <w:p w14:paraId="11126637" w14:textId="77777777" w:rsidR="004A04E3" w:rsidRPr="004A04E3" w:rsidRDefault="004A04E3" w:rsidP="004A04E3">
            <w:pPr>
              <w:spacing w:after="0" w:line="240" w:lineRule="auto"/>
              <w:jc w:val="center"/>
              <w:rPr>
                <w:rFonts w:eastAsia="Times New Roman" w:cs="Calibri"/>
                <w:color w:val="000000"/>
                <w:sz w:val="18"/>
                <w:szCs w:val="18"/>
                <w:lang w:eastAsia="en-GB"/>
              </w:rPr>
            </w:pPr>
            <w:r w:rsidRPr="004A04E3">
              <w:rPr>
                <w:rFonts w:eastAsia="Times New Roman" w:cs="Calibri"/>
                <w:color w:val="000000"/>
                <w:sz w:val="18"/>
                <w:szCs w:val="18"/>
                <w:lang w:eastAsia="en-GB"/>
              </w:rPr>
              <w:t>1.48</w:t>
            </w:r>
          </w:p>
        </w:tc>
        <w:tc>
          <w:tcPr>
            <w:tcW w:w="1106" w:type="dxa"/>
            <w:gridSpan w:val="2"/>
            <w:tcBorders>
              <w:top w:val="nil"/>
              <w:left w:val="nil"/>
              <w:bottom w:val="single" w:sz="8" w:space="0" w:color="auto"/>
              <w:right w:val="single" w:sz="8" w:space="0" w:color="auto"/>
            </w:tcBorders>
            <w:shd w:val="clear" w:color="000000" w:fill="F8CBAD"/>
            <w:noWrap/>
            <w:vAlign w:val="center"/>
            <w:hideMark/>
          </w:tcPr>
          <w:p w14:paraId="09E8008E" w14:textId="77777777" w:rsidR="004A04E3" w:rsidRPr="004A04E3" w:rsidRDefault="004A04E3" w:rsidP="004A04E3">
            <w:pPr>
              <w:spacing w:after="0" w:line="240" w:lineRule="auto"/>
              <w:jc w:val="center"/>
              <w:rPr>
                <w:rFonts w:eastAsia="Times New Roman" w:cs="Calibri"/>
                <w:b/>
                <w:bCs/>
                <w:color w:val="000000"/>
                <w:sz w:val="18"/>
                <w:szCs w:val="18"/>
                <w:lang w:eastAsia="en-GB"/>
              </w:rPr>
            </w:pPr>
            <w:r w:rsidRPr="004A04E3">
              <w:rPr>
                <w:rFonts w:eastAsia="Times New Roman" w:cs="Calibri"/>
                <w:b/>
                <w:bCs/>
                <w:color w:val="000000"/>
                <w:sz w:val="18"/>
                <w:szCs w:val="18"/>
                <w:lang w:eastAsia="en-GB"/>
              </w:rPr>
              <w:t>1.56</w:t>
            </w:r>
          </w:p>
        </w:tc>
      </w:tr>
    </w:tbl>
    <w:p w14:paraId="194F1155" w14:textId="21359017" w:rsidR="00353005" w:rsidRPr="00234D9C" w:rsidRDefault="00353005" w:rsidP="003356AE">
      <w:pPr>
        <w:spacing w:line="240" w:lineRule="auto"/>
        <w:jc w:val="left"/>
      </w:pPr>
    </w:p>
    <w:p w14:paraId="7ED4FDD7" w14:textId="77777777" w:rsidR="00B406D0" w:rsidRDefault="00353005" w:rsidP="003356AE">
      <w:pPr>
        <w:pStyle w:val="VAHeadingLevel2"/>
        <w:spacing w:line="240" w:lineRule="auto"/>
        <w:rPr>
          <w:highlight w:val="yellow"/>
        </w:rPr>
        <w:sectPr w:rsidR="00B406D0" w:rsidSect="00B74C71">
          <w:type w:val="continuous"/>
          <w:pgSz w:w="11900" w:h="16840"/>
          <w:pgMar w:top="1440" w:right="1080" w:bottom="1440" w:left="1080" w:header="709" w:footer="397" w:gutter="0"/>
          <w:cols w:space="708"/>
          <w:docGrid w:linePitch="360"/>
        </w:sectPr>
      </w:pPr>
      <w:r w:rsidRPr="000E2186">
        <w:rPr>
          <w:highlight w:val="yellow"/>
        </w:rPr>
        <w:br w:type="page"/>
      </w:r>
    </w:p>
    <w:p w14:paraId="76A9D92A" w14:textId="0A21DB85" w:rsidR="00353005" w:rsidRPr="00273118" w:rsidRDefault="00353005" w:rsidP="003356AE">
      <w:pPr>
        <w:pStyle w:val="VAHeadingLevel2"/>
        <w:spacing w:line="240" w:lineRule="auto"/>
        <w:rPr>
          <w:color w:val="auto"/>
        </w:rPr>
      </w:pPr>
      <w:r w:rsidRPr="00273118">
        <w:lastRenderedPageBreak/>
        <w:t>His Majesty's Inspectorate of Constabulary and Fire and Rescue Services (HMICFRS)</w:t>
      </w:r>
    </w:p>
    <w:p w14:paraId="6CFD1DD6" w14:textId="77777777" w:rsidR="00353005" w:rsidRPr="00273118" w:rsidRDefault="00353005" w:rsidP="005B6961"/>
    <w:p w14:paraId="66E08FDB" w14:textId="70556B30" w:rsidR="00353005" w:rsidRPr="00273118" w:rsidRDefault="00353005" w:rsidP="00A653A1">
      <w:r w:rsidRPr="00273118">
        <w:t xml:space="preserve">In </w:t>
      </w:r>
      <w:r w:rsidR="00BC64A2" w:rsidRPr="00273118">
        <w:t>June</w:t>
      </w:r>
      <w:r w:rsidRPr="00273118">
        <w:t xml:space="preserve"> 202</w:t>
      </w:r>
      <w:r w:rsidR="00075794" w:rsidRPr="00273118">
        <w:t>6</w:t>
      </w:r>
      <w:r w:rsidRPr="00273118">
        <w:t xml:space="preserve">, His Majesty's Inspectorate of Constabulary and Fire and Rescue Services (HMICFRS) published their </w:t>
      </w:r>
      <w:r w:rsidR="00125BFF" w:rsidRPr="00273118">
        <w:t xml:space="preserve">latest </w:t>
      </w:r>
      <w:r w:rsidRPr="00273118">
        <w:t>PEEL (Police Effectiveness, Efficiency and Legitimacy) assessment.</w:t>
      </w:r>
      <w:r w:rsidR="00483168" w:rsidRPr="00273118">
        <w:t xml:space="preserve">  </w:t>
      </w:r>
      <w:r w:rsidR="00075794" w:rsidRPr="00273118">
        <w:t xml:space="preserve">The previous assessment </w:t>
      </w:r>
      <w:r w:rsidR="00443B50" w:rsidRPr="00273118">
        <w:t xml:space="preserve">was completed in </w:t>
      </w:r>
      <w:r w:rsidR="00A5140F" w:rsidRPr="00273118">
        <w:t>February 2024</w:t>
      </w:r>
      <w:r w:rsidR="00D70080" w:rsidRPr="00273118">
        <w:t>.</w:t>
      </w:r>
    </w:p>
    <w:p w14:paraId="4FFBB33A" w14:textId="77777777" w:rsidR="00353005" w:rsidRPr="00273118" w:rsidRDefault="00353005" w:rsidP="00A653A1"/>
    <w:p w14:paraId="06179CC7" w14:textId="227E78AC" w:rsidR="00353005" w:rsidRPr="002C3ABD" w:rsidRDefault="00F211E9" w:rsidP="00A653A1">
      <w:r w:rsidRPr="002C3ABD">
        <w:t xml:space="preserve">The latest </w:t>
      </w:r>
      <w:r w:rsidR="00353005" w:rsidRPr="002C3ABD">
        <w:t>HM Inspector’s summary was as follows:</w:t>
      </w:r>
    </w:p>
    <w:p w14:paraId="2FE43830" w14:textId="74C6E444" w:rsidR="003C030C" w:rsidRPr="00181F23" w:rsidRDefault="00353005" w:rsidP="00BD7BF4">
      <w:pPr>
        <w:rPr>
          <w:color w:val="000099"/>
        </w:rPr>
      </w:pPr>
      <w:r w:rsidRPr="00181F23">
        <w:rPr>
          <w:color w:val="000099"/>
        </w:rPr>
        <w:t>“</w:t>
      </w:r>
      <w:r w:rsidR="00FF5730" w:rsidRPr="00181F23">
        <w:rPr>
          <w:color w:val="000099"/>
        </w:rPr>
        <w:t xml:space="preserve">Following our latest PEEL inspection, I am satisfied with several aspects of the performance of Northamptonshire Police. </w:t>
      </w:r>
      <w:r w:rsidR="00273118" w:rsidRPr="00181F23">
        <w:rPr>
          <w:color w:val="000099"/>
        </w:rPr>
        <w:t xml:space="preserve"> </w:t>
      </w:r>
      <w:r w:rsidR="00FF5730" w:rsidRPr="00181F23">
        <w:rPr>
          <w:color w:val="000099"/>
        </w:rPr>
        <w:t xml:space="preserve">These include its support for workforce well-being, treatment of the public, preventative activity and safeguarding of vulnerable children and adults. </w:t>
      </w:r>
      <w:r w:rsidR="00273118" w:rsidRPr="00181F23">
        <w:rPr>
          <w:color w:val="000099"/>
        </w:rPr>
        <w:t xml:space="preserve"> </w:t>
      </w:r>
      <w:r w:rsidR="00FF5730" w:rsidRPr="00181F23">
        <w:rPr>
          <w:color w:val="000099"/>
        </w:rPr>
        <w:t xml:space="preserve">However, it must solve crime more effectively, respond to incidents more promptly and ensure stronger tactical implementation and leadership accountability. </w:t>
      </w:r>
    </w:p>
    <w:p w14:paraId="48252803" w14:textId="7C83833E" w:rsidR="003C030C" w:rsidRPr="00181F23" w:rsidRDefault="00FF5730" w:rsidP="00BD7BF4">
      <w:pPr>
        <w:rPr>
          <w:color w:val="000099"/>
        </w:rPr>
      </w:pPr>
      <w:r w:rsidRPr="00181F23">
        <w:rPr>
          <w:color w:val="000099"/>
        </w:rPr>
        <w:t xml:space="preserve">Since our last PEEL inspection, the force has appointed a new chief officer team. </w:t>
      </w:r>
      <w:r w:rsidR="00273118" w:rsidRPr="00181F23">
        <w:rPr>
          <w:color w:val="000099"/>
        </w:rPr>
        <w:t xml:space="preserve"> </w:t>
      </w:r>
      <w:r w:rsidRPr="00181F23">
        <w:rPr>
          <w:color w:val="000099"/>
        </w:rPr>
        <w:t xml:space="preserve">It is providing visible leadership and shaping a culture that aims to establish accountability across all levels of the organisation. </w:t>
      </w:r>
      <w:r w:rsidR="00273118" w:rsidRPr="00181F23">
        <w:rPr>
          <w:color w:val="000099"/>
        </w:rPr>
        <w:t xml:space="preserve"> </w:t>
      </w:r>
      <w:r w:rsidRPr="00181F23">
        <w:rPr>
          <w:color w:val="000099"/>
        </w:rPr>
        <w:t xml:space="preserve">I recognise the challenges and time it will take to progress the changes needed. </w:t>
      </w:r>
    </w:p>
    <w:p w14:paraId="5340E8CC" w14:textId="66B4E279" w:rsidR="003C030C" w:rsidRPr="00181F23" w:rsidRDefault="00FF5730" w:rsidP="00BD7BF4">
      <w:pPr>
        <w:rPr>
          <w:color w:val="000099"/>
        </w:rPr>
      </w:pPr>
      <w:r w:rsidRPr="00181F23">
        <w:rPr>
          <w:color w:val="000099"/>
        </w:rPr>
        <w:t xml:space="preserve">One of the most pressing challenges is the force’s operating model. </w:t>
      </w:r>
      <w:r w:rsidR="00273118" w:rsidRPr="00181F23">
        <w:rPr>
          <w:color w:val="000099"/>
        </w:rPr>
        <w:t xml:space="preserve"> </w:t>
      </w:r>
      <w:r w:rsidRPr="00181F23">
        <w:rPr>
          <w:color w:val="000099"/>
        </w:rPr>
        <w:t xml:space="preserve">We identified that the model at the time of our inspection wasn’t using force resources effectively to meet demand. </w:t>
      </w:r>
    </w:p>
    <w:p w14:paraId="20997C08" w14:textId="0A1D7A19" w:rsidR="00974C2B" w:rsidRPr="00181F23" w:rsidRDefault="00FF5730" w:rsidP="00BD7BF4">
      <w:pPr>
        <w:rPr>
          <w:color w:val="000099"/>
        </w:rPr>
      </w:pPr>
      <w:r w:rsidRPr="00181F23">
        <w:rPr>
          <w:color w:val="000099"/>
        </w:rPr>
        <w:t>Although the force has comprehensive strategic governance processes with good levels of data and analytical support, decision-making is delayed</w:t>
      </w:r>
      <w:r w:rsidR="001F16C7" w:rsidRPr="00181F23">
        <w:rPr>
          <w:color w:val="000099"/>
        </w:rPr>
        <w:t xml:space="preserve">.  </w:t>
      </w:r>
      <w:r w:rsidRPr="00181F23">
        <w:rPr>
          <w:color w:val="000099"/>
        </w:rPr>
        <w:t>Tactical implementation and performance management are also inconsistent.</w:t>
      </w:r>
    </w:p>
    <w:p w14:paraId="7103559A" w14:textId="77777777" w:rsidR="00974C2B" w:rsidRPr="00181F23" w:rsidRDefault="00974C2B" w:rsidP="00BD7BF4">
      <w:pPr>
        <w:rPr>
          <w:color w:val="000099"/>
        </w:rPr>
      </w:pPr>
    </w:p>
    <w:p w14:paraId="03A7DEC3" w14:textId="0520F479" w:rsidR="001D45B5" w:rsidRPr="00181F23" w:rsidRDefault="00974C2B" w:rsidP="00BD7BF4">
      <w:pPr>
        <w:rPr>
          <w:color w:val="000099"/>
        </w:rPr>
      </w:pPr>
      <w:r w:rsidRPr="00181F23">
        <w:rPr>
          <w:color w:val="000099"/>
        </w:rPr>
        <w:t xml:space="preserve">The force, like many others, continues to face financial pressures related to funding levels. </w:t>
      </w:r>
    </w:p>
    <w:p w14:paraId="79538FD1" w14:textId="1152A629" w:rsidR="006936FD" w:rsidRPr="00181F23" w:rsidRDefault="00974C2B" w:rsidP="00BD7BF4">
      <w:pPr>
        <w:rPr>
          <w:color w:val="000099"/>
        </w:rPr>
      </w:pPr>
      <w:r w:rsidRPr="00181F23">
        <w:rPr>
          <w:color w:val="000099"/>
        </w:rPr>
        <w:t>The force offers strong support to personnel who attend traumatic incidents or operate in high-stress environments</w:t>
      </w:r>
      <w:r w:rsidR="0003541F" w:rsidRPr="00181F23">
        <w:rPr>
          <w:color w:val="000099"/>
        </w:rPr>
        <w:t xml:space="preserve">.  </w:t>
      </w:r>
      <w:r w:rsidRPr="00181F23">
        <w:rPr>
          <w:color w:val="000099"/>
        </w:rPr>
        <w:t>The number of personnel leaving the organisation has decreased and the force is improving use of data to understand workforce experience</w:t>
      </w:r>
      <w:r w:rsidR="0003541F" w:rsidRPr="00181F23">
        <w:rPr>
          <w:color w:val="000099"/>
        </w:rPr>
        <w:t xml:space="preserve">.  </w:t>
      </w:r>
      <w:r w:rsidRPr="00181F23">
        <w:rPr>
          <w:color w:val="000099"/>
        </w:rPr>
        <w:t xml:space="preserve">However, there are emerging risk factors suggesting a decline in overall workforce well-being, which the force needs to address. </w:t>
      </w:r>
    </w:p>
    <w:p w14:paraId="621769AC" w14:textId="755CC718" w:rsidR="002C3ABD" w:rsidRPr="00181F23" w:rsidRDefault="00974C2B" w:rsidP="00BD7BF4">
      <w:pPr>
        <w:rPr>
          <w:color w:val="000099"/>
        </w:rPr>
      </w:pPr>
      <w:r w:rsidRPr="00181F23">
        <w:rPr>
          <w:color w:val="000099"/>
        </w:rPr>
        <w:t xml:space="preserve">The force maintains adequate oversight of stop and search and use of force, including the use of </w:t>
      </w:r>
      <w:r w:rsidRPr="00181F23">
        <w:rPr>
          <w:color w:val="000099"/>
        </w:rPr>
        <w:t>independent scrutiny to check powers are used lawfully</w:t>
      </w:r>
      <w:r w:rsidR="0003541F" w:rsidRPr="00181F23">
        <w:rPr>
          <w:color w:val="000099"/>
        </w:rPr>
        <w:t xml:space="preserve">.  </w:t>
      </w:r>
      <w:r w:rsidRPr="00181F23">
        <w:rPr>
          <w:color w:val="000099"/>
        </w:rPr>
        <w:t xml:space="preserve">However, it needs to strengthen tactical governance to support continuous improvement. </w:t>
      </w:r>
    </w:p>
    <w:p w14:paraId="4CE6EA1C" w14:textId="18BEB590" w:rsidR="004C459C" w:rsidRPr="00181F23" w:rsidRDefault="00974C2B" w:rsidP="00BD7BF4">
      <w:pPr>
        <w:rPr>
          <w:color w:val="000099"/>
        </w:rPr>
      </w:pPr>
      <w:r w:rsidRPr="00181F23">
        <w:rPr>
          <w:color w:val="000099"/>
        </w:rPr>
        <w:t xml:space="preserve">Neighbourhood policing teams are adequately resourced, and the force monitors abstractions against service level agreements. </w:t>
      </w:r>
      <w:r w:rsidR="002C3ABD" w:rsidRPr="00181F23">
        <w:rPr>
          <w:color w:val="000099"/>
        </w:rPr>
        <w:t xml:space="preserve"> </w:t>
      </w:r>
      <w:r w:rsidRPr="00181F23">
        <w:rPr>
          <w:color w:val="000099"/>
        </w:rPr>
        <w:t xml:space="preserve">However, while governance of antisocial behaviour is developing, the force needs to improve its use of problem-solving plans and antisocial behaviour preventative orders. </w:t>
      </w:r>
    </w:p>
    <w:p w14:paraId="213DF93F" w14:textId="3B62FD05" w:rsidR="00974C2B" w:rsidRPr="00181F23" w:rsidRDefault="00974C2B" w:rsidP="00BD7BF4">
      <w:pPr>
        <w:rPr>
          <w:color w:val="000099"/>
        </w:rPr>
      </w:pPr>
      <w:r w:rsidRPr="00181F23">
        <w:rPr>
          <w:color w:val="000099"/>
        </w:rPr>
        <w:t xml:space="preserve">The force has significantly improved 999 call handling and 101 call abandonment rates. </w:t>
      </w:r>
      <w:r w:rsidR="002C3ABD" w:rsidRPr="00181F23">
        <w:rPr>
          <w:color w:val="000099"/>
        </w:rPr>
        <w:t xml:space="preserve"> </w:t>
      </w:r>
      <w:r w:rsidRPr="00181F23">
        <w:rPr>
          <w:color w:val="000099"/>
        </w:rPr>
        <w:t xml:space="preserve">However, it needs to attend incidents more quickly and set clear expectations for response times. </w:t>
      </w:r>
    </w:p>
    <w:p w14:paraId="68758D83" w14:textId="77777777" w:rsidR="004C459C" w:rsidRPr="00181F23" w:rsidRDefault="004C459C" w:rsidP="00BD7BF4">
      <w:pPr>
        <w:rPr>
          <w:color w:val="000099"/>
        </w:rPr>
      </w:pPr>
    </w:p>
    <w:p w14:paraId="618FBB4E" w14:textId="5EB5ADD9" w:rsidR="00974C2B" w:rsidRPr="00181F23" w:rsidRDefault="00974C2B" w:rsidP="00BD7BF4">
      <w:pPr>
        <w:rPr>
          <w:color w:val="000099"/>
        </w:rPr>
      </w:pPr>
      <w:r w:rsidRPr="00181F23">
        <w:rPr>
          <w:color w:val="000099"/>
        </w:rPr>
        <w:t xml:space="preserve">It is a cause of concern that the force is achieving fewer positive outcomes for victims of crime. </w:t>
      </w:r>
      <w:r w:rsidR="002C3ABD" w:rsidRPr="00181F23">
        <w:rPr>
          <w:color w:val="000099"/>
        </w:rPr>
        <w:t xml:space="preserve"> </w:t>
      </w:r>
      <w:r w:rsidRPr="00181F23">
        <w:rPr>
          <w:color w:val="000099"/>
        </w:rPr>
        <w:t>Overall performance in solving crime hasn’t improved since our last inspection</w:t>
      </w:r>
      <w:r w:rsidR="004C6FB1" w:rsidRPr="00181F23">
        <w:rPr>
          <w:color w:val="000099"/>
        </w:rPr>
        <w:t xml:space="preserve">.  </w:t>
      </w:r>
      <w:r w:rsidRPr="00181F23">
        <w:rPr>
          <w:color w:val="000099"/>
        </w:rPr>
        <w:t xml:space="preserve">This is particularly apparent in serious offences of rape, robbery and violence with injury. </w:t>
      </w:r>
      <w:r w:rsidR="002C3ABD" w:rsidRPr="00181F23">
        <w:rPr>
          <w:color w:val="000099"/>
        </w:rPr>
        <w:t xml:space="preserve"> </w:t>
      </w:r>
      <w:r w:rsidRPr="00181F23">
        <w:rPr>
          <w:color w:val="000099"/>
        </w:rPr>
        <w:t xml:space="preserve">Victims don’t consistently receive the statutory level of support, and there isn’t enough accountability for investigative quality and outcomes. </w:t>
      </w:r>
    </w:p>
    <w:p w14:paraId="4BCF6C42" w14:textId="77777777" w:rsidR="004C459C" w:rsidRPr="00181F23" w:rsidRDefault="004C459C" w:rsidP="00BD7BF4">
      <w:pPr>
        <w:rPr>
          <w:color w:val="000099"/>
        </w:rPr>
      </w:pPr>
    </w:p>
    <w:p w14:paraId="0EC147D1" w14:textId="34B4834C" w:rsidR="004C459C" w:rsidRPr="00181F23" w:rsidRDefault="00974C2B" w:rsidP="00BD7BF4">
      <w:pPr>
        <w:rPr>
          <w:color w:val="000099"/>
        </w:rPr>
      </w:pPr>
      <w:r w:rsidRPr="00181F23">
        <w:rPr>
          <w:color w:val="000099"/>
        </w:rPr>
        <w:t xml:space="preserve">I welcome the force’s collaboration with partner agencies to protect victims, including initiatives such as Operation Satin, which reduces repeated missing from home incidents involving young people. </w:t>
      </w:r>
      <w:r w:rsidR="002C3ABD" w:rsidRPr="00181F23">
        <w:rPr>
          <w:color w:val="000099"/>
        </w:rPr>
        <w:t xml:space="preserve"> </w:t>
      </w:r>
      <w:r w:rsidRPr="00181F23">
        <w:rPr>
          <w:color w:val="000099"/>
        </w:rPr>
        <w:t xml:space="preserve">However, it must improve how it identifies hidden risks in missing from home and domestic abuse incidents and accelerate information sharing, including with education partners. </w:t>
      </w:r>
    </w:p>
    <w:p w14:paraId="426E57D1" w14:textId="433972A8" w:rsidR="004C459C" w:rsidRPr="00181F23" w:rsidRDefault="00974C2B" w:rsidP="00BD7BF4">
      <w:pPr>
        <w:rPr>
          <w:color w:val="000099"/>
        </w:rPr>
      </w:pPr>
      <w:r w:rsidRPr="00181F23">
        <w:rPr>
          <w:color w:val="000099"/>
        </w:rPr>
        <w:t xml:space="preserve">The force understands the threat of fraud but needs to improve how it allocates fraud investigations and trains the workforce. </w:t>
      </w:r>
    </w:p>
    <w:p w14:paraId="077CCE46" w14:textId="729008F4" w:rsidR="00974C2B" w:rsidRPr="00181F23" w:rsidRDefault="00974C2B" w:rsidP="00BD7BF4">
      <w:pPr>
        <w:rPr>
          <w:color w:val="000099"/>
        </w:rPr>
      </w:pPr>
      <w:r w:rsidRPr="00181F23">
        <w:rPr>
          <w:color w:val="000099"/>
        </w:rPr>
        <w:t>Custody provision is safe, and officers and staff treat detainees with dignity.</w:t>
      </w:r>
      <w:r w:rsidR="002C3ABD" w:rsidRPr="00181F23">
        <w:rPr>
          <w:color w:val="000099"/>
        </w:rPr>
        <w:t xml:space="preserve"> </w:t>
      </w:r>
      <w:r w:rsidRPr="00181F23">
        <w:rPr>
          <w:color w:val="000099"/>
        </w:rPr>
        <w:t xml:space="preserve"> However, the force must improve the consistency of audits and performance monitoring to provide quality assurance. </w:t>
      </w:r>
    </w:p>
    <w:p w14:paraId="0E027B12" w14:textId="77777777" w:rsidR="004C459C" w:rsidRPr="00181F23" w:rsidRDefault="004C459C" w:rsidP="00BD7BF4">
      <w:pPr>
        <w:rPr>
          <w:color w:val="000099"/>
        </w:rPr>
      </w:pPr>
    </w:p>
    <w:p w14:paraId="279F0B26" w14:textId="5A0208C7" w:rsidR="00353005" w:rsidRPr="00181F23" w:rsidRDefault="00974C2B" w:rsidP="00BD7BF4">
      <w:pPr>
        <w:rPr>
          <w:color w:val="000099"/>
        </w:rPr>
      </w:pPr>
      <w:r w:rsidRPr="00181F23">
        <w:rPr>
          <w:color w:val="000099"/>
        </w:rPr>
        <w:t>I have given Northamptonshire Police specific recommendations that set out the areas it needs to focus on, and we will continue to monitor performance.</w:t>
      </w:r>
      <w:r w:rsidR="00353005" w:rsidRPr="00181F23">
        <w:rPr>
          <w:color w:val="000099"/>
        </w:rPr>
        <w:t>”</w:t>
      </w:r>
    </w:p>
    <w:p w14:paraId="1B7B6E66" w14:textId="77777777" w:rsidR="00353005" w:rsidRPr="00A653A1" w:rsidRDefault="00353005" w:rsidP="00BD7BF4"/>
    <w:p w14:paraId="4E2856AA" w14:textId="77777777" w:rsidR="003C030C" w:rsidRDefault="003C030C" w:rsidP="00BD7BF4"/>
    <w:p w14:paraId="764F3A7A" w14:textId="77777777" w:rsidR="003C030C" w:rsidRDefault="003C030C" w:rsidP="00BD7BF4"/>
    <w:p w14:paraId="370C9A85" w14:textId="7C91895A" w:rsidR="00353005" w:rsidRPr="00A653A1" w:rsidRDefault="00353005" w:rsidP="00A653A1">
      <w:r w:rsidRPr="00A653A1">
        <w:lastRenderedPageBreak/>
        <w:t>Chief Constable Ivan Balhatchet said:</w:t>
      </w:r>
    </w:p>
    <w:p w14:paraId="62DC48E8" w14:textId="7A53B143" w:rsidR="003B518F" w:rsidRPr="00037C48" w:rsidRDefault="00353005" w:rsidP="00A653A1">
      <w:pPr>
        <w:rPr>
          <w:rFonts w:asciiTheme="minorHAnsi" w:eastAsia="Times New Roman" w:hAnsiTheme="minorHAnsi" w:cstheme="minorHAnsi"/>
          <w:color w:val="000099"/>
          <w:szCs w:val="20"/>
          <w:lang w:eastAsia="en-GB"/>
        </w:rPr>
      </w:pPr>
      <w:r w:rsidRPr="00037C48">
        <w:rPr>
          <w:color w:val="000099"/>
        </w:rPr>
        <w:t>"</w:t>
      </w:r>
      <w:r w:rsidR="003B518F" w:rsidRPr="00037C48">
        <w:rPr>
          <w:rFonts w:asciiTheme="minorHAnsi" w:eastAsia="Times New Roman" w:hAnsiTheme="minorHAnsi" w:cstheme="minorHAnsi"/>
          <w:color w:val="000099"/>
          <w:szCs w:val="20"/>
          <w:lang w:eastAsia="en-GB"/>
        </w:rPr>
        <w:t>The findings for Northamptonshire Police in some respects mirrored the annual State of Policing report published last autumn with many of the national policing challenges playing out here locally.</w:t>
      </w:r>
    </w:p>
    <w:p w14:paraId="37E5C60C" w14:textId="7A69EF2C" w:rsidR="003B518F" w:rsidRPr="00037C48" w:rsidRDefault="0062040B" w:rsidP="00A653A1">
      <w:pPr>
        <w:rPr>
          <w:rFonts w:asciiTheme="minorHAnsi" w:eastAsia="Times New Roman" w:hAnsiTheme="minorHAnsi" w:cstheme="minorHAnsi"/>
          <w:color w:val="000099"/>
          <w:szCs w:val="20"/>
          <w:lang w:eastAsia="en-GB"/>
        </w:rPr>
      </w:pPr>
      <w:r w:rsidRPr="00037C48">
        <w:rPr>
          <w:rFonts w:asciiTheme="minorHAnsi" w:eastAsia="Times New Roman" w:hAnsiTheme="minorHAnsi" w:cstheme="minorHAnsi"/>
          <w:color w:val="000099"/>
          <w:szCs w:val="20"/>
          <w:lang w:eastAsia="en-GB"/>
        </w:rPr>
        <w:t>I am</w:t>
      </w:r>
      <w:r w:rsidR="003B518F" w:rsidRPr="00037C48">
        <w:rPr>
          <w:rFonts w:asciiTheme="minorHAnsi" w:eastAsia="Times New Roman" w:hAnsiTheme="minorHAnsi" w:cstheme="minorHAnsi"/>
          <w:color w:val="000099"/>
          <w:szCs w:val="20"/>
          <w:lang w:eastAsia="en-GB"/>
        </w:rPr>
        <w:t xml:space="preserve"> encouraged by HMIC</w:t>
      </w:r>
      <w:r w:rsidRPr="00037C48">
        <w:rPr>
          <w:rFonts w:asciiTheme="minorHAnsi" w:eastAsia="Times New Roman" w:hAnsiTheme="minorHAnsi" w:cstheme="minorHAnsi"/>
          <w:color w:val="000099"/>
          <w:szCs w:val="20"/>
          <w:lang w:eastAsia="en-GB"/>
        </w:rPr>
        <w:t>FRS</w:t>
      </w:r>
      <w:r w:rsidR="003B518F" w:rsidRPr="00037C48">
        <w:rPr>
          <w:rFonts w:asciiTheme="minorHAnsi" w:eastAsia="Times New Roman" w:hAnsiTheme="minorHAnsi" w:cstheme="minorHAnsi"/>
          <w:color w:val="000099"/>
          <w:szCs w:val="20"/>
          <w:lang w:eastAsia="en-GB"/>
        </w:rPr>
        <w:t xml:space="preserve"> highlighting some of the areas where performance is strong, including workforce well-being and safeguarding children and vulnerable adults.</w:t>
      </w:r>
    </w:p>
    <w:p w14:paraId="04EB8511" w14:textId="1FCD03E9" w:rsidR="003B518F" w:rsidRPr="00037C48" w:rsidRDefault="003B518F" w:rsidP="00A653A1">
      <w:pPr>
        <w:rPr>
          <w:rFonts w:asciiTheme="minorHAnsi" w:eastAsia="Times New Roman" w:hAnsiTheme="minorHAnsi" w:cstheme="minorHAnsi"/>
          <w:color w:val="000099"/>
          <w:szCs w:val="20"/>
          <w:lang w:eastAsia="en-GB"/>
        </w:rPr>
      </w:pPr>
      <w:r w:rsidRPr="00037C48">
        <w:rPr>
          <w:rFonts w:asciiTheme="minorHAnsi" w:eastAsia="Times New Roman" w:hAnsiTheme="minorHAnsi" w:cstheme="minorHAnsi"/>
          <w:color w:val="000099"/>
          <w:szCs w:val="20"/>
          <w:lang w:eastAsia="en-GB"/>
        </w:rPr>
        <w:t xml:space="preserve">The PEEL report is such an important indicator of our overall progress during the past two years. </w:t>
      </w:r>
      <w:r w:rsidR="003E2FF1" w:rsidRPr="00037C48">
        <w:rPr>
          <w:rFonts w:asciiTheme="minorHAnsi" w:eastAsia="Times New Roman" w:hAnsiTheme="minorHAnsi" w:cstheme="minorHAnsi"/>
          <w:color w:val="000099"/>
          <w:szCs w:val="20"/>
          <w:lang w:eastAsia="en-GB"/>
        </w:rPr>
        <w:t xml:space="preserve"> </w:t>
      </w:r>
      <w:r w:rsidRPr="00037C48">
        <w:rPr>
          <w:rFonts w:asciiTheme="minorHAnsi" w:eastAsia="Times New Roman" w:hAnsiTheme="minorHAnsi" w:cstheme="minorHAnsi"/>
          <w:color w:val="000099"/>
          <w:szCs w:val="20"/>
          <w:lang w:eastAsia="en-GB"/>
        </w:rPr>
        <w:t>There is no hiding away from the findings around investigations, but I remain absolutely confident in our vision and strategy to drive up performance in an area which has been challenging for many police forces in recent years.</w:t>
      </w:r>
    </w:p>
    <w:p w14:paraId="5A5C9452" w14:textId="33F64FF1" w:rsidR="003B518F" w:rsidRPr="00037C48" w:rsidRDefault="003B518F" w:rsidP="00A653A1">
      <w:pPr>
        <w:rPr>
          <w:rFonts w:asciiTheme="minorHAnsi" w:eastAsia="Times New Roman" w:hAnsiTheme="minorHAnsi" w:cstheme="minorHAnsi"/>
          <w:color w:val="000099"/>
          <w:szCs w:val="20"/>
          <w:lang w:eastAsia="en-GB"/>
        </w:rPr>
      </w:pPr>
      <w:r w:rsidRPr="00037C48">
        <w:rPr>
          <w:rFonts w:asciiTheme="minorHAnsi" w:eastAsia="Times New Roman" w:hAnsiTheme="minorHAnsi" w:cstheme="minorHAnsi"/>
          <w:color w:val="000099"/>
          <w:szCs w:val="20"/>
          <w:lang w:eastAsia="en-GB"/>
        </w:rPr>
        <w:t>Not too long ago, we had local police stations closed, we had reduced both neighbourhood policing and our cohort of Police Community Support Officers (PCSOs), but these are now being reversed.</w:t>
      </w:r>
    </w:p>
    <w:p w14:paraId="2CB30201" w14:textId="6511DAF6" w:rsidR="003B518F" w:rsidRPr="00037C48" w:rsidRDefault="003B518F" w:rsidP="00A653A1">
      <w:pPr>
        <w:rPr>
          <w:rFonts w:asciiTheme="minorHAnsi" w:eastAsia="Times New Roman" w:hAnsiTheme="minorHAnsi" w:cstheme="minorHAnsi"/>
          <w:color w:val="000099"/>
          <w:szCs w:val="20"/>
          <w:lang w:eastAsia="en-GB"/>
        </w:rPr>
      </w:pPr>
      <w:r w:rsidRPr="00037C48">
        <w:rPr>
          <w:rFonts w:asciiTheme="minorHAnsi" w:eastAsia="Times New Roman" w:hAnsiTheme="minorHAnsi" w:cstheme="minorHAnsi"/>
          <w:color w:val="000099"/>
          <w:szCs w:val="20"/>
          <w:lang w:eastAsia="en-GB"/>
        </w:rPr>
        <w:t xml:space="preserve">There have been other factors too in the background </w:t>
      </w:r>
      <w:r w:rsidR="001B1D72" w:rsidRPr="00037C48">
        <w:rPr>
          <w:rFonts w:asciiTheme="minorHAnsi" w:eastAsia="Times New Roman" w:hAnsiTheme="minorHAnsi" w:cstheme="minorHAnsi"/>
          <w:color w:val="000099"/>
          <w:szCs w:val="20"/>
          <w:lang w:eastAsia="en-GB"/>
        </w:rPr>
        <w:t>–</w:t>
      </w:r>
      <w:r w:rsidRPr="00037C48">
        <w:rPr>
          <w:rFonts w:asciiTheme="minorHAnsi" w:eastAsia="Times New Roman" w:hAnsiTheme="minorHAnsi" w:cstheme="minorHAnsi"/>
          <w:color w:val="000099"/>
          <w:szCs w:val="20"/>
          <w:lang w:eastAsia="en-GB"/>
        </w:rPr>
        <w:t xml:space="preserve"> a</w:t>
      </w:r>
      <w:r w:rsidR="001B1D72" w:rsidRPr="00037C48">
        <w:rPr>
          <w:rFonts w:asciiTheme="minorHAnsi" w:eastAsia="Times New Roman" w:hAnsiTheme="minorHAnsi" w:cstheme="minorHAnsi"/>
          <w:color w:val="000099"/>
          <w:szCs w:val="20"/>
          <w:lang w:eastAsia="en-GB"/>
        </w:rPr>
        <w:t xml:space="preserve"> </w:t>
      </w:r>
      <w:r w:rsidRPr="00037C48">
        <w:rPr>
          <w:rFonts w:asciiTheme="minorHAnsi" w:eastAsia="Times New Roman" w:hAnsiTheme="minorHAnsi" w:cstheme="minorHAnsi"/>
          <w:color w:val="000099"/>
          <w:szCs w:val="20"/>
          <w:lang w:eastAsia="en-GB"/>
        </w:rPr>
        <w:t>fast-growing population, greater challenges in complexity of what police officers are dealing with, including mental health, and real challenges within the criminal justice system.</w:t>
      </w:r>
    </w:p>
    <w:p w14:paraId="6A60AFA3" w14:textId="559FD780" w:rsidR="003B518F" w:rsidRPr="00037C48" w:rsidRDefault="003B518F" w:rsidP="00A653A1">
      <w:pPr>
        <w:rPr>
          <w:rFonts w:asciiTheme="minorHAnsi" w:eastAsia="Times New Roman" w:hAnsiTheme="minorHAnsi" w:cstheme="minorHAnsi"/>
          <w:color w:val="000099"/>
          <w:szCs w:val="20"/>
          <w:lang w:eastAsia="en-GB"/>
        </w:rPr>
      </w:pPr>
      <w:r w:rsidRPr="00037C48">
        <w:rPr>
          <w:rFonts w:asciiTheme="minorHAnsi" w:eastAsia="Times New Roman" w:hAnsiTheme="minorHAnsi" w:cstheme="minorHAnsi"/>
          <w:color w:val="000099"/>
          <w:szCs w:val="20"/>
          <w:lang w:eastAsia="en-GB"/>
        </w:rPr>
        <w:t>Set against that context, there are many positives to be drawn from this report which is really important in terms of us building public trust and confidence.</w:t>
      </w:r>
    </w:p>
    <w:p w14:paraId="1A3EE0CD" w14:textId="20ADEF72" w:rsidR="003B518F" w:rsidRPr="00037C48" w:rsidRDefault="003B518F" w:rsidP="00A653A1">
      <w:pPr>
        <w:rPr>
          <w:rFonts w:asciiTheme="minorHAnsi" w:eastAsia="Times New Roman" w:hAnsiTheme="minorHAnsi" w:cstheme="minorHAnsi"/>
          <w:color w:val="000099"/>
          <w:szCs w:val="20"/>
          <w:lang w:eastAsia="en-GB"/>
        </w:rPr>
      </w:pPr>
      <w:r w:rsidRPr="00037C48">
        <w:rPr>
          <w:rFonts w:asciiTheme="minorHAnsi" w:eastAsia="Times New Roman" w:hAnsiTheme="minorHAnsi" w:cstheme="minorHAnsi"/>
          <w:color w:val="000099"/>
          <w:szCs w:val="20"/>
          <w:lang w:eastAsia="en-GB"/>
        </w:rPr>
        <w:t>I am so proud to lead Northamptonshire Police, a Force whose incredible officers and staff work daily to achieve my ambition to make our county the safest in the UK.</w:t>
      </w:r>
      <w:r w:rsidR="00A653A1" w:rsidRPr="00037C48">
        <w:rPr>
          <w:rFonts w:asciiTheme="minorHAnsi" w:eastAsia="Times New Roman" w:hAnsiTheme="minorHAnsi" w:cstheme="minorHAnsi"/>
          <w:color w:val="000099"/>
          <w:szCs w:val="20"/>
          <w:lang w:eastAsia="en-GB"/>
        </w:rPr>
        <w:t xml:space="preserve"> </w:t>
      </w:r>
      <w:r w:rsidRPr="00037C48">
        <w:rPr>
          <w:rFonts w:asciiTheme="minorHAnsi" w:eastAsia="Times New Roman" w:hAnsiTheme="minorHAnsi" w:cstheme="minorHAnsi"/>
          <w:color w:val="000099"/>
          <w:szCs w:val="20"/>
          <w:lang w:eastAsia="en-GB"/>
        </w:rPr>
        <w:t xml:space="preserve"> The learning taken from this report is vital in achieving that vision."</w:t>
      </w:r>
    </w:p>
    <w:p w14:paraId="5BFAAF9E" w14:textId="77777777" w:rsidR="00345936" w:rsidRPr="00345936" w:rsidRDefault="00345936" w:rsidP="00A653A1"/>
    <w:p w14:paraId="3B301F68" w14:textId="48B035B2" w:rsidR="00345936" w:rsidRDefault="004E6938" w:rsidP="00A653A1">
      <w:r>
        <w:t>In addition</w:t>
      </w:r>
      <w:r w:rsidR="00345936" w:rsidRPr="00345936">
        <w:t>, the Force was subject to the National Child Protection Inspection with results published in August 2025.  HMICFRS assessed Northamptonshire across five areas, grading the force as ‘good’ in one area, ‘adequate’ in two and ‘requires improvement’ in two.  Inspectors found the force works well with safeguarding partners, carries out effective risk assessments with</w:t>
      </w:r>
      <w:r w:rsidR="00345936">
        <w:t xml:space="preserve"> other agencies, and provides appropriate support for staff working in child protection roles.</w:t>
      </w:r>
    </w:p>
    <w:p w14:paraId="4031BEE9" w14:textId="77777777" w:rsidR="00345936" w:rsidRDefault="00345936" w:rsidP="005B6961">
      <w:r>
        <w:t xml:space="preserve">However, HMICFRS said the force must improve how it assesses risk and responds to children reported missing, and ensure children exposed to domestic abuse are recognised and safeguarded appropriately.  The inspectorate also called for child protection to be more </w:t>
      </w:r>
      <w:r>
        <w:t>clearly prioritised within strategies and policies, and for children’s views and concerns to be consistently recorded and shared.</w:t>
      </w:r>
    </w:p>
    <w:p w14:paraId="4F75BA39" w14:textId="77777777" w:rsidR="00345936" w:rsidRDefault="00345936" w:rsidP="005B6961">
      <w:r>
        <w:t>HM Inspector Michelle Skeer welcomed the force’s partnership working and support for staff, but said further improvements were needed.  She noted the force responded promptly to inspection feedback, had already begun making changes, and confirmed HMICFRS would continue to monitor progress.</w:t>
      </w:r>
    </w:p>
    <w:p w14:paraId="1B501759" w14:textId="77777777" w:rsidR="00353005" w:rsidRPr="000E2186" w:rsidRDefault="00353005" w:rsidP="005B6961">
      <w:pPr>
        <w:rPr>
          <w:highlight w:val="yellow"/>
        </w:rPr>
      </w:pPr>
    </w:p>
    <w:p w14:paraId="16264C3F" w14:textId="77777777" w:rsidR="00353005" w:rsidRPr="00554CA7" w:rsidRDefault="00353005" w:rsidP="003356AE">
      <w:pPr>
        <w:pStyle w:val="VAHeadingLevel2"/>
        <w:spacing w:line="240" w:lineRule="auto"/>
      </w:pPr>
      <w:bookmarkStart w:id="36" w:name="_Hlk167360062"/>
      <w:bookmarkEnd w:id="35"/>
      <w:r w:rsidRPr="00554CA7">
        <w:t xml:space="preserve">The Accountability Board </w:t>
      </w:r>
    </w:p>
    <w:p w14:paraId="2D269638" w14:textId="77777777" w:rsidR="00CB6668" w:rsidRPr="00444CFE" w:rsidRDefault="00CB6668" w:rsidP="005B6961">
      <w:r w:rsidRPr="00444CFE">
        <w:t xml:space="preserve">The accountability for performance and service delivery is undertaken through the Accountability Board.  Members of the board are the Commissioner (the Chair), the Monitoring Officer, the Chief Constable and other Chief Officers.  There is a formal agenda which will have a schedule of assurance in the form of standard agenda items. </w:t>
      </w:r>
      <w:r>
        <w:t xml:space="preserve"> </w:t>
      </w:r>
      <w:r w:rsidRPr="00444CFE">
        <w:t>These will be discussed and agreed with the Force at an agenda setting meeting.</w:t>
      </w:r>
    </w:p>
    <w:p w14:paraId="3C5D9C90" w14:textId="77777777" w:rsidR="00CB6668" w:rsidRPr="00444CFE" w:rsidRDefault="00CB6668" w:rsidP="005B6961"/>
    <w:p w14:paraId="6E4C1F52" w14:textId="77777777" w:rsidR="00CB6668" w:rsidRPr="00444CFE" w:rsidRDefault="00CB6668" w:rsidP="005B6961">
      <w:r w:rsidRPr="00444CFE">
        <w:t>The records of the Accountability Board are published on the OPFCC website.  Areas for discussion and accountability include:</w:t>
      </w:r>
    </w:p>
    <w:p w14:paraId="795A72EA" w14:textId="77777777" w:rsidR="00CB6668" w:rsidRPr="00444CFE" w:rsidRDefault="00CB6668" w:rsidP="003356AE">
      <w:pPr>
        <w:pStyle w:val="RedBullet"/>
        <w:spacing w:line="240" w:lineRule="auto"/>
        <w:ind w:left="426"/>
      </w:pPr>
      <w:r w:rsidRPr="00444CFE">
        <w:t>Focus on areas of concern in performance and service delivery at a strategic level</w:t>
      </w:r>
    </w:p>
    <w:p w14:paraId="1DF76B07" w14:textId="77777777" w:rsidR="00CB6668" w:rsidRPr="00444CFE" w:rsidRDefault="00CB6668" w:rsidP="003356AE">
      <w:pPr>
        <w:pStyle w:val="RedBullet"/>
        <w:spacing w:line="240" w:lineRule="auto"/>
        <w:ind w:left="426"/>
      </w:pPr>
      <w:r w:rsidRPr="00444CFE">
        <w:t xml:space="preserve">Discussions between the Force and the OPFCC in respect of the strategic budget setting and medium-term financial planning </w:t>
      </w:r>
    </w:p>
    <w:p w14:paraId="37D1B44D" w14:textId="77777777" w:rsidR="00CB6668" w:rsidRPr="00EC7852" w:rsidRDefault="00CB6668" w:rsidP="003356AE">
      <w:pPr>
        <w:pStyle w:val="RedBullet"/>
        <w:spacing w:line="240" w:lineRule="auto"/>
        <w:ind w:left="426"/>
      </w:pPr>
      <w:r w:rsidRPr="00444CFE">
        <w:t xml:space="preserve">Strategic consideration of key identified corporate level </w:t>
      </w:r>
      <w:r w:rsidRPr="00EC7852">
        <w:t>risks and scrutiny activity</w:t>
      </w:r>
    </w:p>
    <w:p w14:paraId="1D7F97E8" w14:textId="77777777" w:rsidR="00353005" w:rsidRPr="00EC7852" w:rsidRDefault="00353005" w:rsidP="003356AE">
      <w:pPr>
        <w:spacing w:line="240" w:lineRule="auto"/>
      </w:pPr>
    </w:p>
    <w:p w14:paraId="42F373BA" w14:textId="77777777" w:rsidR="00353005" w:rsidRPr="00EC7852" w:rsidRDefault="00353005" w:rsidP="003356AE">
      <w:pPr>
        <w:pStyle w:val="VAHeadingLevel2"/>
        <w:spacing w:line="240" w:lineRule="auto"/>
      </w:pPr>
      <w:r w:rsidRPr="00EC7852">
        <w:t xml:space="preserve">Review of </w:t>
      </w:r>
      <w:r w:rsidRPr="00943DA3">
        <w:t>Complaints</w:t>
      </w:r>
      <w:r w:rsidRPr="00EC7852">
        <w:t xml:space="preserve"> against the Force </w:t>
      </w:r>
    </w:p>
    <w:p w14:paraId="1C4DD345" w14:textId="77777777" w:rsidR="00EC7852" w:rsidRPr="00444CFE" w:rsidRDefault="00EC7852" w:rsidP="005B6961">
      <w:bookmarkStart w:id="37" w:name="_Hlk135120550"/>
      <w:bookmarkEnd w:id="36"/>
      <w:r w:rsidRPr="00EC7852">
        <w:t>All PCCs became the relevant review body for less serious complaints and were given additional oversight and accountability</w:t>
      </w:r>
      <w:r w:rsidRPr="00444CFE">
        <w:t xml:space="preserve"> responsibilities in relation to the complaints process.  Prior to the implementation of the Policing and Crime Act 2017, a complaint was only considered recordable where it related to the conduct of a specific officer.  Post February 2020, the definition of a complaint has been updated to ‘any expression of dissatisfaction’.</w:t>
      </w:r>
    </w:p>
    <w:p w14:paraId="70AEB224" w14:textId="77777777" w:rsidR="00EC7852" w:rsidRPr="00444CFE" w:rsidRDefault="00EC7852" w:rsidP="005B6961"/>
    <w:p w14:paraId="78F4F221" w14:textId="77777777" w:rsidR="00EC7852" w:rsidRPr="00444CFE" w:rsidRDefault="00EC7852" w:rsidP="005B6961">
      <w:r w:rsidRPr="00444CFE">
        <w:t xml:space="preserve">The OPFCC Customer Service Team is responsible for the receipt and recording of complaints against the Force, the informal resolution of low-level complaints and for ensuring that all reviews are appropriately processed and considered.  By taking responsibility for recording complaints, the PFCC has a clearer overview of the </w:t>
      </w:r>
      <w:r w:rsidRPr="00444CFE">
        <w:lastRenderedPageBreak/>
        <w:t xml:space="preserve">issues that are causing concern to the public.  Any lessons to learn are now captured on a force-wide basis and passed to the Chief Constable to support on-going improvements. </w:t>
      </w:r>
    </w:p>
    <w:bookmarkEnd w:id="37"/>
    <w:p w14:paraId="7CF9176F" w14:textId="77777777" w:rsidR="00353005" w:rsidRPr="000E2186" w:rsidRDefault="00353005" w:rsidP="005B6961">
      <w:pPr>
        <w:rPr>
          <w:highlight w:val="yellow"/>
        </w:rPr>
      </w:pPr>
    </w:p>
    <w:p w14:paraId="7B050970" w14:textId="77777777" w:rsidR="00353005" w:rsidRPr="000E5ABA" w:rsidRDefault="00353005" w:rsidP="003356AE">
      <w:pPr>
        <w:pStyle w:val="NarrativeHeading"/>
      </w:pPr>
      <w:bookmarkStart w:id="38" w:name="_Toc231216711"/>
      <w:r w:rsidRPr="000E5ABA">
        <w:t>External Factors</w:t>
      </w:r>
      <w:bookmarkEnd w:id="38"/>
    </w:p>
    <w:p w14:paraId="0B48014E" w14:textId="77777777" w:rsidR="00353005" w:rsidRPr="000E2186" w:rsidRDefault="00353005" w:rsidP="003356AE">
      <w:pPr>
        <w:numPr>
          <w:ilvl w:val="2"/>
          <w:numId w:val="0"/>
        </w:numPr>
        <w:tabs>
          <w:tab w:val="left" w:pos="1985"/>
        </w:tabs>
        <w:spacing w:line="240" w:lineRule="auto"/>
        <w:jc w:val="left"/>
        <w:rPr>
          <w:rFonts w:eastAsia="Times New Roman" w:cs="Times New Roman"/>
          <w:bCs/>
          <w:color w:val="25316C"/>
          <w:highlight w:val="yellow"/>
        </w:rPr>
      </w:pPr>
    </w:p>
    <w:p w14:paraId="0E235D2C" w14:textId="422C67FC" w:rsidR="00F32032" w:rsidRPr="00F86A3A" w:rsidRDefault="00F32032" w:rsidP="003356AE">
      <w:pPr>
        <w:pStyle w:val="VAHeadingLevel2"/>
        <w:spacing w:line="240" w:lineRule="auto"/>
      </w:pPr>
      <w:bookmarkStart w:id="39" w:name="_Hlk167360110"/>
      <w:r w:rsidRPr="00F86A3A">
        <w:t xml:space="preserve">National </w:t>
      </w:r>
      <w:r w:rsidR="0023127B">
        <w:t>Funding Position</w:t>
      </w:r>
      <w:r w:rsidRPr="00F86A3A">
        <w:t xml:space="preserve"> </w:t>
      </w:r>
    </w:p>
    <w:bookmarkEnd w:id="39"/>
    <w:p w14:paraId="7DBA1249" w14:textId="65B70F4C" w:rsidR="00F32032" w:rsidRPr="00F86A3A" w:rsidRDefault="00F32032" w:rsidP="005B6961">
      <w:r w:rsidRPr="00F86A3A">
        <w:t xml:space="preserve">One of the PFCC key roles is to lobby central Government on behalf of the public in Northamptonshire.  During the year, the PFCC continued to lobby for both a fairer funding settlement from the funding formula review and the opportunity to set a precept level based on local needs and circumstances.  PFCCs await information on the potential precept flexibility and grant levels beyond 2026/27 which will need to be considered in terms of affordability for local taxpayers and </w:t>
      </w:r>
      <w:proofErr w:type="gramStart"/>
      <w:r w:rsidRPr="00F86A3A">
        <w:t>long term</w:t>
      </w:r>
      <w:proofErr w:type="gramEnd"/>
      <w:r w:rsidRPr="00F86A3A">
        <w:t xml:space="preserve"> sustainable funding for policing in the future.  The spending review announcements in Spring 25 provided some </w:t>
      </w:r>
      <w:proofErr w:type="gramStart"/>
      <w:r w:rsidRPr="00F86A3A">
        <w:t>high level</w:t>
      </w:r>
      <w:proofErr w:type="gramEnd"/>
      <w:r w:rsidRPr="00F86A3A">
        <w:t xml:space="preserve"> information on funding across government departments to assist future planning.</w:t>
      </w:r>
    </w:p>
    <w:p w14:paraId="665C684A" w14:textId="77777777" w:rsidR="00F32032" w:rsidRPr="00F86A3A" w:rsidRDefault="00F32032" w:rsidP="005B6961">
      <w:pPr>
        <w:rPr>
          <w:szCs w:val="20"/>
        </w:rPr>
      </w:pPr>
    </w:p>
    <w:p w14:paraId="0219BCC6" w14:textId="731C351C" w:rsidR="00F32032" w:rsidRPr="00F86A3A" w:rsidRDefault="00F32032" w:rsidP="003356AE">
      <w:pPr>
        <w:pStyle w:val="VAHeadingLevel2"/>
        <w:spacing w:line="240" w:lineRule="auto"/>
      </w:pPr>
      <w:r w:rsidRPr="00F86A3A">
        <w:t>Central Government</w:t>
      </w:r>
      <w:r w:rsidR="0023127B">
        <w:t xml:space="preserve"> </w:t>
      </w:r>
      <w:r w:rsidR="0023127B" w:rsidRPr="005A34AB">
        <w:t>Strategy</w:t>
      </w:r>
      <w:r w:rsidRPr="00F86A3A">
        <w:t xml:space="preserve">  </w:t>
      </w:r>
    </w:p>
    <w:p w14:paraId="2B48813A" w14:textId="33D9D465" w:rsidR="00F32032" w:rsidRPr="00226EB0" w:rsidRDefault="00F32032" w:rsidP="005B6961">
      <w:r w:rsidRPr="00226EB0">
        <w:t>The Home Secretary produces the Strategic Policing Requirement, which outlines the resources and capabilities that are required for Northamptonshire to support any national efforts to prevent and deter threats to National Security.</w:t>
      </w:r>
    </w:p>
    <w:p w14:paraId="1792612B" w14:textId="77777777" w:rsidR="00F32032" w:rsidRPr="00226EB0" w:rsidRDefault="00F32032" w:rsidP="005B6961">
      <w:r w:rsidRPr="00226EB0">
        <w:t>The PFCC has a statutory duty to have regard to this and continues to ensure that Northamptonshire contributes to the national agenda with appropriate levels of resourcing whenever required.  This includes lobbying the Government (in particular, the Home Office and Ministry of Justice) for change that will make a difference to the safety of residents in Northamptonshire.</w:t>
      </w:r>
    </w:p>
    <w:p w14:paraId="65A672F4" w14:textId="77777777" w:rsidR="00F32032" w:rsidRPr="00226EB0" w:rsidRDefault="00F32032" w:rsidP="005B6961"/>
    <w:p w14:paraId="3D94EDA8" w14:textId="77777777" w:rsidR="00F32032" w:rsidRPr="000B647F" w:rsidRDefault="00F32032" w:rsidP="003356AE">
      <w:pPr>
        <w:pStyle w:val="VAHeadingLevel2"/>
        <w:spacing w:line="240" w:lineRule="auto"/>
      </w:pPr>
      <w:r w:rsidRPr="000B647F">
        <w:t xml:space="preserve">Local Perspective </w:t>
      </w:r>
    </w:p>
    <w:p w14:paraId="3BBE2BB6" w14:textId="0807461E" w:rsidR="00F32032" w:rsidRPr="000B647F" w:rsidRDefault="00F32032" w:rsidP="005B6961">
      <w:r w:rsidRPr="000B647F">
        <w:t>The public ultimately hold policing to account.  At local level taxpayers vote for the PFCC in each policing geographical area as well as paying for the police element of the council tax.</w:t>
      </w:r>
    </w:p>
    <w:p w14:paraId="504DF019" w14:textId="7003138D" w:rsidR="00F32032" w:rsidRPr="009809C4" w:rsidRDefault="00F32032" w:rsidP="005B6961">
      <w:r w:rsidRPr="000B647F">
        <w:t xml:space="preserve">Before deciding on the level of precept, the PFCC undertook as wide a range of consultation as possible to obtain the views of Northamptonshire residents. </w:t>
      </w:r>
    </w:p>
    <w:p w14:paraId="5900CF70" w14:textId="77777777" w:rsidR="00F32032" w:rsidRPr="0084795F" w:rsidRDefault="00F32032" w:rsidP="005B6961">
      <w:r w:rsidRPr="000B647F">
        <w:t xml:space="preserve">The highlights from the consultations informed the PFCC precept proposals and the consultation reports are </w:t>
      </w:r>
      <w:r w:rsidRPr="0084795F">
        <w:t>available on the OPFCC website.</w:t>
      </w:r>
    </w:p>
    <w:p w14:paraId="6CA01D14" w14:textId="77777777" w:rsidR="00353005" w:rsidRDefault="00353005" w:rsidP="005B6961"/>
    <w:p w14:paraId="3A9E1558" w14:textId="77777777" w:rsidR="00047855" w:rsidRDefault="00047855" w:rsidP="003356AE">
      <w:pPr>
        <w:pStyle w:val="VAHeadingLevel2"/>
        <w:spacing w:line="240" w:lineRule="auto"/>
      </w:pPr>
    </w:p>
    <w:p w14:paraId="46EE2E75" w14:textId="65604E05" w:rsidR="0002366C" w:rsidRDefault="0002366C" w:rsidP="003356AE">
      <w:pPr>
        <w:pStyle w:val="VAHeadingLevel2"/>
        <w:spacing w:line="240" w:lineRule="auto"/>
      </w:pPr>
      <w:r>
        <w:t xml:space="preserve">Policing </w:t>
      </w:r>
      <w:r w:rsidRPr="005A34AB">
        <w:t>and</w:t>
      </w:r>
      <w:r>
        <w:t xml:space="preserve"> Local Government Reform</w:t>
      </w:r>
    </w:p>
    <w:p w14:paraId="22A299A3" w14:textId="2B6643A4" w:rsidR="00F04C83" w:rsidRDefault="00F04C83" w:rsidP="005B6961">
      <w:r w:rsidRPr="00F04C83">
        <w:t>The UK government announced on 13 November 2025 that Police and Crime Commissioners (PCCs) in England and Wales will be abolished at the end of their current terms, in May 2028.</w:t>
      </w:r>
    </w:p>
    <w:p w14:paraId="0796F557" w14:textId="2A21448B" w:rsidR="007C7164" w:rsidRDefault="004B1225" w:rsidP="005B6961">
      <w:r w:rsidRPr="004B1225">
        <w:t>Abolition will require primary legislation, to be brought forward through planned police reform and devolution legislation</w:t>
      </w:r>
    </w:p>
    <w:p w14:paraId="08070817" w14:textId="77777777" w:rsidR="00E349EE" w:rsidRDefault="00E349EE" w:rsidP="005B6961">
      <w:r>
        <w:t>In areas with combined authority or combined county authority mayors, PCC functions will transfer to the elected mayor.</w:t>
      </w:r>
    </w:p>
    <w:p w14:paraId="143DBEB6" w14:textId="5EC48EA6" w:rsidR="00F04C83" w:rsidRDefault="00E349EE" w:rsidP="005B6961">
      <w:r>
        <w:t>In areas without a mayor,</w:t>
      </w:r>
      <w:r w:rsidR="005465DD">
        <w:t xml:space="preserve"> as is the case for Northamptonshire,</w:t>
      </w:r>
      <w:r>
        <w:t xml:space="preserve"> functions will transfer to new policing and crime boards, made up primarily of local authority leaders.</w:t>
      </w:r>
      <w:r w:rsidR="00B63C12">
        <w:t xml:space="preserve">  </w:t>
      </w:r>
      <w:r w:rsidR="00F51039">
        <w:t xml:space="preserve">It is expected that a </w:t>
      </w:r>
      <w:proofErr w:type="gramStart"/>
      <w:r w:rsidR="00F51039">
        <w:t>Police</w:t>
      </w:r>
      <w:proofErr w:type="gramEnd"/>
      <w:r w:rsidR="00F51039">
        <w:t>, Fire and Crime Board will be created to reflect both policing and fire responsibilities in Northamptonshire.</w:t>
      </w:r>
    </w:p>
    <w:p w14:paraId="518DC827" w14:textId="77777777" w:rsidR="0090554F" w:rsidRPr="0084795F" w:rsidRDefault="0090554F" w:rsidP="005B6961"/>
    <w:p w14:paraId="55888685" w14:textId="1B1DE73C" w:rsidR="00353005" w:rsidRPr="0084795F" w:rsidRDefault="005B6961" w:rsidP="003356AE">
      <w:pPr>
        <w:pStyle w:val="NarrativeHeading"/>
      </w:pPr>
      <w:bookmarkStart w:id="40" w:name="_Hlk167360488"/>
      <w:r>
        <w:br w:type="column"/>
      </w:r>
      <w:bookmarkStart w:id="41" w:name="_Toc231216712"/>
      <w:r w:rsidR="00353005" w:rsidRPr="0084795F">
        <w:lastRenderedPageBreak/>
        <w:t>Outlook</w:t>
      </w:r>
      <w:bookmarkEnd w:id="41"/>
    </w:p>
    <w:p w14:paraId="719D78B3" w14:textId="77777777" w:rsidR="00353005" w:rsidRPr="0084795F" w:rsidRDefault="00353005" w:rsidP="003356AE">
      <w:pPr>
        <w:spacing w:line="240" w:lineRule="auto"/>
      </w:pPr>
    </w:p>
    <w:p w14:paraId="412C69CE" w14:textId="77777777" w:rsidR="00353005" w:rsidRPr="0084795F" w:rsidRDefault="00353005" w:rsidP="003356AE">
      <w:pPr>
        <w:pStyle w:val="VAHeadingLevel2"/>
        <w:spacing w:line="240" w:lineRule="auto"/>
      </w:pPr>
      <w:r w:rsidRPr="0084795F">
        <w:t>Risks and Opportunities</w:t>
      </w:r>
    </w:p>
    <w:p w14:paraId="5FE3EA90" w14:textId="77777777" w:rsidR="00353005" w:rsidRPr="0084795F" w:rsidRDefault="00353005" w:rsidP="003378EA">
      <w:bookmarkStart w:id="42" w:name="_Hlk167360201"/>
      <w:r w:rsidRPr="0084795F">
        <w:t>There are some significant areas of uncertainty which include:</w:t>
      </w:r>
    </w:p>
    <w:p w14:paraId="119769CB" w14:textId="77777777" w:rsidR="0084795F" w:rsidRPr="0084795F" w:rsidRDefault="0084795F" w:rsidP="003356AE">
      <w:pPr>
        <w:spacing w:line="240" w:lineRule="auto"/>
      </w:pPr>
    </w:p>
    <w:p w14:paraId="78C24139" w14:textId="77777777" w:rsidR="0084795F" w:rsidRPr="0084795F" w:rsidRDefault="0084795F" w:rsidP="003356AE">
      <w:pPr>
        <w:pStyle w:val="VAHeadingLevel3"/>
        <w:spacing w:line="240" w:lineRule="auto"/>
      </w:pPr>
      <w:r w:rsidRPr="0084795F">
        <w:t>Economy</w:t>
      </w:r>
    </w:p>
    <w:p w14:paraId="4F4D158D" w14:textId="77777777" w:rsidR="0084795F" w:rsidRPr="00527C99" w:rsidRDefault="0084795F" w:rsidP="003378EA">
      <w:bookmarkStart w:id="43" w:name="_Hlk190855226"/>
      <w:r w:rsidRPr="0084795F">
        <w:t xml:space="preserve">International conflicts such as those in Iran and Ukraine, and the lasting effects of the pandemic have all had an impact on the national and international economies and cost of living.  Supply chains, fuel and availability of specialist equipment are all significant risks.  In the UK, we continue to face higher costs of living and inflation </w:t>
      </w:r>
      <w:r w:rsidRPr="00527C99">
        <w:t>rates than the Bank of England target.</w:t>
      </w:r>
      <w:bookmarkEnd w:id="43"/>
    </w:p>
    <w:p w14:paraId="0311EE60" w14:textId="77777777" w:rsidR="00353005" w:rsidRPr="00527C99" w:rsidRDefault="00353005" w:rsidP="003356AE">
      <w:pPr>
        <w:spacing w:line="240" w:lineRule="auto"/>
      </w:pPr>
    </w:p>
    <w:p w14:paraId="61F28B73" w14:textId="77777777" w:rsidR="00353005" w:rsidRPr="00527C99" w:rsidRDefault="00353005" w:rsidP="003356AE">
      <w:pPr>
        <w:pStyle w:val="VAHeadingLevel3"/>
        <w:spacing w:line="240" w:lineRule="auto"/>
      </w:pPr>
      <w:r w:rsidRPr="00527C99">
        <w:t>Police Funding Formula</w:t>
      </w:r>
    </w:p>
    <w:p w14:paraId="30DCABEC" w14:textId="77777777" w:rsidR="00353005" w:rsidRPr="00527C99" w:rsidRDefault="00353005" w:rsidP="003378EA">
      <w:r w:rsidRPr="00527C99">
        <w:t>Funding to Police is by way of national police grants and local council tax precept.  There are significant differences between force areas in terms of what funding is provided locally and nationally.</w:t>
      </w:r>
    </w:p>
    <w:p w14:paraId="1CBC51DB" w14:textId="77777777" w:rsidR="00353005" w:rsidRPr="00527C99" w:rsidRDefault="00353005" w:rsidP="003378EA">
      <w:pPr>
        <w:rPr>
          <w:lang w:val="en"/>
        </w:rPr>
      </w:pPr>
    </w:p>
    <w:p w14:paraId="7F9CFF38" w14:textId="43FEF372" w:rsidR="00353005" w:rsidRPr="00527C99" w:rsidRDefault="00353005" w:rsidP="003378EA">
      <w:pPr>
        <w:rPr>
          <w:lang w:val="en-US"/>
        </w:rPr>
      </w:pPr>
      <w:r w:rsidRPr="00527C99">
        <w:rPr>
          <w:lang w:val="en-US"/>
        </w:rPr>
        <w:t xml:space="preserve">The police allocation formula (PAF) is </w:t>
      </w:r>
      <w:r w:rsidR="0091314A" w:rsidRPr="00527C99">
        <w:rPr>
          <w:lang w:val="en-US"/>
        </w:rPr>
        <w:t>a</w:t>
      </w:r>
      <w:r w:rsidRPr="00527C99">
        <w:rPr>
          <w:lang w:val="en-US"/>
        </w:rPr>
        <w:t xml:space="preserve"> calculation that uses various data sources (such as population density) to share money between police authorities in England and Wales.</w:t>
      </w:r>
    </w:p>
    <w:p w14:paraId="44F7FE2E" w14:textId="77777777" w:rsidR="00353005" w:rsidRPr="00527C99" w:rsidRDefault="00353005" w:rsidP="003378EA">
      <w:pPr>
        <w:rPr>
          <w:lang w:val="en"/>
        </w:rPr>
      </w:pPr>
    </w:p>
    <w:p w14:paraId="78DF07D8" w14:textId="77777777" w:rsidR="00353005" w:rsidRPr="00527C99" w:rsidRDefault="00353005" w:rsidP="003378EA">
      <w:pPr>
        <w:rPr>
          <w:rFonts w:eastAsia="Times New Roman" w:cs="Times New Roman"/>
          <w:bCs/>
          <w:lang w:val="en"/>
        </w:rPr>
      </w:pPr>
      <w:r w:rsidRPr="00527C99">
        <w:t>The National Police Funding Formula was “frozen” in 2011/12 and includes population is a key factor in the allocations.</w:t>
      </w:r>
    </w:p>
    <w:p w14:paraId="1F3CE135" w14:textId="77777777" w:rsidR="00353005" w:rsidRPr="00527C99" w:rsidRDefault="00353005" w:rsidP="003378EA"/>
    <w:p w14:paraId="7D986BEB" w14:textId="77777777" w:rsidR="00353005" w:rsidRPr="000E5ABA" w:rsidRDefault="00353005" w:rsidP="003378EA">
      <w:pPr>
        <w:rPr>
          <w:rFonts w:eastAsia="Times New Roman"/>
          <w:bCs/>
          <w:lang w:val="en"/>
        </w:rPr>
      </w:pPr>
      <w:r w:rsidRPr="00527C99">
        <w:t xml:space="preserve">His Majesty’s Inspectorate of Constabulary (HMICFRS) issue annually the Value for Money profiles which reflect that Northamptonshire’s central police grant per </w:t>
      </w:r>
      <w:r w:rsidRPr="000E5ABA">
        <w:t>head of population is way below the national average.</w:t>
      </w:r>
    </w:p>
    <w:p w14:paraId="5B710304" w14:textId="77777777" w:rsidR="00353005" w:rsidRPr="000E5ABA" w:rsidRDefault="00353005" w:rsidP="003356AE">
      <w:pPr>
        <w:spacing w:line="240" w:lineRule="auto"/>
      </w:pPr>
    </w:p>
    <w:p w14:paraId="198D98FB" w14:textId="77777777" w:rsidR="00353005" w:rsidRPr="000E5ABA" w:rsidRDefault="00353005" w:rsidP="003356AE">
      <w:pPr>
        <w:pStyle w:val="VAHeadingLevel3"/>
        <w:spacing w:line="240" w:lineRule="auto"/>
        <w:rPr>
          <w:rFonts w:eastAsiaTheme="minorEastAsia"/>
        </w:rPr>
      </w:pPr>
      <w:r w:rsidRPr="000E5ABA">
        <w:rPr>
          <w:rFonts w:eastAsiaTheme="minorEastAsia"/>
        </w:rPr>
        <w:t xml:space="preserve">Changing Demand </w:t>
      </w:r>
    </w:p>
    <w:p w14:paraId="68329791" w14:textId="5070A410" w:rsidR="00353005" w:rsidRPr="000E5ABA" w:rsidRDefault="00353005" w:rsidP="003378EA">
      <w:r w:rsidRPr="000E5ABA">
        <w:rPr>
          <w:rFonts w:asciiTheme="minorHAnsi" w:eastAsiaTheme="minorEastAsia" w:hAnsiTheme="minorHAnsi"/>
        </w:rPr>
        <w:t>Northamptonshire is a very fast-growing county – its</w:t>
      </w:r>
      <w:r w:rsidRPr="000E5ABA">
        <w:t xml:space="preserve"> population has grown higher than national levels over a number of years.</w:t>
      </w:r>
      <w:r w:rsidR="00457B67" w:rsidRPr="000E5ABA">
        <w:t xml:space="preserve"> </w:t>
      </w:r>
      <w:r w:rsidR="00527C99" w:rsidRPr="000E5ABA">
        <w:t xml:space="preserve"> </w:t>
      </w:r>
      <w:r w:rsidRPr="000E5ABA">
        <w:t xml:space="preserve">Increasing population and the demographics of those changes bring </w:t>
      </w:r>
      <w:r w:rsidRPr="000E5ABA">
        <w:rPr>
          <w:rFonts w:asciiTheme="minorHAnsi" w:eastAsiaTheme="minorEastAsia" w:hAnsiTheme="minorHAnsi"/>
        </w:rPr>
        <w:t>policing</w:t>
      </w:r>
      <w:r w:rsidRPr="000E5ABA">
        <w:t xml:space="preserve"> challenges.  Together with the issue of more complex and changing demands on the police, it is essential that resources are prioritised to meet these challenges.</w:t>
      </w:r>
    </w:p>
    <w:p w14:paraId="6B52F34C" w14:textId="42B84841" w:rsidR="007957F4" w:rsidRPr="000E5ABA" w:rsidRDefault="007957F4" w:rsidP="003356AE">
      <w:pPr>
        <w:spacing w:line="240" w:lineRule="auto"/>
        <w:jc w:val="left"/>
        <w:rPr>
          <w:rFonts w:eastAsia="Times New Roman" w:cs="Times New Roman"/>
          <w:bCs/>
          <w:color w:val="25316C"/>
        </w:rPr>
      </w:pPr>
    </w:p>
    <w:p w14:paraId="7039EECE" w14:textId="69FD67EE" w:rsidR="00353005" w:rsidRPr="000E5ABA" w:rsidRDefault="003378EA" w:rsidP="003356AE">
      <w:pPr>
        <w:pStyle w:val="VAHeadingLevel3"/>
        <w:spacing w:line="240" w:lineRule="auto"/>
        <w:rPr>
          <w:rFonts w:asciiTheme="minorHAnsi" w:hAnsiTheme="minorHAnsi"/>
          <w:szCs w:val="20"/>
        </w:rPr>
      </w:pPr>
      <w:r>
        <w:br w:type="column"/>
      </w:r>
      <w:r w:rsidR="00353005" w:rsidRPr="000E5ABA">
        <w:t>HMICFRS</w:t>
      </w:r>
    </w:p>
    <w:p w14:paraId="798B4740" w14:textId="683E6A7C" w:rsidR="00353005" w:rsidRPr="000E5ABA" w:rsidRDefault="00353005" w:rsidP="003378EA">
      <w:r w:rsidRPr="000E5ABA">
        <w:t xml:space="preserve">The most recent inspection findings and improvements are outlined earlier in the narrative statement.  There has been a great amount of focus by the Force on areas for improvement, and the HMICFRS recognises the progress that has been made. </w:t>
      </w:r>
    </w:p>
    <w:p w14:paraId="54B4D988" w14:textId="77777777" w:rsidR="00942587" w:rsidRPr="000E5ABA" w:rsidRDefault="00942587" w:rsidP="003356AE">
      <w:pPr>
        <w:numPr>
          <w:ilvl w:val="1"/>
          <w:numId w:val="0"/>
        </w:numPr>
        <w:tabs>
          <w:tab w:val="left" w:pos="1418"/>
        </w:tabs>
        <w:spacing w:line="240" w:lineRule="auto"/>
        <w:jc w:val="left"/>
        <w:rPr>
          <w:rFonts w:asciiTheme="minorHAnsi" w:eastAsia="Times New Roman" w:hAnsiTheme="minorHAnsi" w:cs="Times New Roman"/>
          <w:bCs/>
          <w:color w:val="25316C"/>
          <w:szCs w:val="20"/>
        </w:rPr>
      </w:pPr>
      <w:bookmarkStart w:id="44" w:name="_Hlk167360385"/>
      <w:bookmarkEnd w:id="42"/>
    </w:p>
    <w:p w14:paraId="653A5C49" w14:textId="77777777" w:rsidR="00D7456B" w:rsidRPr="00562AF1" w:rsidRDefault="00D7456B" w:rsidP="003356AE">
      <w:pPr>
        <w:pStyle w:val="VAHeadingLevel2"/>
        <w:spacing w:line="240" w:lineRule="auto"/>
      </w:pPr>
      <w:r w:rsidRPr="00562AF1">
        <w:rPr>
          <w:sz w:val="20"/>
          <w:szCs w:val="20"/>
        </w:rPr>
        <w:t>Medium Term Financial Outlook</w:t>
      </w:r>
    </w:p>
    <w:p w14:paraId="0AF33C0F" w14:textId="77777777" w:rsidR="00D7456B" w:rsidRPr="00562AF1" w:rsidRDefault="00D7456B" w:rsidP="003378EA">
      <w:r w:rsidRPr="00562AF1">
        <w:t>Whilst the 2026/27 budget has been balanced, this is predicated on a level of savings and efficiencies and there are further shortfalls identified over the medium term.  The force has already begun to identify savings to meet this challenge and work to identify further savings continues.</w:t>
      </w:r>
    </w:p>
    <w:p w14:paraId="3053AF44" w14:textId="77777777" w:rsidR="00D7456B" w:rsidRPr="00562AF1" w:rsidRDefault="00D7456B" w:rsidP="003356AE">
      <w:pPr>
        <w:spacing w:line="240" w:lineRule="auto"/>
      </w:pPr>
    </w:p>
    <w:p w14:paraId="157796CD" w14:textId="77777777" w:rsidR="00D7456B" w:rsidRPr="00562AF1" w:rsidRDefault="00D7456B" w:rsidP="003356AE">
      <w:pPr>
        <w:pStyle w:val="VAHeadingLevel3"/>
        <w:spacing w:line="240" w:lineRule="auto"/>
      </w:pPr>
      <w:r w:rsidRPr="00562AF1">
        <w:t>S114 Assessment</w:t>
      </w:r>
    </w:p>
    <w:p w14:paraId="27E0FACF" w14:textId="6950C4C3" w:rsidR="00D7456B" w:rsidRPr="00562AF1" w:rsidRDefault="00D7456B" w:rsidP="003378EA">
      <w:r w:rsidRPr="00562AF1">
        <w:t xml:space="preserve">A </w:t>
      </w:r>
      <w:r w:rsidR="00E26A64">
        <w:t>s</w:t>
      </w:r>
      <w:r w:rsidRPr="00562AF1">
        <w:t>ection 114 notice, issued under the Local Government Finance Act 1988, signifies that a local authority in England anticipates its expenditure will exceed its income, making it unable to balance its budget.  This notice essentially declares that the Authority is facing a financial crisis and cannot make new spending commitments, with limited exceptions.</w:t>
      </w:r>
    </w:p>
    <w:p w14:paraId="7D02A3D9" w14:textId="77777777" w:rsidR="00D7456B" w:rsidRPr="00562AF1" w:rsidRDefault="00D7456B" w:rsidP="003378EA"/>
    <w:p w14:paraId="6954B510" w14:textId="77777777" w:rsidR="00D7456B" w:rsidRPr="00657B43" w:rsidRDefault="00D7456B" w:rsidP="003378EA">
      <w:r w:rsidRPr="00562AF1">
        <w:t xml:space="preserve">Based on our financial assessment and modelling, we do not consider that a s114 notice will be likely in the foreseeable </w:t>
      </w:r>
      <w:r w:rsidRPr="00657B43">
        <w:t>future.</w:t>
      </w:r>
    </w:p>
    <w:p w14:paraId="2645C649" w14:textId="77777777" w:rsidR="00A96EBA" w:rsidRPr="00657B43" w:rsidRDefault="00A96EBA" w:rsidP="003356AE">
      <w:pPr>
        <w:spacing w:line="240" w:lineRule="auto"/>
      </w:pPr>
    </w:p>
    <w:p w14:paraId="2E38BBCF" w14:textId="77777777" w:rsidR="00353005" w:rsidRPr="00657B43" w:rsidRDefault="00353005" w:rsidP="003356AE">
      <w:pPr>
        <w:numPr>
          <w:ilvl w:val="1"/>
          <w:numId w:val="0"/>
        </w:numPr>
        <w:tabs>
          <w:tab w:val="left" w:pos="1418"/>
        </w:tabs>
        <w:spacing w:line="240" w:lineRule="auto"/>
        <w:jc w:val="left"/>
        <w:rPr>
          <w:rFonts w:asciiTheme="minorHAnsi" w:eastAsia="Times New Roman" w:hAnsiTheme="minorHAnsi" w:cs="Times New Roman"/>
          <w:bCs/>
          <w:color w:val="25316C"/>
          <w:szCs w:val="20"/>
        </w:rPr>
      </w:pPr>
      <w:r w:rsidRPr="00657B43">
        <w:rPr>
          <w:rFonts w:asciiTheme="minorHAnsi" w:eastAsia="Times New Roman" w:hAnsiTheme="minorHAnsi" w:cs="Times New Roman"/>
          <w:bCs/>
          <w:color w:val="25316C"/>
          <w:szCs w:val="20"/>
        </w:rPr>
        <w:t>Enabling Services and Joint Working</w:t>
      </w:r>
    </w:p>
    <w:p w14:paraId="0C531AEE" w14:textId="77777777" w:rsidR="00353005" w:rsidRPr="00657B43" w:rsidRDefault="00353005" w:rsidP="003378EA">
      <w:r w:rsidRPr="00657B43">
        <w:t>Both the Police, Fire and Crime Plan and the Fire and Rescue Plan demonstrate the commitment of the PFCC, the CC and NCFRA to actively seek opportunities to work together to deliver more efficient and effective public services.</w:t>
      </w:r>
    </w:p>
    <w:bookmarkEnd w:id="44"/>
    <w:p w14:paraId="5E939E7B" w14:textId="77777777" w:rsidR="00FE6578" w:rsidRPr="000E2186" w:rsidRDefault="00FE6578" w:rsidP="003356AE">
      <w:pPr>
        <w:spacing w:line="240" w:lineRule="auto"/>
        <w:rPr>
          <w:highlight w:val="yellow"/>
        </w:rPr>
      </w:pPr>
    </w:p>
    <w:p w14:paraId="63AB36C3" w14:textId="42A9E73F" w:rsidR="00353005" w:rsidRPr="001F0A40" w:rsidRDefault="00657B43" w:rsidP="003356AE">
      <w:pPr>
        <w:pStyle w:val="NarrativeHeading"/>
      </w:pPr>
      <w:r>
        <w:rPr>
          <w:highlight w:val="yellow"/>
        </w:rPr>
        <w:br w:type="column"/>
      </w:r>
      <w:bookmarkStart w:id="45" w:name="_Toc231216713"/>
      <w:r w:rsidR="00353005" w:rsidRPr="001F0A40">
        <w:lastRenderedPageBreak/>
        <w:t>The Financial Statements</w:t>
      </w:r>
      <w:bookmarkEnd w:id="45"/>
    </w:p>
    <w:p w14:paraId="3A60C67C" w14:textId="77777777" w:rsidR="00353005" w:rsidRPr="001F0A40" w:rsidRDefault="00353005" w:rsidP="00EC1014">
      <w:pPr>
        <w:rPr>
          <w:lang w:eastAsia="en-GB"/>
        </w:rPr>
      </w:pPr>
    </w:p>
    <w:p w14:paraId="200C19AD" w14:textId="45AF969E" w:rsidR="00353005" w:rsidRPr="001F0A40" w:rsidRDefault="00353005" w:rsidP="00EC1014">
      <w:r w:rsidRPr="001F0A40">
        <w:t>The accounts are prepared using International Financial Reporting Standards (IFRS).  Although these are the same standards that a large company would use in preparing its financial statements, some adjustments to costs are applied where they are not a charge to local taxpayers.</w:t>
      </w:r>
    </w:p>
    <w:p w14:paraId="0B41CA02" w14:textId="77777777" w:rsidR="00353005" w:rsidRPr="001F0A40" w:rsidRDefault="00353005" w:rsidP="00EC1014">
      <w:r w:rsidRPr="001F0A40">
        <w:t>This document contains the accounts of the Chief Constable as well as supplementary information, which should be read in conjunction with the OPFCC accounts and are consolidated into the group position.</w:t>
      </w:r>
    </w:p>
    <w:p w14:paraId="75EF5F21" w14:textId="77777777" w:rsidR="00353005" w:rsidRPr="001F0A40" w:rsidRDefault="00353005" w:rsidP="00EC1014"/>
    <w:p w14:paraId="7B215BDD" w14:textId="77777777" w:rsidR="00353005" w:rsidRPr="001F0A40" w:rsidRDefault="00353005" w:rsidP="00EC1014">
      <w:r w:rsidRPr="001F0A40">
        <w:t>The key sections are as follows:</w:t>
      </w:r>
    </w:p>
    <w:p w14:paraId="49CE1642" w14:textId="77777777" w:rsidR="00353005" w:rsidRPr="001F0A40" w:rsidRDefault="00353005" w:rsidP="003378EA"/>
    <w:p w14:paraId="0238CE41" w14:textId="77777777" w:rsidR="00353005" w:rsidRPr="001F0A40" w:rsidRDefault="00353005" w:rsidP="003356AE">
      <w:pPr>
        <w:pStyle w:val="VAHeadingLevel2"/>
        <w:spacing w:line="240" w:lineRule="auto"/>
      </w:pPr>
      <w:r w:rsidRPr="001F0A40">
        <w:t>Primary Statements</w:t>
      </w:r>
    </w:p>
    <w:p w14:paraId="24A21214" w14:textId="77777777" w:rsidR="00353005" w:rsidRPr="001F0A40" w:rsidRDefault="00353005" w:rsidP="003356AE">
      <w:pPr>
        <w:pStyle w:val="VAHeadingLevel3"/>
        <w:spacing w:line="240" w:lineRule="auto"/>
        <w:rPr>
          <w:rFonts w:asciiTheme="minorHAnsi" w:hAnsiTheme="minorHAnsi"/>
          <w:szCs w:val="20"/>
        </w:rPr>
      </w:pPr>
      <w:r w:rsidRPr="001F0A40">
        <w:t>Movement in Reserves Statement (</w:t>
      </w:r>
      <w:proofErr w:type="spellStart"/>
      <w:r w:rsidRPr="001F0A40">
        <w:t>MiRS</w:t>
      </w:r>
      <w:proofErr w:type="spellEnd"/>
      <w:r w:rsidRPr="001F0A40">
        <w:t>)</w:t>
      </w:r>
    </w:p>
    <w:p w14:paraId="789C5790" w14:textId="77777777" w:rsidR="00353005" w:rsidRPr="001F0A40" w:rsidRDefault="00353005" w:rsidP="00EC1014">
      <w:r w:rsidRPr="001F0A40">
        <w:t>This statement shows the movement in the year on the different reserves held by the PFCC.  It shows how the deficit/(surplus) for the year in the Comprehensive Income and Expenditure Statement is adjusted by the costs that are not a charge to local taxpayers.</w:t>
      </w:r>
    </w:p>
    <w:p w14:paraId="20D82866" w14:textId="77777777" w:rsidR="00353005" w:rsidRPr="001F0A40" w:rsidRDefault="00353005" w:rsidP="003356AE">
      <w:pPr>
        <w:spacing w:line="240" w:lineRule="auto"/>
      </w:pPr>
    </w:p>
    <w:p w14:paraId="1F9298EA" w14:textId="77777777" w:rsidR="00353005" w:rsidRPr="001F0A40" w:rsidRDefault="00353005" w:rsidP="003356AE">
      <w:pPr>
        <w:pStyle w:val="VAHeadingLevel3"/>
        <w:spacing w:line="240" w:lineRule="auto"/>
        <w:rPr>
          <w:rFonts w:asciiTheme="minorHAnsi" w:hAnsiTheme="minorHAnsi"/>
          <w:szCs w:val="20"/>
        </w:rPr>
      </w:pPr>
      <w:r w:rsidRPr="001F0A40">
        <w:t>Comprehensive Income and Expenditure Statement (CIES)</w:t>
      </w:r>
    </w:p>
    <w:p w14:paraId="560103E7" w14:textId="77777777" w:rsidR="00353005" w:rsidRPr="001F0A40" w:rsidRDefault="00353005" w:rsidP="00EC1014">
      <w:r w:rsidRPr="001F0A40">
        <w:t>This statement shows the income and expenditure accounting cost in the year of providing services under IFRS.</w:t>
      </w:r>
    </w:p>
    <w:p w14:paraId="7984FF5B" w14:textId="77777777" w:rsidR="009C36FB" w:rsidRPr="001F0A40" w:rsidRDefault="009C36FB" w:rsidP="003356AE">
      <w:pPr>
        <w:spacing w:line="240" w:lineRule="auto"/>
      </w:pPr>
    </w:p>
    <w:p w14:paraId="08C1496A" w14:textId="77777777" w:rsidR="00353005" w:rsidRPr="001F0A40" w:rsidRDefault="00353005" w:rsidP="003356AE">
      <w:pPr>
        <w:pStyle w:val="VAHeadingLevel3"/>
        <w:spacing w:line="240" w:lineRule="auto"/>
        <w:rPr>
          <w:rFonts w:asciiTheme="minorHAnsi" w:hAnsiTheme="minorHAnsi"/>
          <w:szCs w:val="20"/>
        </w:rPr>
      </w:pPr>
      <w:r w:rsidRPr="001F0A40">
        <w:t>Balance Sheet (BS)</w:t>
      </w:r>
    </w:p>
    <w:p w14:paraId="7A2A0E18" w14:textId="77777777" w:rsidR="00353005" w:rsidRPr="001F0A40" w:rsidRDefault="00353005" w:rsidP="00EC1014">
      <w:r w:rsidRPr="001F0A40">
        <w:t>The balance sheet shows the PFCC’s assets, liabilities and reserve balances at the financial year end date.</w:t>
      </w:r>
    </w:p>
    <w:p w14:paraId="3A6B9D77" w14:textId="77777777" w:rsidR="00353005" w:rsidRPr="001F0A40" w:rsidRDefault="00353005" w:rsidP="003356AE">
      <w:pPr>
        <w:spacing w:line="240" w:lineRule="auto"/>
      </w:pPr>
    </w:p>
    <w:p w14:paraId="4D84A3B0" w14:textId="41CE1B4C" w:rsidR="00353005" w:rsidRPr="001F0A40" w:rsidRDefault="00353005" w:rsidP="003356AE">
      <w:pPr>
        <w:pStyle w:val="VAHeadingLevel3"/>
        <w:spacing w:line="240" w:lineRule="auto"/>
        <w:rPr>
          <w:rFonts w:asciiTheme="minorHAnsi" w:hAnsiTheme="minorHAnsi"/>
          <w:szCs w:val="20"/>
        </w:rPr>
      </w:pPr>
      <w:r w:rsidRPr="001F0A40">
        <w:t xml:space="preserve">Cash Flow Statement </w:t>
      </w:r>
    </w:p>
    <w:p w14:paraId="74887F62" w14:textId="56668D95" w:rsidR="00353005" w:rsidRPr="001F0A40" w:rsidRDefault="00353005" w:rsidP="00EC1014">
      <w:r w:rsidRPr="001F0A40">
        <w:t xml:space="preserve">This statement shows the reason for changes in cash balances during the </w:t>
      </w:r>
      <w:r w:rsidR="006E4348" w:rsidRPr="001F0A40">
        <w:t>year,</w:t>
      </w:r>
      <w:r w:rsidRPr="001F0A40">
        <w:t xml:space="preserve"> and the balance held by the PFCC at the end of the financial year. </w:t>
      </w:r>
    </w:p>
    <w:p w14:paraId="338BDABF" w14:textId="77777777" w:rsidR="00353005" w:rsidRPr="001F0A40" w:rsidRDefault="00353005" w:rsidP="003356AE">
      <w:pPr>
        <w:spacing w:line="240" w:lineRule="auto"/>
      </w:pPr>
    </w:p>
    <w:p w14:paraId="1753ACE1" w14:textId="77777777" w:rsidR="00353005" w:rsidRPr="001F0A40" w:rsidRDefault="00353005" w:rsidP="003356AE">
      <w:pPr>
        <w:pStyle w:val="VAHeadingLevel2"/>
        <w:spacing w:line="240" w:lineRule="auto"/>
      </w:pPr>
      <w:r w:rsidRPr="001F0A40">
        <w:t>Key Disclosures</w:t>
      </w:r>
    </w:p>
    <w:p w14:paraId="4842E902" w14:textId="77777777" w:rsidR="00353005" w:rsidRPr="001F0A40" w:rsidRDefault="00353005" w:rsidP="003356AE">
      <w:pPr>
        <w:pStyle w:val="VAHeadingLevel3"/>
        <w:spacing w:line="240" w:lineRule="auto"/>
        <w:rPr>
          <w:rFonts w:asciiTheme="minorHAnsi" w:hAnsiTheme="minorHAnsi"/>
          <w:szCs w:val="20"/>
        </w:rPr>
      </w:pPr>
      <w:r w:rsidRPr="001F0A40">
        <w:t>Notes to the Financial Statements</w:t>
      </w:r>
    </w:p>
    <w:p w14:paraId="49F1C832" w14:textId="77777777" w:rsidR="00353005" w:rsidRPr="001F0A40" w:rsidRDefault="00353005" w:rsidP="00EC1014">
      <w:r w:rsidRPr="001F0A40">
        <w:t xml:space="preserve">These include information required by the Code and additional material items of interest to assist the reader’s understanding of the reported figures. </w:t>
      </w:r>
    </w:p>
    <w:p w14:paraId="5B99FF8D" w14:textId="77777777" w:rsidR="00353005" w:rsidRPr="001F0A40" w:rsidRDefault="00353005" w:rsidP="003356AE">
      <w:pPr>
        <w:spacing w:line="240" w:lineRule="auto"/>
      </w:pPr>
    </w:p>
    <w:p w14:paraId="3DEDB8D0" w14:textId="77777777" w:rsidR="00353005" w:rsidRPr="001F0A40" w:rsidRDefault="00353005" w:rsidP="003356AE">
      <w:pPr>
        <w:pStyle w:val="VAHeadingLevel3"/>
        <w:spacing w:line="240" w:lineRule="auto"/>
        <w:rPr>
          <w:rFonts w:asciiTheme="minorHAnsi" w:hAnsiTheme="minorHAnsi"/>
          <w:szCs w:val="20"/>
        </w:rPr>
      </w:pPr>
      <w:r w:rsidRPr="001F0A40">
        <w:t xml:space="preserve">Events after the reporting period and authorised for issue date </w:t>
      </w:r>
    </w:p>
    <w:p w14:paraId="63D7CF50" w14:textId="77777777" w:rsidR="00353005" w:rsidRPr="001F0A40" w:rsidRDefault="00353005" w:rsidP="00EC1014">
      <w:r w:rsidRPr="001F0A40">
        <w:t xml:space="preserve">This summarises any major events that happened between the year-end and the authorised-for-issue date.  Events coming to light after the authorised-for-issue date will not be included in the financial statements. </w:t>
      </w:r>
    </w:p>
    <w:p w14:paraId="69392267" w14:textId="77777777" w:rsidR="00353005" w:rsidRPr="001F0A40" w:rsidRDefault="00353005" w:rsidP="003356AE">
      <w:pPr>
        <w:spacing w:line="240" w:lineRule="auto"/>
      </w:pPr>
    </w:p>
    <w:p w14:paraId="4FE9AA4D" w14:textId="77777777" w:rsidR="00353005" w:rsidRPr="001F0A40" w:rsidRDefault="00353005" w:rsidP="003356AE">
      <w:pPr>
        <w:pStyle w:val="VAHeadingLevel3"/>
        <w:spacing w:line="240" w:lineRule="auto"/>
        <w:rPr>
          <w:rFonts w:asciiTheme="minorHAnsi" w:hAnsiTheme="minorHAnsi"/>
          <w:szCs w:val="20"/>
        </w:rPr>
      </w:pPr>
      <w:r w:rsidRPr="001F0A40">
        <w:t xml:space="preserve">Accounting Policies </w:t>
      </w:r>
    </w:p>
    <w:p w14:paraId="5237207E" w14:textId="77777777" w:rsidR="00353005" w:rsidRPr="001F0A40" w:rsidRDefault="00353005" w:rsidP="00EC1014">
      <w:r w:rsidRPr="001F0A40">
        <w:t>These outline the principles used for how we account and prepare our financial statements.</w:t>
      </w:r>
    </w:p>
    <w:p w14:paraId="27E6576B" w14:textId="77777777" w:rsidR="00353005" w:rsidRPr="001F0A40" w:rsidRDefault="00353005" w:rsidP="003356AE">
      <w:pPr>
        <w:spacing w:line="240" w:lineRule="auto"/>
      </w:pPr>
    </w:p>
    <w:p w14:paraId="4AB46EF3" w14:textId="77777777" w:rsidR="00353005" w:rsidRPr="001F0A40" w:rsidRDefault="00353005" w:rsidP="003356AE">
      <w:pPr>
        <w:pStyle w:val="VAHeadingLevel3"/>
        <w:spacing w:line="240" w:lineRule="auto"/>
        <w:rPr>
          <w:rFonts w:asciiTheme="minorHAnsi" w:hAnsiTheme="minorHAnsi"/>
          <w:szCs w:val="20"/>
        </w:rPr>
      </w:pPr>
      <w:r w:rsidRPr="001F0A40">
        <w:t xml:space="preserve">Glossary of financial terms </w:t>
      </w:r>
    </w:p>
    <w:p w14:paraId="07113A45" w14:textId="77777777" w:rsidR="00353005" w:rsidRPr="001F0A40" w:rsidRDefault="00353005" w:rsidP="00EC1014">
      <w:r w:rsidRPr="001F0A40">
        <w:t>The nature of this document means that technical words are unavoidable.  The glossary is intended to simplify and explain such words.</w:t>
      </w:r>
    </w:p>
    <w:p w14:paraId="3AF52250" w14:textId="77777777" w:rsidR="00353005" w:rsidRPr="001F0A40" w:rsidRDefault="00353005" w:rsidP="003356AE">
      <w:pPr>
        <w:spacing w:line="240" w:lineRule="auto"/>
      </w:pPr>
    </w:p>
    <w:p w14:paraId="69322835" w14:textId="77777777" w:rsidR="00353005" w:rsidRPr="001F0A40" w:rsidRDefault="00353005" w:rsidP="003356AE">
      <w:pPr>
        <w:pStyle w:val="VAHeadingLevel3"/>
        <w:spacing w:line="240" w:lineRule="auto"/>
        <w:rPr>
          <w:rFonts w:asciiTheme="minorHAnsi" w:hAnsiTheme="minorHAnsi"/>
          <w:szCs w:val="20"/>
        </w:rPr>
      </w:pPr>
      <w:r w:rsidRPr="001F0A40">
        <w:t xml:space="preserve">Statement of Provisions </w:t>
      </w:r>
    </w:p>
    <w:p w14:paraId="443D6E97" w14:textId="77777777" w:rsidR="00353005" w:rsidRPr="001F0A40" w:rsidRDefault="00353005" w:rsidP="00EC1014">
      <w:r w:rsidRPr="001F0A40">
        <w:t>Provisions are made where an event has taken place that gives the PFCC a legal or constructive obligation that requires settlement by a transfer of economic benefits or service potential, and a reliable estimate can be made of the amount of the obligation.  These accounts include a number of provisions, detailed in the Notes to the Financial Statements.</w:t>
      </w:r>
    </w:p>
    <w:p w14:paraId="03C881EF" w14:textId="77777777" w:rsidR="00353005" w:rsidRPr="001F0A40" w:rsidRDefault="00353005" w:rsidP="003356AE">
      <w:pPr>
        <w:spacing w:line="240" w:lineRule="auto"/>
      </w:pPr>
    </w:p>
    <w:p w14:paraId="3E2D5097" w14:textId="77777777" w:rsidR="00353005" w:rsidRPr="001F0A40" w:rsidRDefault="00353005" w:rsidP="003356AE">
      <w:pPr>
        <w:pStyle w:val="VAHeadingLevel3"/>
        <w:spacing w:line="240" w:lineRule="auto"/>
        <w:rPr>
          <w:rFonts w:asciiTheme="minorHAnsi" w:hAnsiTheme="minorHAnsi"/>
          <w:szCs w:val="20"/>
        </w:rPr>
      </w:pPr>
      <w:r w:rsidRPr="001F0A40">
        <w:t>Pensions</w:t>
      </w:r>
    </w:p>
    <w:p w14:paraId="6B79957B" w14:textId="77777777" w:rsidR="00353005" w:rsidRPr="001F0A40" w:rsidRDefault="00353005" w:rsidP="00EC1014">
      <w:r w:rsidRPr="001F0A40">
        <w:t>The PFCC’s staff, Police Staff and Police Officers are offered retirement benefits as part of their terms and conditions of employment.  Although these benefits will not actually be payable until employees retire, International Accounting Standard (IAS) 19 requires that the commitment to make future payments is disclosed at the time that employees and officers earn their future entitlement.</w:t>
      </w:r>
    </w:p>
    <w:p w14:paraId="32688DB7" w14:textId="77777777" w:rsidR="00353005" w:rsidRPr="001F0A40" w:rsidRDefault="00353005" w:rsidP="00EC1014"/>
    <w:p w14:paraId="70116D09" w14:textId="1F100791" w:rsidR="00353005" w:rsidRPr="001F0A40" w:rsidRDefault="00353005" w:rsidP="00EC1014">
      <w:r w:rsidRPr="001F0A40">
        <w:t>The PFCC and Chief Constable participate in two pension schemes:</w:t>
      </w:r>
    </w:p>
    <w:p w14:paraId="6790DE04" w14:textId="77777777" w:rsidR="00353005" w:rsidRPr="001F0A40" w:rsidRDefault="00353005" w:rsidP="003356AE">
      <w:pPr>
        <w:spacing w:line="240" w:lineRule="auto"/>
      </w:pPr>
    </w:p>
    <w:p w14:paraId="3BA22116" w14:textId="77777777" w:rsidR="00353005" w:rsidRPr="001F0A40" w:rsidRDefault="00353005" w:rsidP="003356AE">
      <w:pPr>
        <w:pStyle w:val="VAHeadingLevel3"/>
        <w:spacing w:line="240" w:lineRule="auto"/>
      </w:pPr>
      <w:r w:rsidRPr="001F0A40">
        <w:rPr>
          <w:rFonts w:cs="Arial"/>
        </w:rPr>
        <w:t>T</w:t>
      </w:r>
      <w:r w:rsidRPr="001F0A40">
        <w:t>he Police Pension Scheme (PPS)</w:t>
      </w:r>
    </w:p>
    <w:p w14:paraId="55DC1678" w14:textId="361AAC07" w:rsidR="00353005" w:rsidRPr="001F0A40" w:rsidRDefault="00353005" w:rsidP="00EC1014">
      <w:r w:rsidRPr="001F0A40">
        <w:t xml:space="preserve">This is an unfunded defined benefit final salary scheme for police officers administered by the Chief Constable on behalf of the PFCC.  There </w:t>
      </w:r>
      <w:proofErr w:type="gramStart"/>
      <w:r w:rsidRPr="001F0A40">
        <w:t>are</w:t>
      </w:r>
      <w:proofErr w:type="gramEnd"/>
      <w:r w:rsidRPr="001F0A40">
        <w:t xml:space="preserve"> no investment assets built up</w:t>
      </w:r>
      <w:r w:rsidR="00733E7A" w:rsidRPr="001F0A40">
        <w:t xml:space="preserve"> </w:t>
      </w:r>
      <w:r w:rsidRPr="001F0A40">
        <w:t>to meet the pension liabilities and cash has to be</w:t>
      </w:r>
      <w:r w:rsidR="00733E7A" w:rsidRPr="001F0A40">
        <w:t xml:space="preserve"> </w:t>
      </w:r>
      <w:r w:rsidRPr="001F0A40">
        <w:t>generated from</w:t>
      </w:r>
      <w:r w:rsidR="006B256F" w:rsidRPr="001F0A40">
        <w:t xml:space="preserve"> </w:t>
      </w:r>
      <w:r w:rsidRPr="001F0A40">
        <w:t>employee and employer contributions</w:t>
      </w:r>
      <w:r w:rsidR="00733E7A" w:rsidRPr="001F0A40">
        <w:t xml:space="preserve"> </w:t>
      </w:r>
      <w:r w:rsidRPr="001F0A40">
        <w:t xml:space="preserve">to meet actual pension payments as they fall due.  Under the Police Pensions Fund Regulations </w:t>
      </w:r>
      <w:r w:rsidRPr="001F0A40">
        <w:lastRenderedPageBreak/>
        <w:t>20</w:t>
      </w:r>
      <w:r w:rsidR="00F11A77">
        <w:t>18</w:t>
      </w:r>
      <w:r w:rsidRPr="001F0A40">
        <w:t xml:space="preserve"> if the amounts receivable by the pensions fund for the year is less than amounts payable, the PFCC must annually transfer an amount required to meet the deficit to the pension fund.  Subject to parliamentary scrutiny and approval, up to 100% of this cost is met by central government pension top-up grant.  If, however, the pension fund is in surplus for the year, the surplus is required to be transferred from the pension fund to the PFCC, who then must repay the amount to central government.</w:t>
      </w:r>
    </w:p>
    <w:p w14:paraId="7756CC63" w14:textId="77777777" w:rsidR="00353005" w:rsidRPr="001F0A40" w:rsidRDefault="00353005" w:rsidP="003356AE">
      <w:pPr>
        <w:spacing w:line="240" w:lineRule="auto"/>
      </w:pPr>
    </w:p>
    <w:p w14:paraId="57EBE727" w14:textId="77777777" w:rsidR="00353005" w:rsidRPr="001F0A40" w:rsidRDefault="00353005" w:rsidP="003356AE">
      <w:pPr>
        <w:pStyle w:val="VAHeadingLevel3"/>
        <w:spacing w:line="240" w:lineRule="auto"/>
      </w:pPr>
      <w:r w:rsidRPr="001F0A40">
        <w:t>The Local Government Pension Scheme (LGPS)</w:t>
      </w:r>
    </w:p>
    <w:p w14:paraId="100FA04F" w14:textId="77777777" w:rsidR="00353005" w:rsidRPr="001F0A40" w:rsidRDefault="00353005" w:rsidP="00EC1014">
      <w:r w:rsidRPr="001F0A40">
        <w:t>This is offered to all staff employed by the PFCC and Chief Constable and is administered locally by West Northamptonshire Council.  This is a funded defined benefit final salary scheme and both employers and employees pay contributions calculated at a level intended to balance the pension liabilities with investment assets.</w:t>
      </w:r>
    </w:p>
    <w:p w14:paraId="4285A1B5" w14:textId="77777777" w:rsidR="00353005" w:rsidRPr="001F0A40" w:rsidRDefault="00353005" w:rsidP="003356AE">
      <w:pPr>
        <w:spacing w:line="240" w:lineRule="auto"/>
      </w:pPr>
    </w:p>
    <w:p w14:paraId="1B9980A3" w14:textId="77777777" w:rsidR="00353005" w:rsidRPr="001F0A40" w:rsidRDefault="00353005" w:rsidP="003356AE">
      <w:pPr>
        <w:pStyle w:val="VAHeadingLevel3"/>
        <w:spacing w:line="240" w:lineRule="auto"/>
      </w:pPr>
      <w:r w:rsidRPr="001F0A40">
        <w:t xml:space="preserve">Material and unusual charges </w:t>
      </w:r>
    </w:p>
    <w:p w14:paraId="6AE8A58F" w14:textId="77777777" w:rsidR="00353005" w:rsidRPr="001F0A40" w:rsidRDefault="00353005" w:rsidP="00EC1014">
      <w:r w:rsidRPr="001F0A40">
        <w:t>The accounts conform to proper practice and contain full and frank disclosures of all material sums.</w:t>
      </w:r>
    </w:p>
    <w:p w14:paraId="7A244F90" w14:textId="77777777" w:rsidR="00353005" w:rsidRPr="001F0A40" w:rsidRDefault="00353005" w:rsidP="003356AE">
      <w:pPr>
        <w:spacing w:line="240" w:lineRule="auto"/>
      </w:pPr>
    </w:p>
    <w:p w14:paraId="5E0D47D0" w14:textId="77777777" w:rsidR="00353005" w:rsidRPr="001F0A40" w:rsidRDefault="00353005" w:rsidP="003356AE">
      <w:pPr>
        <w:pStyle w:val="VAHeadingLevel2"/>
        <w:spacing w:line="240" w:lineRule="auto"/>
      </w:pPr>
      <w:r w:rsidRPr="001F0A40">
        <w:t>Supplementary Statements</w:t>
      </w:r>
    </w:p>
    <w:p w14:paraId="24A6AEF3" w14:textId="77777777" w:rsidR="00353005" w:rsidRPr="001F0A40" w:rsidRDefault="00353005" w:rsidP="003356AE">
      <w:pPr>
        <w:pStyle w:val="VAHeadingLevel3"/>
        <w:spacing w:line="240" w:lineRule="auto"/>
      </w:pPr>
      <w:r w:rsidRPr="001F0A40">
        <w:t>Annual Governance Statement (AGS)</w:t>
      </w:r>
    </w:p>
    <w:p w14:paraId="29926BE2" w14:textId="5174FF06" w:rsidR="00353005" w:rsidRPr="001F0A40" w:rsidRDefault="00353005" w:rsidP="00EC1014">
      <w:bookmarkStart w:id="46" w:name="_Hlk167433546"/>
      <w:r w:rsidRPr="001F0A40">
        <w:t xml:space="preserve">This statement explains how the PFCC complies with the Code of Corporate Governance. </w:t>
      </w:r>
      <w:r w:rsidR="006B256F" w:rsidRPr="001F0A40">
        <w:t xml:space="preserve"> </w:t>
      </w:r>
      <w:r w:rsidRPr="001F0A40">
        <w:t xml:space="preserve">Preparation and publication of the Statement </w:t>
      </w:r>
      <w:proofErr w:type="gramStart"/>
      <w:r w:rsidRPr="001F0A40">
        <w:t>fulfils</w:t>
      </w:r>
      <w:proofErr w:type="gramEnd"/>
      <w:r w:rsidRPr="001F0A40">
        <w:t xml:space="preserve"> statutory requirements under the Accounts and Audit Regulations 2011 to conduct a review at least once in each financial year of the effectiveness of the system of internal control and to include a statement reporting on the review with the Statement of Accounts. </w:t>
      </w:r>
    </w:p>
    <w:bookmarkEnd w:id="46"/>
    <w:p w14:paraId="71417B24" w14:textId="77777777" w:rsidR="00353005" w:rsidRPr="001F0A40" w:rsidRDefault="00353005" w:rsidP="003356AE">
      <w:pPr>
        <w:spacing w:line="240" w:lineRule="auto"/>
      </w:pPr>
    </w:p>
    <w:p w14:paraId="781DFD33" w14:textId="77777777" w:rsidR="00353005" w:rsidRPr="001F0A40" w:rsidRDefault="00353005" w:rsidP="003356AE">
      <w:pPr>
        <w:pStyle w:val="VAHeadingLevel3"/>
        <w:spacing w:line="240" w:lineRule="auto"/>
      </w:pPr>
      <w:r w:rsidRPr="001F0A40">
        <w:t xml:space="preserve">Police Pension Fund Account </w:t>
      </w:r>
    </w:p>
    <w:p w14:paraId="318787BD" w14:textId="77777777" w:rsidR="00353005" w:rsidRPr="001F0A40" w:rsidRDefault="00353005" w:rsidP="00EC1014">
      <w:r w:rsidRPr="001F0A40">
        <w:t>The Police Pension Scheme is unfunded and holds no assets.  The purpose of this account is to demonstrate the cash-based transactions taking place over the year and to identify the arrangements needed to balance the account.</w:t>
      </w:r>
    </w:p>
    <w:p w14:paraId="376F1B07" w14:textId="77777777" w:rsidR="00353005" w:rsidRPr="001F0A40" w:rsidRDefault="00353005" w:rsidP="003356AE">
      <w:pPr>
        <w:spacing w:line="240" w:lineRule="auto"/>
      </w:pPr>
    </w:p>
    <w:p w14:paraId="3C6CAC51" w14:textId="77777777" w:rsidR="00353005" w:rsidRPr="001F0A40" w:rsidRDefault="00353005" w:rsidP="003356AE">
      <w:pPr>
        <w:spacing w:line="240" w:lineRule="auto"/>
      </w:pPr>
    </w:p>
    <w:p w14:paraId="7AB56DFA" w14:textId="36FEE9B1" w:rsidR="00353005" w:rsidRPr="00DD36D0" w:rsidRDefault="00CE5EE4" w:rsidP="00CE5EE4">
      <w:pPr>
        <w:pStyle w:val="VAHeading"/>
      </w:pPr>
      <w:r>
        <w:br w:type="column"/>
      </w:r>
      <w:r w:rsidR="00353005" w:rsidRPr="001F0A40">
        <w:t>Summary and Conclusion</w:t>
      </w:r>
    </w:p>
    <w:p w14:paraId="1D49060F" w14:textId="77777777" w:rsidR="00353005" w:rsidRPr="001F0A40" w:rsidRDefault="00353005" w:rsidP="00DC40C9"/>
    <w:p w14:paraId="157A3934" w14:textId="77777777" w:rsidR="00353005" w:rsidRPr="001F0A40" w:rsidRDefault="00353005" w:rsidP="00DC40C9">
      <w:r w:rsidRPr="001F0A40">
        <w:t>Despite the tight financial climate and future challenges, the PFCC Group continues to demonstrate a strong track record of effective financial management and delivering outturn within the approved budget.  However, there is a long-term financial impact of economic uncertainty to consider which will continue to be monitored very closely.</w:t>
      </w:r>
    </w:p>
    <w:p w14:paraId="0CF14BDF" w14:textId="77777777" w:rsidR="00353005" w:rsidRPr="001F0A40" w:rsidRDefault="00353005" w:rsidP="00DC40C9"/>
    <w:p w14:paraId="1FF86488" w14:textId="16588026" w:rsidR="00353005" w:rsidRPr="001F0A40" w:rsidRDefault="00353005" w:rsidP="00DC40C9">
      <w:r w:rsidRPr="001F0A40">
        <w:t>The budgeting process continues with rigorous challenge from both the Chief Constable and the PFCC.</w:t>
      </w:r>
    </w:p>
    <w:p w14:paraId="173589EE" w14:textId="77777777" w:rsidR="00353005" w:rsidRPr="001F0A40" w:rsidRDefault="00353005" w:rsidP="00DC40C9"/>
    <w:p w14:paraId="7BF91EBD" w14:textId="77777777" w:rsidR="00353005" w:rsidRPr="001F0A40" w:rsidRDefault="00353005" w:rsidP="00DC40C9">
      <w:r w:rsidRPr="001F0A40">
        <w:t>The Chief Constable is committed to ensuring that improvements required as part of recommendations from HMICFRS do not lose momentum and ensure the best services can be delivered for the public of Northamptonshire.  As described above, the progress so far is significant, and the building blocks are in place for the Force to become one of the most effective in the country.</w:t>
      </w:r>
    </w:p>
    <w:p w14:paraId="1F1D2A1B" w14:textId="77777777" w:rsidR="00353005" w:rsidRPr="001F0A40" w:rsidRDefault="00353005" w:rsidP="00DC40C9"/>
    <w:p w14:paraId="3CE50196" w14:textId="518B291F" w:rsidR="00353005" w:rsidRPr="001F0A40" w:rsidRDefault="00353005" w:rsidP="00DC40C9">
      <w:r w:rsidRPr="001F0A40">
        <w:t>The Force Strategy, underpinned by the Safe and Sound Plan, commits to ensuring investment in policing is focussed in the areas highlighted by the public.  The financial outlook remains challenging, but Northamptonshire is already well prepared in meeting these challenges.  Fire and Police will continue to actively seek and implement opportunities to work together to deliver more efficient and effective public services.</w:t>
      </w:r>
    </w:p>
    <w:p w14:paraId="387A9EAD" w14:textId="77777777" w:rsidR="00353005" w:rsidRPr="001F0A40" w:rsidRDefault="00353005" w:rsidP="00DC40C9"/>
    <w:p w14:paraId="78038AD5" w14:textId="1703BEFC" w:rsidR="00353005" w:rsidRPr="001F0A40" w:rsidRDefault="00353005" w:rsidP="00DC40C9">
      <w:r w:rsidRPr="001F0A40">
        <w:t>We are confident that the PFCC, Chief Constable and their respective leadership teams will continue to deliver strong and effective financial management in order to maintain an appropriate level of funding for essential operational services in Northamptonshire.</w:t>
      </w:r>
      <w:bookmarkEnd w:id="40"/>
    </w:p>
    <w:p w14:paraId="7486CD49" w14:textId="20CC2EE8" w:rsidR="00353005" w:rsidRPr="001F0A40" w:rsidRDefault="00353005" w:rsidP="003356AE">
      <w:pPr>
        <w:spacing w:line="240" w:lineRule="auto"/>
      </w:pPr>
      <w:r w:rsidRPr="001F0A40">
        <w:rPr>
          <w:noProof/>
          <w:lang w:eastAsia="en-GB"/>
        </w:rPr>
        <mc:AlternateContent>
          <mc:Choice Requires="wps">
            <w:drawing>
              <wp:anchor distT="0" distB="0" distL="114300" distR="114300" simplePos="0" relativeHeight="251658247" behindDoc="0" locked="0" layoutInCell="1" allowOverlap="1" wp14:anchorId="55C700DB" wp14:editId="4E78B703">
                <wp:simplePos x="0" y="0"/>
                <wp:positionH relativeFrom="column">
                  <wp:posOffset>17780</wp:posOffset>
                </wp:positionH>
                <wp:positionV relativeFrom="paragraph">
                  <wp:posOffset>635</wp:posOffset>
                </wp:positionV>
                <wp:extent cx="2988000" cy="0"/>
                <wp:effectExtent l="0" t="0" r="22225" b="19050"/>
                <wp:wrapNone/>
                <wp:docPr id="449" name="Straight Connector 449" descr="P1092#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88000" cy="0"/>
                        </a:xfrm>
                        <a:prstGeom prst="line">
                          <a:avLst/>
                        </a:prstGeom>
                        <a:noFill/>
                        <a:ln w="12700" cap="flat" cmpd="sng" algn="ctr">
                          <a:solidFill>
                            <a:srgbClr val="0000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0F0B90" id="Straight Connector 449" o:spid="_x0000_s1026" alt="P1092#y1"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05pt"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" strokecolor="#009" strokeweight="1pt">
                <v:stroke joinstyle="miter"/>
              </v:line>
            </w:pict>
          </mc:Fallback>
        </mc:AlternateContent>
      </w:r>
    </w:p>
    <w:p w14:paraId="43FFD63A" w14:textId="77777777" w:rsidR="003B74F3" w:rsidRDefault="003B74F3" w:rsidP="003356AE">
      <w:pPr>
        <w:numPr>
          <w:ilvl w:val="2"/>
          <w:numId w:val="0"/>
        </w:numPr>
        <w:tabs>
          <w:tab w:val="left" w:pos="1985"/>
        </w:tabs>
        <w:spacing w:line="240" w:lineRule="auto"/>
        <w:jc w:val="left"/>
        <w:rPr>
          <w:rFonts w:eastAsia="Times New Roman" w:cs="Times New Roman"/>
          <w:b/>
          <w:color w:val="25316C"/>
        </w:rPr>
      </w:pPr>
    </w:p>
    <w:p w14:paraId="727E58DC" w14:textId="0523A865" w:rsidR="00353005" w:rsidRPr="001F0A40" w:rsidRDefault="00353005" w:rsidP="003356AE">
      <w:pPr>
        <w:numPr>
          <w:ilvl w:val="2"/>
          <w:numId w:val="0"/>
        </w:numPr>
        <w:tabs>
          <w:tab w:val="left" w:pos="1985"/>
        </w:tabs>
        <w:spacing w:line="240" w:lineRule="auto"/>
        <w:jc w:val="left"/>
        <w:rPr>
          <w:rFonts w:eastAsia="Times New Roman" w:cs="Times New Roman"/>
          <w:b/>
          <w:color w:val="25316C"/>
        </w:rPr>
      </w:pPr>
      <w:r w:rsidRPr="001F0A40">
        <w:rPr>
          <w:rFonts w:eastAsia="Times New Roman" w:cs="Times New Roman"/>
          <w:b/>
          <w:color w:val="25316C"/>
        </w:rPr>
        <w:t>Nick Alexander</w:t>
      </w:r>
    </w:p>
    <w:p w14:paraId="7423ED20" w14:textId="77777777" w:rsidR="00353005" w:rsidRPr="001F0A40" w:rsidRDefault="00353005" w:rsidP="003356AE">
      <w:pPr>
        <w:numPr>
          <w:ilvl w:val="2"/>
          <w:numId w:val="0"/>
        </w:numPr>
        <w:tabs>
          <w:tab w:val="left" w:pos="1985"/>
        </w:tabs>
        <w:spacing w:line="240" w:lineRule="auto"/>
        <w:jc w:val="left"/>
        <w:rPr>
          <w:rFonts w:eastAsia="Times New Roman" w:cs="Times New Roman"/>
          <w:b/>
          <w:color w:val="25316C"/>
        </w:rPr>
      </w:pPr>
      <w:r w:rsidRPr="001F0A40">
        <w:rPr>
          <w:rFonts w:eastAsia="Times New Roman" w:cs="Times New Roman"/>
          <w:b/>
          <w:color w:val="25316C"/>
        </w:rPr>
        <w:t>Chief Finance Officer (s151)</w:t>
      </w:r>
    </w:p>
    <w:p w14:paraId="214CD28C" w14:textId="7E8FE6AD" w:rsidR="00353005" w:rsidRPr="001F0A40" w:rsidRDefault="00353005" w:rsidP="003356AE">
      <w:pPr>
        <w:numPr>
          <w:ilvl w:val="2"/>
          <w:numId w:val="0"/>
        </w:numPr>
        <w:tabs>
          <w:tab w:val="left" w:pos="1985"/>
        </w:tabs>
        <w:spacing w:line="240" w:lineRule="auto"/>
        <w:jc w:val="left"/>
        <w:rPr>
          <w:rFonts w:eastAsia="Times New Roman" w:cs="Times New Roman"/>
          <w:bCs/>
          <w:color w:val="25316C"/>
        </w:rPr>
      </w:pPr>
      <w:r w:rsidRPr="001F0A40">
        <w:rPr>
          <w:rFonts w:eastAsia="Times New Roman" w:cs="Times New Roman"/>
          <w:bCs/>
          <w:color w:val="25316C"/>
        </w:rPr>
        <w:t xml:space="preserve">Date: </w:t>
      </w:r>
    </w:p>
    <w:p w14:paraId="5081BD26" w14:textId="77777777" w:rsidR="003B74F3" w:rsidRPr="001F0A40" w:rsidRDefault="003B74F3" w:rsidP="003356AE">
      <w:pPr>
        <w:numPr>
          <w:ilvl w:val="2"/>
          <w:numId w:val="0"/>
        </w:numPr>
        <w:tabs>
          <w:tab w:val="left" w:pos="1985"/>
        </w:tabs>
        <w:spacing w:line="240" w:lineRule="auto"/>
        <w:jc w:val="left"/>
        <w:rPr>
          <w:rFonts w:eastAsia="Times New Roman" w:cs="Times New Roman"/>
          <w:bCs/>
          <w:color w:val="25316C"/>
        </w:rPr>
      </w:pPr>
    </w:p>
    <w:p w14:paraId="56AB75F2" w14:textId="77777777" w:rsidR="00353005" w:rsidRPr="001F0A40" w:rsidRDefault="00353005" w:rsidP="003356AE">
      <w:pPr>
        <w:numPr>
          <w:ilvl w:val="2"/>
          <w:numId w:val="0"/>
        </w:numPr>
        <w:tabs>
          <w:tab w:val="left" w:pos="1985"/>
        </w:tabs>
        <w:spacing w:line="240" w:lineRule="auto"/>
        <w:jc w:val="left"/>
        <w:rPr>
          <w:rFonts w:eastAsia="Times New Roman" w:cs="Times New Roman"/>
          <w:b/>
          <w:color w:val="25316C"/>
        </w:rPr>
      </w:pPr>
      <w:r w:rsidRPr="001F0A40">
        <w:rPr>
          <w:rFonts w:eastAsia="Times New Roman" w:cs="Times New Roman"/>
          <w:b/>
          <w:color w:val="25316C"/>
        </w:rPr>
        <w:t>Ivan Balhatchet</w:t>
      </w:r>
    </w:p>
    <w:p w14:paraId="0AD8A679" w14:textId="77777777" w:rsidR="00353005" w:rsidRPr="001F0A40" w:rsidRDefault="00353005" w:rsidP="003356AE">
      <w:pPr>
        <w:numPr>
          <w:ilvl w:val="2"/>
          <w:numId w:val="0"/>
        </w:numPr>
        <w:tabs>
          <w:tab w:val="left" w:pos="1985"/>
        </w:tabs>
        <w:spacing w:line="240" w:lineRule="auto"/>
        <w:jc w:val="left"/>
        <w:rPr>
          <w:rFonts w:eastAsia="Times New Roman" w:cs="Times New Roman"/>
          <w:b/>
          <w:color w:val="25316C"/>
        </w:rPr>
      </w:pPr>
      <w:r w:rsidRPr="001F0A40">
        <w:rPr>
          <w:rFonts w:eastAsia="Times New Roman" w:cs="Times New Roman"/>
          <w:b/>
          <w:color w:val="25316C"/>
        </w:rPr>
        <w:t>Northamptonshire Chief Constable</w:t>
      </w:r>
    </w:p>
    <w:p w14:paraId="76996E89" w14:textId="719169E4" w:rsidR="00C63119" w:rsidRPr="001F0A40" w:rsidRDefault="00353005" w:rsidP="003356AE">
      <w:pPr>
        <w:numPr>
          <w:ilvl w:val="2"/>
          <w:numId w:val="0"/>
        </w:numPr>
        <w:tabs>
          <w:tab w:val="left" w:pos="1985"/>
        </w:tabs>
        <w:spacing w:line="240" w:lineRule="auto"/>
        <w:jc w:val="left"/>
        <w:rPr>
          <w:rFonts w:eastAsia="Times New Roman" w:cs="Times New Roman"/>
          <w:color w:val="25316C"/>
        </w:rPr>
      </w:pPr>
      <w:r w:rsidRPr="001F0A40">
        <w:rPr>
          <w:rFonts w:eastAsia="Times New Roman" w:cs="Times New Roman"/>
          <w:bCs/>
          <w:color w:val="25316C"/>
        </w:rPr>
        <w:t>Date:</w:t>
      </w:r>
      <w:r w:rsidR="00C43472" w:rsidRPr="001F0A40">
        <w:rPr>
          <w:rFonts w:eastAsia="Times New Roman" w:cs="Times New Roman"/>
          <w:bCs/>
          <w:color w:val="25316C"/>
        </w:rPr>
        <w:t xml:space="preserve"> </w:t>
      </w:r>
    </w:p>
    <w:p w14:paraId="73B3ED7B" w14:textId="77777777" w:rsidR="0048685A" w:rsidRDefault="0048685A" w:rsidP="003356AE">
      <w:pPr>
        <w:pStyle w:val="ChapterHeading"/>
        <w:spacing w:line="240" w:lineRule="auto"/>
        <w:sectPr w:rsidR="0048685A" w:rsidSect="007E66C3">
          <w:type w:val="continuous"/>
          <w:pgSz w:w="11900" w:h="16840"/>
          <w:pgMar w:top="1440" w:right="1080" w:bottom="1440" w:left="1080" w:header="709" w:footer="397" w:gutter="0"/>
          <w:cols w:num="2" w:space="708"/>
          <w:docGrid w:linePitch="360"/>
        </w:sectPr>
      </w:pPr>
      <w:bookmarkStart w:id="47" w:name="PCCResponsibilities"/>
    </w:p>
    <w:p w14:paraId="01366242" w14:textId="23E906CE" w:rsidR="00353005" w:rsidRPr="00353005" w:rsidRDefault="00353005" w:rsidP="003356AE">
      <w:pPr>
        <w:pStyle w:val="ChapterHeading"/>
        <w:spacing w:line="240" w:lineRule="auto"/>
      </w:pPr>
      <w:bookmarkStart w:id="48" w:name="_Toc231975670"/>
      <w:r w:rsidRPr="00353005">
        <w:lastRenderedPageBreak/>
        <w:t>Statement of Responsibilities</w:t>
      </w:r>
      <w:bookmarkEnd w:id="48"/>
    </w:p>
    <w:p w14:paraId="1E643846" w14:textId="77777777" w:rsidR="00353005" w:rsidRPr="00353005" w:rsidRDefault="00353005" w:rsidP="003356AE">
      <w:pPr>
        <w:numPr>
          <w:ilvl w:val="1"/>
          <w:numId w:val="0"/>
        </w:numPr>
        <w:tabs>
          <w:tab w:val="left" w:pos="1418"/>
        </w:tabs>
        <w:spacing w:line="240" w:lineRule="auto"/>
        <w:jc w:val="left"/>
        <w:rPr>
          <w:rFonts w:asciiTheme="minorHAnsi" w:eastAsia="Times New Roman" w:hAnsiTheme="minorHAnsi" w:cs="Times New Roman"/>
          <w:bCs/>
          <w:color w:val="25316C"/>
          <w:sz w:val="24"/>
        </w:rPr>
      </w:pPr>
    </w:p>
    <w:p w14:paraId="05CF950D" w14:textId="77777777" w:rsidR="00353005" w:rsidRPr="00353005" w:rsidRDefault="00353005" w:rsidP="003356AE">
      <w:pPr>
        <w:numPr>
          <w:ilvl w:val="1"/>
          <w:numId w:val="0"/>
        </w:numPr>
        <w:tabs>
          <w:tab w:val="left" w:pos="1418"/>
        </w:tabs>
        <w:spacing w:line="240" w:lineRule="auto"/>
        <w:jc w:val="left"/>
        <w:rPr>
          <w:rFonts w:asciiTheme="minorHAnsi" w:eastAsia="Times New Roman" w:hAnsiTheme="minorHAnsi" w:cs="Times New Roman"/>
          <w:bCs/>
          <w:color w:val="25316C"/>
          <w:sz w:val="24"/>
        </w:rPr>
      </w:pPr>
      <w:r w:rsidRPr="00353005">
        <w:rPr>
          <w:rFonts w:asciiTheme="minorHAnsi" w:eastAsia="Times New Roman" w:hAnsiTheme="minorHAnsi" w:cs="Times New Roman"/>
          <w:bCs/>
          <w:color w:val="25316C"/>
          <w:sz w:val="24"/>
        </w:rPr>
        <w:t>The PFCC’s Responsibilities</w:t>
      </w:r>
    </w:p>
    <w:p w14:paraId="153A9178" w14:textId="6E199DF5" w:rsidR="00353005" w:rsidRPr="00353005" w:rsidRDefault="00353005" w:rsidP="003B74F3">
      <w:r w:rsidRPr="00353005">
        <w:t>The PFCC is responsible for holding the Chief Constable to account to ensure financial management of the Police service is adequate and effective and that a sound system of internal control is in place including arrangements for risk management.  The OPFCC must make arrangements for the proper administration of its financial affairs and to ensure that one of its officers, namely the CFO, has the responsibility for that administration.</w:t>
      </w:r>
    </w:p>
    <w:p w14:paraId="02EB6733" w14:textId="77777777" w:rsidR="00353005" w:rsidRPr="00353005" w:rsidRDefault="00353005" w:rsidP="003B74F3">
      <w:r w:rsidRPr="00353005">
        <w:t>The PFCC also has a specific responsibility to sign the Statement of Accounts following review by the Joint Independent Audit Committee meetings.</w:t>
      </w:r>
    </w:p>
    <w:p w14:paraId="1BE2CD02" w14:textId="77777777" w:rsidR="00353005" w:rsidRPr="00353005" w:rsidRDefault="00353005" w:rsidP="003B74F3"/>
    <w:p w14:paraId="66DF8DC5" w14:textId="77777777" w:rsidR="00353005" w:rsidRPr="00353005" w:rsidRDefault="00353005" w:rsidP="003356AE">
      <w:pPr>
        <w:numPr>
          <w:ilvl w:val="1"/>
          <w:numId w:val="0"/>
        </w:numPr>
        <w:tabs>
          <w:tab w:val="left" w:pos="1418"/>
        </w:tabs>
        <w:spacing w:line="240" w:lineRule="auto"/>
        <w:jc w:val="left"/>
        <w:rPr>
          <w:rFonts w:asciiTheme="minorHAnsi" w:eastAsia="Times New Roman" w:hAnsiTheme="minorHAnsi" w:cs="Times New Roman"/>
          <w:bCs/>
          <w:color w:val="25316C"/>
          <w:sz w:val="24"/>
        </w:rPr>
      </w:pPr>
      <w:r w:rsidRPr="00353005">
        <w:rPr>
          <w:rFonts w:asciiTheme="minorHAnsi" w:eastAsia="Times New Roman" w:hAnsiTheme="minorHAnsi" w:cs="Times New Roman"/>
          <w:bCs/>
          <w:color w:val="25316C"/>
          <w:sz w:val="24"/>
        </w:rPr>
        <w:t>The Chief Finance Officer’s Responsibilities</w:t>
      </w:r>
    </w:p>
    <w:p w14:paraId="294EB511" w14:textId="77777777" w:rsidR="00353005" w:rsidRPr="00353005" w:rsidRDefault="00353005" w:rsidP="003B74F3">
      <w:r w:rsidRPr="00353005">
        <w:t>The CFO to the PFCC is responsible for the preparation of the OPFCC’s Group Accounts in line with statutory best practice set out in the CIPFA/LASAAC Code of Practice on Local Accounting in Great Britain (“The Code”) and the Accounts and Audit Regulations 2015.</w:t>
      </w:r>
    </w:p>
    <w:p w14:paraId="4B851DF3" w14:textId="77777777" w:rsidR="00353005" w:rsidRPr="00353005" w:rsidRDefault="00353005" w:rsidP="003B74F3"/>
    <w:p w14:paraId="4CDAC5C6" w14:textId="489DDC2B" w:rsidR="00353005" w:rsidRPr="00353005" w:rsidRDefault="00353005" w:rsidP="003B74F3">
      <w:r w:rsidRPr="00353005">
        <w:t>The accounts are required to present fairly the financial position of the OPFCC at the accounting date and its income and expenditure for the year ended 31 March 202</w:t>
      </w:r>
      <w:r w:rsidR="000E2186">
        <w:t>6</w:t>
      </w:r>
      <w:r w:rsidRPr="00353005">
        <w:t>.</w:t>
      </w:r>
    </w:p>
    <w:p w14:paraId="7FE2163E" w14:textId="77777777" w:rsidR="00353005" w:rsidRPr="00353005" w:rsidRDefault="00353005" w:rsidP="003B74F3"/>
    <w:p w14:paraId="7B35F963" w14:textId="07891E87" w:rsidR="00353005" w:rsidRPr="00353005" w:rsidRDefault="00353005" w:rsidP="00A35208">
      <w:pPr>
        <w:spacing w:line="240" w:lineRule="auto"/>
      </w:pPr>
      <w:r w:rsidRPr="00353005">
        <w:t xml:space="preserve">In preparing this Statement of Accounts, the </w:t>
      </w:r>
      <w:r w:rsidR="008D4FCB">
        <w:t>s</w:t>
      </w:r>
      <w:r w:rsidRPr="00353005">
        <w:t>ection 151 Officer:</w:t>
      </w:r>
    </w:p>
    <w:p w14:paraId="60AD43E6" w14:textId="659E674F" w:rsidR="00353005" w:rsidRPr="00353005" w:rsidRDefault="00353005" w:rsidP="003356AE">
      <w:pPr>
        <w:numPr>
          <w:ilvl w:val="0"/>
          <w:numId w:val="2"/>
        </w:numPr>
        <w:spacing w:line="240" w:lineRule="auto"/>
        <w:ind w:left="426"/>
        <w:rPr>
          <w:rFonts w:asciiTheme="minorHAnsi" w:eastAsia="Times New Roman" w:hAnsiTheme="minorHAnsi" w:cs="Times New Roman"/>
          <w:szCs w:val="20"/>
        </w:rPr>
      </w:pPr>
      <w:r w:rsidRPr="00353005">
        <w:rPr>
          <w:rFonts w:asciiTheme="minorHAnsi" w:eastAsia="Times New Roman" w:hAnsiTheme="minorHAnsi" w:cs="Times New Roman"/>
          <w:szCs w:val="20"/>
        </w:rPr>
        <w:t>Selected suitable accounting policies and applied them consistently</w:t>
      </w:r>
    </w:p>
    <w:p w14:paraId="7212AEFC" w14:textId="08EE413B" w:rsidR="00353005" w:rsidRPr="00353005" w:rsidRDefault="00353005" w:rsidP="003356AE">
      <w:pPr>
        <w:numPr>
          <w:ilvl w:val="0"/>
          <w:numId w:val="2"/>
        </w:numPr>
        <w:spacing w:line="240" w:lineRule="auto"/>
        <w:ind w:left="426"/>
        <w:rPr>
          <w:rFonts w:asciiTheme="minorHAnsi" w:eastAsia="Times New Roman" w:hAnsiTheme="minorHAnsi" w:cs="Times New Roman"/>
          <w:szCs w:val="20"/>
        </w:rPr>
      </w:pPr>
      <w:r w:rsidRPr="00353005">
        <w:rPr>
          <w:rFonts w:asciiTheme="minorHAnsi" w:eastAsia="Times New Roman" w:hAnsiTheme="minorHAnsi" w:cs="Times New Roman"/>
          <w:szCs w:val="20"/>
        </w:rPr>
        <w:t>Made judgements and estimates that were reasonable and prudent</w:t>
      </w:r>
    </w:p>
    <w:p w14:paraId="51CFF0FB" w14:textId="7CCD0B99" w:rsidR="00353005" w:rsidRPr="00353005" w:rsidRDefault="00353005" w:rsidP="003356AE">
      <w:pPr>
        <w:numPr>
          <w:ilvl w:val="0"/>
          <w:numId w:val="2"/>
        </w:numPr>
        <w:spacing w:line="240" w:lineRule="auto"/>
        <w:ind w:left="426"/>
        <w:rPr>
          <w:rFonts w:asciiTheme="minorHAnsi" w:eastAsia="Times New Roman" w:hAnsiTheme="minorHAnsi" w:cs="Times New Roman"/>
          <w:szCs w:val="20"/>
        </w:rPr>
      </w:pPr>
      <w:r w:rsidRPr="00353005">
        <w:rPr>
          <w:rFonts w:asciiTheme="minorHAnsi" w:eastAsia="Times New Roman" w:hAnsiTheme="minorHAnsi" w:cs="Times New Roman"/>
          <w:szCs w:val="20"/>
        </w:rPr>
        <w:t>Complied with the Code of Practice on Local Authority Accounting in the United Kingdom 202</w:t>
      </w:r>
      <w:r w:rsidR="000E2186">
        <w:rPr>
          <w:rFonts w:asciiTheme="minorHAnsi" w:eastAsia="Times New Roman" w:hAnsiTheme="minorHAnsi" w:cs="Times New Roman"/>
          <w:szCs w:val="20"/>
        </w:rPr>
        <w:t>5</w:t>
      </w:r>
      <w:r w:rsidRPr="00353005">
        <w:rPr>
          <w:rFonts w:asciiTheme="minorHAnsi" w:eastAsia="Times New Roman" w:hAnsiTheme="minorHAnsi" w:cs="Times New Roman"/>
          <w:szCs w:val="20"/>
        </w:rPr>
        <w:t>/2</w:t>
      </w:r>
      <w:r w:rsidR="000E2186">
        <w:rPr>
          <w:rFonts w:asciiTheme="minorHAnsi" w:eastAsia="Times New Roman" w:hAnsiTheme="minorHAnsi" w:cs="Times New Roman"/>
          <w:szCs w:val="20"/>
        </w:rPr>
        <w:t>6</w:t>
      </w:r>
    </w:p>
    <w:p w14:paraId="315CBBB4" w14:textId="0D6D1D3B" w:rsidR="00353005" w:rsidRPr="00353005" w:rsidRDefault="00353005" w:rsidP="003356AE">
      <w:pPr>
        <w:numPr>
          <w:ilvl w:val="0"/>
          <w:numId w:val="2"/>
        </w:numPr>
        <w:spacing w:line="240" w:lineRule="auto"/>
        <w:ind w:left="426"/>
        <w:rPr>
          <w:rFonts w:asciiTheme="minorHAnsi" w:eastAsia="Times New Roman" w:hAnsiTheme="minorHAnsi" w:cs="Times New Roman"/>
          <w:szCs w:val="20"/>
        </w:rPr>
      </w:pPr>
      <w:r w:rsidRPr="00353005">
        <w:rPr>
          <w:rFonts w:asciiTheme="minorHAnsi" w:eastAsia="Times New Roman" w:hAnsiTheme="minorHAnsi" w:cs="Times New Roman"/>
          <w:szCs w:val="20"/>
        </w:rPr>
        <w:t>Kept proper accounting records which are up to date</w:t>
      </w:r>
    </w:p>
    <w:p w14:paraId="4D99BF28" w14:textId="2E072B4A" w:rsidR="00353005" w:rsidRPr="00353005" w:rsidRDefault="00353005" w:rsidP="003356AE">
      <w:pPr>
        <w:numPr>
          <w:ilvl w:val="0"/>
          <w:numId w:val="2"/>
        </w:numPr>
        <w:spacing w:line="240" w:lineRule="auto"/>
        <w:ind w:left="426"/>
        <w:rPr>
          <w:rFonts w:asciiTheme="minorHAnsi" w:eastAsia="Times New Roman" w:hAnsiTheme="minorHAnsi" w:cs="Times New Roman"/>
          <w:szCs w:val="20"/>
        </w:rPr>
      </w:pPr>
      <w:r w:rsidRPr="00353005">
        <w:rPr>
          <w:rFonts w:asciiTheme="minorHAnsi" w:eastAsia="Times New Roman" w:hAnsiTheme="minorHAnsi" w:cs="Times New Roman"/>
          <w:szCs w:val="20"/>
        </w:rPr>
        <w:t>Taken reasonable steps for the prevention and detection of fraud and other irregularities</w:t>
      </w:r>
    </w:p>
    <w:p w14:paraId="1E474869" w14:textId="77777777" w:rsidR="00353005" w:rsidRPr="00353005" w:rsidRDefault="00353005" w:rsidP="003B74F3"/>
    <w:p w14:paraId="2FB1A6AF" w14:textId="77777777" w:rsidR="00353005" w:rsidRPr="00353005" w:rsidRDefault="00353005" w:rsidP="003356AE">
      <w:pPr>
        <w:numPr>
          <w:ilvl w:val="1"/>
          <w:numId w:val="0"/>
        </w:numPr>
        <w:tabs>
          <w:tab w:val="left" w:pos="1418"/>
        </w:tabs>
        <w:spacing w:line="240" w:lineRule="auto"/>
        <w:jc w:val="left"/>
        <w:rPr>
          <w:rFonts w:asciiTheme="minorHAnsi" w:eastAsia="Times New Roman" w:hAnsiTheme="minorHAnsi" w:cs="Times New Roman"/>
          <w:bCs/>
          <w:color w:val="25316C"/>
          <w:sz w:val="24"/>
        </w:rPr>
      </w:pPr>
      <w:r w:rsidRPr="00353005">
        <w:rPr>
          <w:rFonts w:asciiTheme="minorHAnsi" w:eastAsia="Times New Roman" w:hAnsiTheme="minorHAnsi" w:cs="Times New Roman"/>
          <w:bCs/>
          <w:color w:val="25316C"/>
          <w:sz w:val="24"/>
        </w:rPr>
        <w:t>The Role of the Chief Constable</w:t>
      </w:r>
    </w:p>
    <w:p w14:paraId="351F1FBD" w14:textId="575D86F5" w:rsidR="00353005" w:rsidRPr="00353005" w:rsidRDefault="00353005" w:rsidP="003B74F3">
      <w:r w:rsidRPr="00353005">
        <w:t>The Chief Constable, assisted and advised by his Chief Finance Officer, is responsible for day-to-day financial management of the Force and for ensuring that the Force stays within its approved revenue and capital budgets, in accordance with the financial framework agreed by the Police, Fire and Crime Commissioner.</w:t>
      </w:r>
    </w:p>
    <w:p w14:paraId="06116277" w14:textId="77777777" w:rsidR="00353005" w:rsidRPr="00353005" w:rsidRDefault="00353005" w:rsidP="003B74F3">
      <w:r w:rsidRPr="00353005">
        <w:t>Northamptonshire Police Finance Department staff under the supervision of, and with the assistance of the PFCC’s Office, carries out the preparation of the accounts and liaises with the external auditors, Grant Thornton UK LLP, during the audit process.</w:t>
      </w:r>
    </w:p>
    <w:p w14:paraId="63FB29AC" w14:textId="77777777" w:rsidR="00353005" w:rsidRPr="00353005" w:rsidRDefault="00353005" w:rsidP="003B74F3"/>
    <w:p w14:paraId="357A9F66" w14:textId="77777777" w:rsidR="00353005" w:rsidRPr="00353005" w:rsidRDefault="00353005" w:rsidP="003356AE">
      <w:pPr>
        <w:numPr>
          <w:ilvl w:val="1"/>
          <w:numId w:val="0"/>
        </w:numPr>
        <w:tabs>
          <w:tab w:val="left" w:pos="1418"/>
        </w:tabs>
        <w:spacing w:line="240" w:lineRule="auto"/>
        <w:jc w:val="left"/>
        <w:rPr>
          <w:rFonts w:asciiTheme="minorHAnsi" w:eastAsia="Times New Roman" w:hAnsiTheme="minorHAnsi" w:cs="Times New Roman"/>
          <w:bCs/>
          <w:color w:val="25316C"/>
          <w:sz w:val="24"/>
        </w:rPr>
      </w:pPr>
      <w:r w:rsidRPr="00353005">
        <w:rPr>
          <w:rFonts w:asciiTheme="minorHAnsi" w:eastAsia="Times New Roman" w:hAnsiTheme="minorHAnsi" w:cs="Times New Roman"/>
          <w:bCs/>
          <w:color w:val="25316C"/>
          <w:sz w:val="24"/>
        </w:rPr>
        <w:t>Chief Finance Officer Certificate</w:t>
      </w:r>
    </w:p>
    <w:p w14:paraId="592010AF" w14:textId="355D7597" w:rsidR="00C43472" w:rsidRDefault="00353005" w:rsidP="003B74F3">
      <w:pPr>
        <w:rPr>
          <w:lang w:eastAsia="en-GB"/>
        </w:rPr>
      </w:pPr>
      <w:r w:rsidRPr="00353005">
        <w:t xml:space="preserve">I </w:t>
      </w:r>
      <w:r w:rsidRPr="00353005">
        <w:rPr>
          <w:lang w:eastAsia="en-GB"/>
        </w:rPr>
        <w:t xml:space="preserve">certify that the Statement of Accounts presents a true and fair view of the financial position of the Office of the Chief Constable as </w:t>
      </w:r>
      <w:proofErr w:type="gramStart"/>
      <w:r w:rsidRPr="00353005">
        <w:rPr>
          <w:lang w:eastAsia="en-GB"/>
        </w:rPr>
        <w:t>at</w:t>
      </w:r>
      <w:proofErr w:type="gramEnd"/>
      <w:r w:rsidRPr="00353005">
        <w:rPr>
          <w:lang w:eastAsia="en-GB"/>
        </w:rPr>
        <w:t xml:space="preserve"> 31 March 202</w:t>
      </w:r>
      <w:r w:rsidR="000E2186">
        <w:rPr>
          <w:lang w:eastAsia="en-GB"/>
        </w:rPr>
        <w:t>6</w:t>
      </w:r>
      <w:r w:rsidRPr="00353005">
        <w:rPr>
          <w:lang w:eastAsia="en-GB"/>
        </w:rPr>
        <w:t xml:space="preserve"> and the income and expenditure for the year ended 31 March 202</w:t>
      </w:r>
      <w:r w:rsidR="000E2186">
        <w:rPr>
          <w:lang w:eastAsia="en-GB"/>
        </w:rPr>
        <w:t>6</w:t>
      </w:r>
      <w:r w:rsidRPr="00353005">
        <w:rPr>
          <w:lang w:eastAsia="en-GB"/>
        </w:rPr>
        <w:t>.</w:t>
      </w:r>
      <w:bookmarkEnd w:id="47"/>
    </w:p>
    <w:p w14:paraId="07BD41FB" w14:textId="77777777" w:rsidR="000E2186" w:rsidRDefault="000E2186" w:rsidP="003356AE">
      <w:pPr>
        <w:spacing w:line="240" w:lineRule="auto"/>
        <w:rPr>
          <w:noProof/>
        </w:rPr>
      </w:pPr>
    </w:p>
    <w:p w14:paraId="338450DF" w14:textId="2729C026" w:rsidR="00353005" w:rsidRPr="00353005" w:rsidRDefault="00C43472" w:rsidP="003356AE">
      <w:pPr>
        <w:spacing w:line="240" w:lineRule="auto"/>
        <w:rPr>
          <w:lang w:eastAsia="en-GB"/>
        </w:rPr>
      </w:pPr>
      <w:r>
        <w:rPr>
          <w:lang w:eastAsia="en-GB"/>
        </w:rPr>
        <w:tab/>
      </w:r>
      <w:r>
        <w:rPr>
          <w:lang w:eastAsia="en-GB"/>
        </w:rPr>
        <w:tab/>
      </w:r>
      <w:r>
        <w:rPr>
          <w:lang w:eastAsia="en-GB"/>
        </w:rPr>
        <w:tab/>
      </w:r>
    </w:p>
    <w:p w14:paraId="761F4A48" w14:textId="77777777" w:rsidR="00353005" w:rsidRPr="00353005" w:rsidRDefault="00353005" w:rsidP="003356AE">
      <w:pPr>
        <w:spacing w:line="240" w:lineRule="auto"/>
      </w:pPr>
      <w:r w:rsidRPr="00353005">
        <w:t>Nick Alexander</w:t>
      </w:r>
      <w:r w:rsidRPr="00353005">
        <w:tab/>
      </w:r>
      <w:r w:rsidRPr="00353005">
        <w:tab/>
      </w:r>
      <w:r w:rsidRPr="00353005">
        <w:tab/>
      </w:r>
      <w:r w:rsidRPr="00353005">
        <w:tab/>
        <w:t>Ivan Balhatchet</w:t>
      </w:r>
    </w:p>
    <w:p w14:paraId="2971B31B" w14:textId="77777777" w:rsidR="00353005" w:rsidRPr="00353005" w:rsidRDefault="00353005" w:rsidP="003356AE">
      <w:pPr>
        <w:spacing w:line="240" w:lineRule="auto"/>
      </w:pPr>
      <w:r w:rsidRPr="00353005">
        <w:rPr>
          <w:lang w:eastAsia="en-GB"/>
        </w:rPr>
        <w:t>Chief Finance Officer (s151)</w:t>
      </w:r>
      <w:r w:rsidRPr="00353005">
        <w:rPr>
          <w:lang w:eastAsia="en-GB"/>
        </w:rPr>
        <w:tab/>
      </w:r>
      <w:r w:rsidRPr="00353005">
        <w:rPr>
          <w:lang w:eastAsia="en-GB"/>
        </w:rPr>
        <w:tab/>
      </w:r>
      <w:r w:rsidRPr="00353005">
        <w:t>Northamptonshire Chief Constable</w:t>
      </w:r>
    </w:p>
    <w:p w14:paraId="09F0CB88" w14:textId="77777777" w:rsidR="00353005" w:rsidRPr="00353005" w:rsidRDefault="00353005" w:rsidP="003356AE">
      <w:pPr>
        <w:spacing w:line="240" w:lineRule="auto"/>
      </w:pPr>
    </w:p>
    <w:p w14:paraId="037C65CB" w14:textId="654C8A05" w:rsidR="00353005" w:rsidRPr="00353005" w:rsidRDefault="00353005" w:rsidP="003356AE">
      <w:pPr>
        <w:spacing w:line="240" w:lineRule="auto"/>
        <w:sectPr w:rsidR="00353005" w:rsidRPr="00353005" w:rsidSect="00353005">
          <w:type w:val="continuous"/>
          <w:pgSz w:w="11900" w:h="16840"/>
          <w:pgMar w:top="1418" w:right="1418" w:bottom="1418" w:left="1418" w:header="709" w:footer="397" w:gutter="0"/>
          <w:cols w:space="708"/>
          <w:docGrid w:linePitch="360"/>
        </w:sectPr>
      </w:pPr>
      <w:r w:rsidRPr="00353005">
        <w:t>Date:</w:t>
      </w:r>
      <w:r w:rsidRPr="00353005">
        <w:tab/>
      </w:r>
      <w:r w:rsidRPr="00353005">
        <w:tab/>
      </w:r>
      <w:r w:rsidRPr="00353005">
        <w:tab/>
      </w:r>
      <w:r w:rsidR="007E66C3">
        <w:tab/>
      </w:r>
      <w:r w:rsidR="007E66C3">
        <w:tab/>
      </w:r>
      <w:r w:rsidRPr="00353005">
        <w:t>Date:</w:t>
      </w:r>
      <w:r w:rsidR="00C43472">
        <w:t xml:space="preserve"> </w:t>
      </w:r>
    </w:p>
    <w:p w14:paraId="5659D9A9" w14:textId="77777777" w:rsidR="00353005" w:rsidRPr="00353005" w:rsidRDefault="00353005" w:rsidP="003356AE">
      <w:pPr>
        <w:spacing w:line="240" w:lineRule="auto"/>
        <w:rPr>
          <w:highlight w:val="yellow"/>
          <w:lang w:val="pt-BR"/>
        </w:rPr>
      </w:pPr>
    </w:p>
    <w:p w14:paraId="75BCE723" w14:textId="7DA10F55" w:rsidR="00C63119" w:rsidRPr="00C63119" w:rsidRDefault="00C63119" w:rsidP="003356AE">
      <w:pPr>
        <w:spacing w:line="240" w:lineRule="auto"/>
        <w:sectPr w:rsidR="00C63119" w:rsidRPr="00C63119" w:rsidSect="00C63119">
          <w:type w:val="continuous"/>
          <w:pgSz w:w="11900" w:h="16840"/>
          <w:pgMar w:top="1418" w:right="1418" w:bottom="1418" w:left="1418" w:header="709" w:footer="397" w:gutter="0"/>
          <w:cols w:space="708"/>
          <w:docGrid w:linePitch="360"/>
        </w:sectPr>
      </w:pPr>
    </w:p>
    <w:p w14:paraId="6350F47C" w14:textId="77777777" w:rsidR="002522D4" w:rsidRPr="00E350DD" w:rsidRDefault="002522D4" w:rsidP="003356AE">
      <w:pPr>
        <w:pStyle w:val="ChapterHeading"/>
        <w:spacing w:line="240" w:lineRule="auto"/>
        <w:rPr>
          <w:lang w:val="pt-BR"/>
        </w:rPr>
      </w:pPr>
      <w:bookmarkStart w:id="49" w:name="_Toc9272494"/>
      <w:bookmarkStart w:id="50" w:name="_Toc231975671"/>
      <w:r w:rsidRPr="00E350DD">
        <w:rPr>
          <w:lang w:val="pt-BR"/>
        </w:rPr>
        <w:lastRenderedPageBreak/>
        <w:t>Movement in Reserves Statement</w:t>
      </w:r>
      <w:bookmarkEnd w:id="49"/>
      <w:bookmarkEnd w:id="50"/>
    </w:p>
    <w:p w14:paraId="5BECB1FB" w14:textId="77777777" w:rsidR="00F60D5A" w:rsidRPr="00844436" w:rsidRDefault="00F60D5A" w:rsidP="003356AE">
      <w:pPr>
        <w:spacing w:line="240" w:lineRule="auto"/>
        <w:rPr>
          <w:sz w:val="12"/>
          <w:szCs w:val="16"/>
          <w:lang w:val="pt-BR"/>
        </w:rPr>
      </w:pPr>
    </w:p>
    <w:p w14:paraId="6F6FA8C8" w14:textId="6D8329EF" w:rsidR="00B97059" w:rsidRPr="00A14CAC" w:rsidRDefault="002522D4" w:rsidP="003356AE">
      <w:pPr>
        <w:spacing w:line="240" w:lineRule="auto"/>
        <w:rPr>
          <w:lang w:val="pt-BR"/>
        </w:rPr>
      </w:pPr>
      <w:r w:rsidRPr="00E350DD">
        <w:rPr>
          <w:lang w:val="pt-BR"/>
        </w:rPr>
        <w:t xml:space="preserve">This statement shows the movement in the year on the different reserves held by the </w:t>
      </w:r>
      <w:r w:rsidR="006A5AA6" w:rsidRPr="00E350DD">
        <w:rPr>
          <w:lang w:val="pt-BR"/>
        </w:rPr>
        <w:t>OCC</w:t>
      </w:r>
      <w:r w:rsidRPr="00E350DD">
        <w:rPr>
          <w:lang w:val="pt-BR"/>
        </w:rPr>
        <w:t xml:space="preserve">, analysed into ‘usable reserves’ (i.e. those that can be applied to fund expenditure or reduce local taxation) and other reserves. </w:t>
      </w:r>
      <w:r w:rsidR="006A5AA6" w:rsidRPr="00E350DD">
        <w:rPr>
          <w:lang w:val="pt-BR"/>
        </w:rPr>
        <w:t xml:space="preserve"> The</w:t>
      </w:r>
      <w:r w:rsidR="006A5AA6" w:rsidRPr="00A14CAC">
        <w:rPr>
          <w:lang w:val="pt-BR"/>
        </w:rPr>
        <w:t xml:space="preserve"> ‘Surplus or deficit on the provision of s</w:t>
      </w:r>
      <w:r w:rsidRPr="00A14CAC">
        <w:rPr>
          <w:lang w:val="pt-BR"/>
        </w:rPr>
        <w:t>ervices</w:t>
      </w:r>
      <w:r w:rsidR="006A5AA6" w:rsidRPr="00A14CAC">
        <w:rPr>
          <w:lang w:val="pt-BR"/>
        </w:rPr>
        <w:t>’</w:t>
      </w:r>
      <w:r w:rsidRPr="00A14CAC">
        <w:rPr>
          <w:lang w:val="pt-BR"/>
        </w:rPr>
        <w:t xml:space="preserve"> line shows the true economic cost of providing the </w:t>
      </w:r>
      <w:r w:rsidR="006A5AA6" w:rsidRPr="00A14CAC">
        <w:rPr>
          <w:lang w:val="pt-BR"/>
        </w:rPr>
        <w:t>O</w:t>
      </w:r>
      <w:r w:rsidR="00C75713" w:rsidRPr="00A14CAC">
        <w:rPr>
          <w:lang w:val="pt-BR"/>
        </w:rPr>
        <w:t>CC</w:t>
      </w:r>
      <w:r w:rsidRPr="00A14CAC">
        <w:rPr>
          <w:lang w:val="pt-BR"/>
        </w:rPr>
        <w:t>’s services, more details of which are shown in the Comprehensive Income and Expenditure Statement.</w:t>
      </w:r>
    </w:p>
    <w:p w14:paraId="29AB014F" w14:textId="77777777" w:rsidR="00B97059" w:rsidRPr="00844436" w:rsidRDefault="00B97059" w:rsidP="003356AE">
      <w:pPr>
        <w:spacing w:line="240" w:lineRule="auto"/>
        <w:rPr>
          <w:sz w:val="14"/>
          <w:szCs w:val="18"/>
          <w:lang w:val="pt-BR"/>
        </w:rPr>
      </w:pPr>
    </w:p>
    <w:p w14:paraId="01069D61" w14:textId="49FAC1C2" w:rsidR="002232EA" w:rsidRDefault="002522D4" w:rsidP="003356AE">
      <w:pPr>
        <w:spacing w:line="240" w:lineRule="auto"/>
        <w:rPr>
          <w:lang w:val="pt-BR"/>
        </w:rPr>
      </w:pPr>
      <w:r w:rsidRPr="00A14CAC">
        <w:rPr>
          <w:lang w:val="pt-BR"/>
        </w:rPr>
        <w:t>These are different from the statutory amounts required to be charged to the General Fund Balance for counci</w:t>
      </w:r>
      <w:r w:rsidR="00B97059" w:rsidRPr="00A14CAC">
        <w:rPr>
          <w:lang w:val="pt-BR"/>
        </w:rPr>
        <w:t>l tax setting.</w:t>
      </w:r>
      <w:r w:rsidR="006A5AA6" w:rsidRPr="00A14CAC">
        <w:rPr>
          <w:lang w:val="pt-BR"/>
        </w:rPr>
        <w:t xml:space="preserve"> </w:t>
      </w:r>
      <w:r w:rsidR="00B97059" w:rsidRPr="00A14CAC">
        <w:rPr>
          <w:lang w:val="pt-BR"/>
        </w:rPr>
        <w:t xml:space="preserve"> The ‘Net </w:t>
      </w:r>
      <w:r w:rsidR="00921893">
        <w:rPr>
          <w:lang w:val="pt-BR"/>
        </w:rPr>
        <w:t>(</w:t>
      </w:r>
      <w:r w:rsidR="00B97059" w:rsidRPr="00A14CAC">
        <w:rPr>
          <w:lang w:val="pt-BR"/>
        </w:rPr>
        <w:t>Increase</w:t>
      </w:r>
      <w:r w:rsidR="00921893">
        <w:rPr>
          <w:lang w:val="pt-BR"/>
        </w:rPr>
        <w:t>)</w:t>
      </w:r>
      <w:r w:rsidR="000C3218">
        <w:rPr>
          <w:lang w:val="pt-BR"/>
        </w:rPr>
        <w:t>/</w:t>
      </w:r>
      <w:r w:rsidRPr="00A14CAC">
        <w:rPr>
          <w:lang w:val="pt-BR"/>
        </w:rPr>
        <w:t>Decrease before Transfers to Earmarked Reserves</w:t>
      </w:r>
      <w:r w:rsidR="00B97059" w:rsidRPr="00A14CAC">
        <w:rPr>
          <w:lang w:val="pt-BR"/>
        </w:rPr>
        <w:t>’</w:t>
      </w:r>
      <w:r w:rsidRPr="00A14CAC">
        <w:rPr>
          <w:lang w:val="pt-BR"/>
        </w:rPr>
        <w:t xml:space="preserve"> line sh</w:t>
      </w:r>
      <w:r w:rsidR="00B97059" w:rsidRPr="00A14CAC">
        <w:rPr>
          <w:lang w:val="pt-BR"/>
        </w:rPr>
        <w:t>ows the statutory General Fund b</w:t>
      </w:r>
      <w:r w:rsidRPr="00A14CAC">
        <w:rPr>
          <w:lang w:val="pt-BR"/>
        </w:rPr>
        <w:t xml:space="preserve">alance before any discretionary transfers to or </w:t>
      </w:r>
      <w:r w:rsidR="00F833B1" w:rsidRPr="00A14CAC">
        <w:rPr>
          <w:lang w:val="pt-BR"/>
        </w:rPr>
        <w:t>from earmarked reserves undertaken.</w:t>
      </w:r>
      <w:r w:rsidR="00D1277F">
        <w:rPr>
          <w:lang w:val="pt-BR"/>
        </w:rPr>
        <w:t xml:space="preserve"> </w:t>
      </w:r>
    </w:p>
    <w:p w14:paraId="289D5016" w14:textId="77777777" w:rsidR="005259BF" w:rsidRDefault="005259BF" w:rsidP="003356AE">
      <w:pPr>
        <w:spacing w:line="240" w:lineRule="auto"/>
        <w:rPr>
          <w:lang w:val="pt-BR"/>
        </w:rPr>
      </w:pPr>
    </w:p>
    <w:tbl>
      <w:tblPr>
        <w:tblW w:w="5000" w:type="pct"/>
        <w:tblLook w:val="04A0" w:firstRow="1" w:lastRow="0" w:firstColumn="1" w:lastColumn="0" w:noHBand="0" w:noVBand="1"/>
      </w:tblPr>
      <w:tblGrid>
        <w:gridCol w:w="4522"/>
        <w:gridCol w:w="971"/>
        <w:gridCol w:w="1205"/>
        <w:gridCol w:w="979"/>
        <w:gridCol w:w="983"/>
        <w:gridCol w:w="979"/>
      </w:tblGrid>
      <w:tr w:rsidR="005259BF" w:rsidRPr="005042CE" w14:paraId="4C7BB2AB" w14:textId="77777777" w:rsidTr="005259BF">
        <w:trPr>
          <w:trHeight w:val="1005"/>
        </w:trPr>
        <w:tc>
          <w:tcPr>
            <w:tcW w:w="2335" w:type="pct"/>
            <w:tcBorders>
              <w:top w:val="nil"/>
              <w:left w:val="nil"/>
              <w:bottom w:val="nil"/>
              <w:right w:val="nil"/>
            </w:tcBorders>
            <w:shd w:val="clear" w:color="000000" w:fill="000099"/>
            <w:vAlign w:val="center"/>
            <w:hideMark/>
          </w:tcPr>
          <w:p w14:paraId="4A585D19" w14:textId="77777777" w:rsidR="005259BF" w:rsidRPr="005259BF" w:rsidRDefault="005259BF" w:rsidP="003356AE">
            <w:pPr>
              <w:spacing w:after="0" w:line="240" w:lineRule="auto"/>
              <w:jc w:val="left"/>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Chief Constable</w:t>
            </w:r>
          </w:p>
        </w:tc>
        <w:tc>
          <w:tcPr>
            <w:tcW w:w="506" w:type="pct"/>
            <w:tcBorders>
              <w:top w:val="nil"/>
              <w:left w:val="nil"/>
              <w:bottom w:val="nil"/>
              <w:right w:val="nil"/>
            </w:tcBorders>
            <w:shd w:val="clear" w:color="000000" w:fill="000099"/>
            <w:vAlign w:val="center"/>
            <w:hideMark/>
          </w:tcPr>
          <w:p w14:paraId="3AF859D4"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General Fund Balance</w:t>
            </w:r>
          </w:p>
        </w:tc>
        <w:tc>
          <w:tcPr>
            <w:tcW w:w="627" w:type="pct"/>
            <w:tcBorders>
              <w:top w:val="nil"/>
              <w:left w:val="nil"/>
              <w:bottom w:val="nil"/>
              <w:right w:val="nil"/>
            </w:tcBorders>
            <w:shd w:val="clear" w:color="000000" w:fill="000099"/>
            <w:vAlign w:val="center"/>
            <w:hideMark/>
          </w:tcPr>
          <w:p w14:paraId="649AFA5F"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Earmarked General Fund Reserves</w:t>
            </w:r>
          </w:p>
        </w:tc>
        <w:tc>
          <w:tcPr>
            <w:tcW w:w="510" w:type="pct"/>
            <w:tcBorders>
              <w:top w:val="nil"/>
              <w:left w:val="nil"/>
              <w:bottom w:val="nil"/>
              <w:right w:val="nil"/>
            </w:tcBorders>
            <w:shd w:val="clear" w:color="000000" w:fill="000099"/>
            <w:vAlign w:val="center"/>
            <w:hideMark/>
          </w:tcPr>
          <w:p w14:paraId="2883FEFB"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Total Usable Reserves</w:t>
            </w:r>
          </w:p>
        </w:tc>
        <w:tc>
          <w:tcPr>
            <w:tcW w:w="512" w:type="pct"/>
            <w:tcBorders>
              <w:top w:val="nil"/>
              <w:left w:val="nil"/>
              <w:bottom w:val="nil"/>
              <w:right w:val="nil"/>
            </w:tcBorders>
            <w:shd w:val="clear" w:color="000000" w:fill="000099"/>
            <w:vAlign w:val="center"/>
            <w:hideMark/>
          </w:tcPr>
          <w:p w14:paraId="6AD9AF4F"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Unusable Reserves</w:t>
            </w:r>
          </w:p>
        </w:tc>
        <w:tc>
          <w:tcPr>
            <w:tcW w:w="510" w:type="pct"/>
            <w:tcBorders>
              <w:top w:val="nil"/>
              <w:left w:val="nil"/>
              <w:bottom w:val="nil"/>
              <w:right w:val="nil"/>
            </w:tcBorders>
            <w:shd w:val="clear" w:color="000000" w:fill="000099"/>
            <w:vAlign w:val="center"/>
            <w:hideMark/>
          </w:tcPr>
          <w:p w14:paraId="3C275885"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Total</w:t>
            </w:r>
            <w:r w:rsidRPr="005259BF">
              <w:rPr>
                <w:rFonts w:asciiTheme="minorHAnsi" w:eastAsia="Times New Roman" w:hAnsiTheme="minorHAnsi" w:cstheme="minorHAnsi"/>
                <w:b/>
                <w:bCs/>
                <w:color w:val="FFFFFF"/>
                <w:sz w:val="16"/>
                <w:szCs w:val="16"/>
                <w:lang w:eastAsia="en-GB"/>
              </w:rPr>
              <w:br/>
              <w:t>Reserves</w:t>
            </w:r>
          </w:p>
        </w:tc>
      </w:tr>
      <w:tr w:rsidR="005259BF" w:rsidRPr="005042CE" w14:paraId="73A41C6B" w14:textId="77777777" w:rsidTr="005259BF">
        <w:trPr>
          <w:trHeight w:val="240"/>
        </w:trPr>
        <w:tc>
          <w:tcPr>
            <w:tcW w:w="2335" w:type="pct"/>
            <w:tcBorders>
              <w:top w:val="nil"/>
              <w:left w:val="nil"/>
              <w:bottom w:val="nil"/>
              <w:right w:val="nil"/>
            </w:tcBorders>
            <w:shd w:val="clear" w:color="000000" w:fill="000099"/>
            <w:vAlign w:val="bottom"/>
            <w:hideMark/>
          </w:tcPr>
          <w:p w14:paraId="4082277B" w14:textId="77777777" w:rsidR="005259BF" w:rsidRPr="005259BF" w:rsidRDefault="005259BF" w:rsidP="003356AE">
            <w:pPr>
              <w:spacing w:after="0" w:line="240" w:lineRule="auto"/>
              <w:jc w:val="left"/>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 </w:t>
            </w:r>
          </w:p>
        </w:tc>
        <w:tc>
          <w:tcPr>
            <w:tcW w:w="506" w:type="pct"/>
            <w:tcBorders>
              <w:top w:val="nil"/>
              <w:left w:val="nil"/>
              <w:bottom w:val="nil"/>
              <w:right w:val="nil"/>
            </w:tcBorders>
            <w:shd w:val="clear" w:color="000000" w:fill="000099"/>
            <w:vAlign w:val="bottom"/>
            <w:hideMark/>
          </w:tcPr>
          <w:p w14:paraId="5C317FF6"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£000</w:t>
            </w:r>
          </w:p>
        </w:tc>
        <w:tc>
          <w:tcPr>
            <w:tcW w:w="627" w:type="pct"/>
            <w:tcBorders>
              <w:top w:val="nil"/>
              <w:left w:val="nil"/>
              <w:bottom w:val="nil"/>
              <w:right w:val="nil"/>
            </w:tcBorders>
            <w:shd w:val="clear" w:color="000000" w:fill="000099"/>
            <w:vAlign w:val="bottom"/>
            <w:hideMark/>
          </w:tcPr>
          <w:p w14:paraId="7206D7E1"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£000</w:t>
            </w:r>
          </w:p>
        </w:tc>
        <w:tc>
          <w:tcPr>
            <w:tcW w:w="510" w:type="pct"/>
            <w:tcBorders>
              <w:top w:val="nil"/>
              <w:left w:val="nil"/>
              <w:bottom w:val="nil"/>
              <w:right w:val="nil"/>
            </w:tcBorders>
            <w:shd w:val="clear" w:color="000000" w:fill="000099"/>
            <w:vAlign w:val="bottom"/>
            <w:hideMark/>
          </w:tcPr>
          <w:p w14:paraId="0B94D8F0"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£000</w:t>
            </w:r>
          </w:p>
        </w:tc>
        <w:tc>
          <w:tcPr>
            <w:tcW w:w="512" w:type="pct"/>
            <w:tcBorders>
              <w:top w:val="nil"/>
              <w:left w:val="nil"/>
              <w:bottom w:val="nil"/>
              <w:right w:val="nil"/>
            </w:tcBorders>
            <w:shd w:val="clear" w:color="000000" w:fill="000099"/>
            <w:vAlign w:val="bottom"/>
            <w:hideMark/>
          </w:tcPr>
          <w:p w14:paraId="68532EF3"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£000</w:t>
            </w:r>
          </w:p>
        </w:tc>
        <w:tc>
          <w:tcPr>
            <w:tcW w:w="510" w:type="pct"/>
            <w:tcBorders>
              <w:top w:val="nil"/>
              <w:left w:val="nil"/>
              <w:bottom w:val="nil"/>
              <w:right w:val="nil"/>
            </w:tcBorders>
            <w:shd w:val="clear" w:color="000000" w:fill="000099"/>
            <w:vAlign w:val="bottom"/>
            <w:hideMark/>
          </w:tcPr>
          <w:p w14:paraId="5A3D1038" w14:textId="77777777" w:rsidR="005259BF" w:rsidRPr="005259BF" w:rsidRDefault="005259BF" w:rsidP="003356AE">
            <w:pPr>
              <w:spacing w:after="0" w:line="240" w:lineRule="auto"/>
              <w:jc w:val="center"/>
              <w:rPr>
                <w:rFonts w:asciiTheme="minorHAnsi" w:eastAsia="Times New Roman" w:hAnsiTheme="minorHAnsi" w:cstheme="minorHAnsi"/>
                <w:b/>
                <w:bCs/>
                <w:color w:val="FFFFFF"/>
                <w:sz w:val="16"/>
                <w:szCs w:val="16"/>
                <w:lang w:eastAsia="en-GB"/>
              </w:rPr>
            </w:pPr>
            <w:r w:rsidRPr="005259BF">
              <w:rPr>
                <w:rFonts w:asciiTheme="minorHAnsi" w:eastAsia="Times New Roman" w:hAnsiTheme="minorHAnsi" w:cstheme="minorHAnsi"/>
                <w:b/>
                <w:bCs/>
                <w:color w:val="FFFFFF"/>
                <w:sz w:val="16"/>
                <w:szCs w:val="16"/>
                <w:lang w:eastAsia="en-GB"/>
              </w:rPr>
              <w:t>£000</w:t>
            </w:r>
          </w:p>
        </w:tc>
      </w:tr>
      <w:tr w:rsidR="005259BF" w:rsidRPr="005042CE" w14:paraId="51890705" w14:textId="77777777" w:rsidTr="00032816">
        <w:trPr>
          <w:trHeight w:val="240"/>
        </w:trPr>
        <w:tc>
          <w:tcPr>
            <w:tcW w:w="2335" w:type="pct"/>
            <w:tcBorders>
              <w:top w:val="nil"/>
              <w:left w:val="nil"/>
              <w:bottom w:val="nil"/>
              <w:right w:val="nil"/>
            </w:tcBorders>
            <w:shd w:val="clear" w:color="000000" w:fill="FFFFFF"/>
            <w:noWrap/>
            <w:vAlign w:val="center"/>
            <w:hideMark/>
          </w:tcPr>
          <w:p w14:paraId="79E31A2C" w14:textId="77777777" w:rsidR="005259BF" w:rsidRPr="005259BF"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5259BF">
              <w:rPr>
                <w:rFonts w:asciiTheme="minorHAnsi" w:eastAsia="Times New Roman" w:hAnsiTheme="minorHAnsi" w:cstheme="minorHAnsi"/>
                <w:b/>
                <w:bCs/>
                <w:color w:val="000000"/>
                <w:sz w:val="16"/>
                <w:szCs w:val="16"/>
                <w:lang w:eastAsia="en-GB"/>
              </w:rPr>
              <w:t xml:space="preserve">Balance </w:t>
            </w:r>
            <w:proofErr w:type="gramStart"/>
            <w:r w:rsidRPr="005259BF">
              <w:rPr>
                <w:rFonts w:asciiTheme="minorHAnsi" w:eastAsia="Times New Roman" w:hAnsiTheme="minorHAnsi" w:cstheme="minorHAnsi"/>
                <w:b/>
                <w:bCs/>
                <w:color w:val="000000"/>
                <w:sz w:val="16"/>
                <w:szCs w:val="16"/>
                <w:lang w:eastAsia="en-GB"/>
              </w:rPr>
              <w:t>at</w:t>
            </w:r>
            <w:proofErr w:type="gramEnd"/>
            <w:r w:rsidRPr="005259BF">
              <w:rPr>
                <w:rFonts w:asciiTheme="minorHAnsi" w:eastAsia="Times New Roman" w:hAnsiTheme="minorHAnsi" w:cstheme="minorHAnsi"/>
                <w:b/>
                <w:bCs/>
                <w:color w:val="000000"/>
                <w:sz w:val="16"/>
                <w:szCs w:val="16"/>
                <w:lang w:eastAsia="en-GB"/>
              </w:rPr>
              <w:t xml:space="preserve"> 31 March 2025</w:t>
            </w:r>
          </w:p>
        </w:tc>
        <w:tc>
          <w:tcPr>
            <w:tcW w:w="506" w:type="pct"/>
            <w:tcBorders>
              <w:top w:val="nil"/>
              <w:left w:val="nil"/>
              <w:bottom w:val="nil"/>
              <w:right w:val="nil"/>
            </w:tcBorders>
            <w:shd w:val="clear" w:color="000000" w:fill="CCECFF"/>
            <w:vAlign w:val="center"/>
            <w:hideMark/>
          </w:tcPr>
          <w:p w14:paraId="186FFA01"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627" w:type="pct"/>
            <w:tcBorders>
              <w:top w:val="nil"/>
              <w:left w:val="nil"/>
              <w:bottom w:val="nil"/>
              <w:right w:val="nil"/>
            </w:tcBorders>
            <w:shd w:val="clear" w:color="000000" w:fill="CCECFF"/>
            <w:vAlign w:val="center"/>
            <w:hideMark/>
          </w:tcPr>
          <w:p w14:paraId="1AD6C11F"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0" w:type="pct"/>
            <w:tcBorders>
              <w:top w:val="nil"/>
              <w:left w:val="nil"/>
              <w:bottom w:val="nil"/>
              <w:right w:val="nil"/>
            </w:tcBorders>
            <w:shd w:val="clear" w:color="000000" w:fill="CCECFF"/>
            <w:vAlign w:val="center"/>
            <w:hideMark/>
          </w:tcPr>
          <w:p w14:paraId="3BBB840D"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2" w:type="pct"/>
            <w:tcBorders>
              <w:top w:val="nil"/>
              <w:left w:val="nil"/>
              <w:bottom w:val="nil"/>
              <w:right w:val="nil"/>
            </w:tcBorders>
            <w:shd w:val="clear" w:color="000000" w:fill="CCECFF"/>
            <w:vAlign w:val="center"/>
            <w:hideMark/>
          </w:tcPr>
          <w:p w14:paraId="23C5ACA2"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955,284</w:t>
            </w:r>
          </w:p>
        </w:tc>
        <w:tc>
          <w:tcPr>
            <w:tcW w:w="510" w:type="pct"/>
            <w:tcBorders>
              <w:top w:val="nil"/>
              <w:left w:val="nil"/>
              <w:bottom w:val="nil"/>
              <w:right w:val="nil"/>
            </w:tcBorders>
            <w:shd w:val="clear" w:color="000000" w:fill="CCECFF"/>
            <w:vAlign w:val="center"/>
            <w:hideMark/>
          </w:tcPr>
          <w:p w14:paraId="717C8862"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955,284</w:t>
            </w:r>
          </w:p>
        </w:tc>
      </w:tr>
      <w:tr w:rsidR="005259BF" w:rsidRPr="005042CE" w14:paraId="0AE524B0" w14:textId="77777777" w:rsidTr="00032816">
        <w:trPr>
          <w:trHeight w:val="255"/>
        </w:trPr>
        <w:tc>
          <w:tcPr>
            <w:tcW w:w="2335" w:type="pct"/>
            <w:tcBorders>
              <w:top w:val="nil"/>
              <w:left w:val="nil"/>
              <w:bottom w:val="nil"/>
              <w:right w:val="nil"/>
            </w:tcBorders>
            <w:shd w:val="clear" w:color="000000" w:fill="FFFFFF"/>
            <w:noWrap/>
            <w:vAlign w:val="center"/>
            <w:hideMark/>
          </w:tcPr>
          <w:p w14:paraId="10DF288E" w14:textId="77777777" w:rsidR="005259BF" w:rsidRPr="005259BF"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5259BF">
              <w:rPr>
                <w:rFonts w:asciiTheme="minorHAnsi" w:eastAsia="Times New Roman" w:hAnsiTheme="minorHAnsi" w:cstheme="minorHAnsi"/>
                <w:b/>
                <w:bCs/>
                <w:color w:val="000000"/>
                <w:sz w:val="16"/>
                <w:szCs w:val="16"/>
                <w:lang w:eastAsia="en-GB"/>
              </w:rPr>
              <w:t> </w:t>
            </w:r>
          </w:p>
        </w:tc>
        <w:tc>
          <w:tcPr>
            <w:tcW w:w="506" w:type="pct"/>
            <w:tcBorders>
              <w:top w:val="nil"/>
              <w:left w:val="nil"/>
              <w:bottom w:val="nil"/>
              <w:right w:val="nil"/>
            </w:tcBorders>
            <w:shd w:val="clear" w:color="000000" w:fill="CCECFF"/>
            <w:vAlign w:val="center"/>
            <w:hideMark/>
          </w:tcPr>
          <w:p w14:paraId="5C238BFA"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 </w:t>
            </w:r>
          </w:p>
        </w:tc>
        <w:tc>
          <w:tcPr>
            <w:tcW w:w="627" w:type="pct"/>
            <w:tcBorders>
              <w:top w:val="nil"/>
              <w:left w:val="nil"/>
              <w:bottom w:val="nil"/>
              <w:right w:val="nil"/>
            </w:tcBorders>
            <w:shd w:val="clear" w:color="000000" w:fill="CCECFF"/>
            <w:vAlign w:val="center"/>
            <w:hideMark/>
          </w:tcPr>
          <w:p w14:paraId="5ABDDF18"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 </w:t>
            </w:r>
          </w:p>
        </w:tc>
        <w:tc>
          <w:tcPr>
            <w:tcW w:w="510" w:type="pct"/>
            <w:tcBorders>
              <w:top w:val="nil"/>
              <w:left w:val="nil"/>
              <w:bottom w:val="nil"/>
              <w:right w:val="nil"/>
            </w:tcBorders>
            <w:shd w:val="clear" w:color="000000" w:fill="CCECFF"/>
            <w:vAlign w:val="center"/>
            <w:hideMark/>
          </w:tcPr>
          <w:p w14:paraId="41247D6D"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 </w:t>
            </w:r>
          </w:p>
        </w:tc>
        <w:tc>
          <w:tcPr>
            <w:tcW w:w="512" w:type="pct"/>
            <w:tcBorders>
              <w:top w:val="nil"/>
              <w:left w:val="nil"/>
              <w:bottom w:val="nil"/>
              <w:right w:val="nil"/>
            </w:tcBorders>
            <w:shd w:val="clear" w:color="000000" w:fill="CCECFF"/>
            <w:vAlign w:val="center"/>
            <w:hideMark/>
          </w:tcPr>
          <w:p w14:paraId="2FEC930B"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 </w:t>
            </w:r>
          </w:p>
        </w:tc>
        <w:tc>
          <w:tcPr>
            <w:tcW w:w="510" w:type="pct"/>
            <w:tcBorders>
              <w:top w:val="nil"/>
              <w:left w:val="nil"/>
              <w:bottom w:val="nil"/>
              <w:right w:val="nil"/>
            </w:tcBorders>
            <w:shd w:val="clear" w:color="000000" w:fill="CCECFF"/>
            <w:vAlign w:val="center"/>
            <w:hideMark/>
          </w:tcPr>
          <w:p w14:paraId="21D1DBAC"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 </w:t>
            </w:r>
          </w:p>
        </w:tc>
      </w:tr>
      <w:tr w:rsidR="005259BF" w:rsidRPr="005042CE" w14:paraId="4A25C122" w14:textId="77777777" w:rsidTr="00032816">
        <w:trPr>
          <w:trHeight w:val="240"/>
        </w:trPr>
        <w:tc>
          <w:tcPr>
            <w:tcW w:w="2335" w:type="pct"/>
            <w:tcBorders>
              <w:top w:val="nil"/>
              <w:left w:val="nil"/>
              <w:bottom w:val="nil"/>
              <w:right w:val="nil"/>
            </w:tcBorders>
            <w:shd w:val="clear" w:color="000000" w:fill="FFFFFF"/>
            <w:noWrap/>
            <w:vAlign w:val="center"/>
            <w:hideMark/>
          </w:tcPr>
          <w:p w14:paraId="13BD2731" w14:textId="77777777" w:rsidR="005259BF" w:rsidRPr="005259BF"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5259BF">
              <w:rPr>
                <w:rFonts w:asciiTheme="minorHAnsi" w:eastAsia="Times New Roman" w:hAnsiTheme="minorHAnsi" w:cstheme="minorHAnsi"/>
                <w:b/>
                <w:bCs/>
                <w:color w:val="000000"/>
                <w:sz w:val="16"/>
                <w:szCs w:val="16"/>
                <w:lang w:eastAsia="en-GB"/>
              </w:rPr>
              <w:t>Movement in reserves during 2025/26</w:t>
            </w:r>
          </w:p>
        </w:tc>
        <w:tc>
          <w:tcPr>
            <w:tcW w:w="506" w:type="pct"/>
            <w:tcBorders>
              <w:top w:val="nil"/>
              <w:left w:val="nil"/>
              <w:bottom w:val="nil"/>
              <w:right w:val="nil"/>
            </w:tcBorders>
            <w:shd w:val="clear" w:color="000000" w:fill="CCECFF"/>
            <w:vAlign w:val="center"/>
            <w:hideMark/>
          </w:tcPr>
          <w:p w14:paraId="5A953F91"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 </w:t>
            </w:r>
          </w:p>
        </w:tc>
        <w:tc>
          <w:tcPr>
            <w:tcW w:w="627" w:type="pct"/>
            <w:tcBorders>
              <w:top w:val="nil"/>
              <w:left w:val="nil"/>
              <w:bottom w:val="nil"/>
              <w:right w:val="nil"/>
            </w:tcBorders>
            <w:shd w:val="clear" w:color="000000" w:fill="CCECFF"/>
            <w:vAlign w:val="center"/>
            <w:hideMark/>
          </w:tcPr>
          <w:p w14:paraId="2AB4836E"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 </w:t>
            </w:r>
          </w:p>
        </w:tc>
        <w:tc>
          <w:tcPr>
            <w:tcW w:w="510" w:type="pct"/>
            <w:tcBorders>
              <w:top w:val="nil"/>
              <w:left w:val="nil"/>
              <w:bottom w:val="nil"/>
              <w:right w:val="nil"/>
            </w:tcBorders>
            <w:shd w:val="clear" w:color="000000" w:fill="CCECFF"/>
            <w:vAlign w:val="center"/>
            <w:hideMark/>
          </w:tcPr>
          <w:p w14:paraId="6A22E00F"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 </w:t>
            </w:r>
          </w:p>
        </w:tc>
        <w:tc>
          <w:tcPr>
            <w:tcW w:w="512" w:type="pct"/>
            <w:tcBorders>
              <w:top w:val="nil"/>
              <w:left w:val="nil"/>
              <w:bottom w:val="nil"/>
              <w:right w:val="nil"/>
            </w:tcBorders>
            <w:shd w:val="clear" w:color="000000" w:fill="CCECFF"/>
            <w:vAlign w:val="center"/>
            <w:hideMark/>
          </w:tcPr>
          <w:p w14:paraId="56FA9C21"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 </w:t>
            </w:r>
          </w:p>
        </w:tc>
        <w:tc>
          <w:tcPr>
            <w:tcW w:w="510" w:type="pct"/>
            <w:tcBorders>
              <w:top w:val="nil"/>
              <w:left w:val="nil"/>
              <w:bottom w:val="nil"/>
              <w:right w:val="nil"/>
            </w:tcBorders>
            <w:shd w:val="clear" w:color="000000" w:fill="CCECFF"/>
            <w:vAlign w:val="center"/>
            <w:hideMark/>
          </w:tcPr>
          <w:p w14:paraId="6744816B"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 </w:t>
            </w:r>
          </w:p>
        </w:tc>
      </w:tr>
      <w:tr w:rsidR="005259BF" w:rsidRPr="005042CE" w14:paraId="285BE6E0" w14:textId="77777777" w:rsidTr="00032816">
        <w:trPr>
          <w:trHeight w:val="240"/>
        </w:trPr>
        <w:tc>
          <w:tcPr>
            <w:tcW w:w="2335" w:type="pct"/>
            <w:tcBorders>
              <w:top w:val="nil"/>
              <w:left w:val="nil"/>
              <w:bottom w:val="nil"/>
              <w:right w:val="nil"/>
            </w:tcBorders>
            <w:shd w:val="clear" w:color="000000" w:fill="FFFFFF"/>
            <w:noWrap/>
            <w:vAlign w:val="center"/>
            <w:hideMark/>
          </w:tcPr>
          <w:p w14:paraId="256F1855" w14:textId="77777777" w:rsidR="005259BF" w:rsidRPr="005259BF" w:rsidRDefault="005259BF" w:rsidP="00032816">
            <w:pPr>
              <w:spacing w:after="0" w:line="240" w:lineRule="auto"/>
              <w:jc w:val="lef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Surplus/(deficit) on the provision of services</w:t>
            </w:r>
          </w:p>
        </w:tc>
        <w:tc>
          <w:tcPr>
            <w:tcW w:w="506" w:type="pct"/>
            <w:tcBorders>
              <w:top w:val="nil"/>
              <w:left w:val="nil"/>
              <w:bottom w:val="nil"/>
              <w:right w:val="nil"/>
            </w:tcBorders>
            <w:shd w:val="clear" w:color="000000" w:fill="CCECFF"/>
            <w:vAlign w:val="center"/>
            <w:hideMark/>
          </w:tcPr>
          <w:p w14:paraId="32054CB2"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19,779</w:t>
            </w:r>
          </w:p>
        </w:tc>
        <w:tc>
          <w:tcPr>
            <w:tcW w:w="627" w:type="pct"/>
            <w:tcBorders>
              <w:top w:val="nil"/>
              <w:left w:val="nil"/>
              <w:bottom w:val="nil"/>
              <w:right w:val="nil"/>
            </w:tcBorders>
            <w:shd w:val="clear" w:color="000000" w:fill="CCECFF"/>
            <w:vAlign w:val="center"/>
            <w:hideMark/>
          </w:tcPr>
          <w:p w14:paraId="105C1E03"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w:t>
            </w:r>
          </w:p>
        </w:tc>
        <w:tc>
          <w:tcPr>
            <w:tcW w:w="510" w:type="pct"/>
            <w:tcBorders>
              <w:top w:val="nil"/>
              <w:left w:val="nil"/>
              <w:bottom w:val="nil"/>
              <w:right w:val="nil"/>
            </w:tcBorders>
            <w:shd w:val="clear" w:color="000000" w:fill="CCECFF"/>
            <w:vAlign w:val="center"/>
            <w:hideMark/>
          </w:tcPr>
          <w:p w14:paraId="38F8084C"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19,779</w:t>
            </w:r>
          </w:p>
        </w:tc>
        <w:tc>
          <w:tcPr>
            <w:tcW w:w="512" w:type="pct"/>
            <w:tcBorders>
              <w:top w:val="nil"/>
              <w:left w:val="nil"/>
              <w:bottom w:val="nil"/>
              <w:right w:val="nil"/>
            </w:tcBorders>
            <w:shd w:val="clear" w:color="000000" w:fill="CCECFF"/>
            <w:vAlign w:val="center"/>
            <w:hideMark/>
          </w:tcPr>
          <w:p w14:paraId="1E630FB9"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w:t>
            </w:r>
          </w:p>
        </w:tc>
        <w:tc>
          <w:tcPr>
            <w:tcW w:w="510" w:type="pct"/>
            <w:tcBorders>
              <w:top w:val="nil"/>
              <w:left w:val="nil"/>
              <w:bottom w:val="nil"/>
              <w:right w:val="nil"/>
            </w:tcBorders>
            <w:shd w:val="clear" w:color="000000" w:fill="CCECFF"/>
            <w:vAlign w:val="center"/>
            <w:hideMark/>
          </w:tcPr>
          <w:p w14:paraId="595EE3F4"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19,779</w:t>
            </w:r>
          </w:p>
        </w:tc>
      </w:tr>
      <w:tr w:rsidR="005259BF" w:rsidRPr="005042CE" w14:paraId="55996103" w14:textId="77777777" w:rsidTr="00032816">
        <w:trPr>
          <w:trHeight w:val="240"/>
        </w:trPr>
        <w:tc>
          <w:tcPr>
            <w:tcW w:w="2335" w:type="pct"/>
            <w:tcBorders>
              <w:top w:val="nil"/>
              <w:left w:val="nil"/>
              <w:bottom w:val="nil"/>
              <w:right w:val="nil"/>
            </w:tcBorders>
            <w:shd w:val="clear" w:color="000000" w:fill="FFFFFF"/>
            <w:noWrap/>
            <w:vAlign w:val="center"/>
            <w:hideMark/>
          </w:tcPr>
          <w:p w14:paraId="68B4F40B" w14:textId="77777777" w:rsidR="005259BF" w:rsidRPr="005259BF" w:rsidRDefault="005259BF" w:rsidP="00032816">
            <w:pPr>
              <w:spacing w:after="0" w:line="240" w:lineRule="auto"/>
              <w:jc w:val="lef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Other Comprehensive (Income)/Expenditure</w:t>
            </w:r>
          </w:p>
        </w:tc>
        <w:tc>
          <w:tcPr>
            <w:tcW w:w="506" w:type="pct"/>
            <w:tcBorders>
              <w:top w:val="nil"/>
              <w:left w:val="nil"/>
              <w:bottom w:val="nil"/>
              <w:right w:val="nil"/>
            </w:tcBorders>
            <w:shd w:val="clear" w:color="000000" w:fill="CCECFF"/>
            <w:vAlign w:val="center"/>
            <w:hideMark/>
          </w:tcPr>
          <w:p w14:paraId="01032D94"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w:t>
            </w:r>
          </w:p>
        </w:tc>
        <w:tc>
          <w:tcPr>
            <w:tcW w:w="627" w:type="pct"/>
            <w:tcBorders>
              <w:top w:val="nil"/>
              <w:left w:val="nil"/>
              <w:bottom w:val="nil"/>
              <w:right w:val="nil"/>
            </w:tcBorders>
            <w:shd w:val="clear" w:color="000000" w:fill="CCECFF"/>
            <w:vAlign w:val="center"/>
            <w:hideMark/>
          </w:tcPr>
          <w:p w14:paraId="71F84999"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auto"/>
                <w:sz w:val="16"/>
                <w:szCs w:val="16"/>
                <w:lang w:eastAsia="en-GB"/>
              </w:rPr>
              <w:t>-</w:t>
            </w:r>
          </w:p>
        </w:tc>
        <w:tc>
          <w:tcPr>
            <w:tcW w:w="510" w:type="pct"/>
            <w:tcBorders>
              <w:top w:val="nil"/>
              <w:left w:val="nil"/>
              <w:bottom w:val="nil"/>
              <w:right w:val="nil"/>
            </w:tcBorders>
            <w:shd w:val="clear" w:color="000000" w:fill="CCECFF"/>
            <w:vAlign w:val="center"/>
            <w:hideMark/>
          </w:tcPr>
          <w:p w14:paraId="5D2C73AF"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2" w:type="pct"/>
            <w:tcBorders>
              <w:top w:val="nil"/>
              <w:left w:val="nil"/>
              <w:bottom w:val="nil"/>
              <w:right w:val="nil"/>
            </w:tcBorders>
            <w:shd w:val="clear" w:color="000000" w:fill="CCECFF"/>
            <w:vAlign w:val="center"/>
            <w:hideMark/>
          </w:tcPr>
          <w:p w14:paraId="0D5EE4C2" w14:textId="77777777" w:rsidR="005259BF" w:rsidRPr="005259BF"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5259BF">
              <w:rPr>
                <w:rFonts w:asciiTheme="minorHAnsi" w:eastAsia="Times New Roman" w:hAnsiTheme="minorHAnsi" w:cstheme="minorHAnsi"/>
                <w:color w:val="000000"/>
                <w:sz w:val="16"/>
                <w:szCs w:val="16"/>
                <w:lang w:eastAsia="en-GB"/>
              </w:rPr>
              <w:t>(39,836)</w:t>
            </w:r>
          </w:p>
        </w:tc>
        <w:tc>
          <w:tcPr>
            <w:tcW w:w="510" w:type="pct"/>
            <w:tcBorders>
              <w:top w:val="nil"/>
              <w:left w:val="nil"/>
              <w:bottom w:val="nil"/>
              <w:right w:val="nil"/>
            </w:tcBorders>
            <w:shd w:val="clear" w:color="000000" w:fill="CCECFF"/>
            <w:vAlign w:val="center"/>
            <w:hideMark/>
          </w:tcPr>
          <w:p w14:paraId="0C7A9456"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000000"/>
                <w:sz w:val="16"/>
                <w:szCs w:val="16"/>
                <w:lang w:eastAsia="en-GB"/>
              </w:rPr>
              <w:t>(39,836)</w:t>
            </w:r>
          </w:p>
        </w:tc>
      </w:tr>
      <w:tr w:rsidR="005259BF" w:rsidRPr="005042CE" w14:paraId="2E48FB69" w14:textId="77777777" w:rsidTr="00032816">
        <w:trPr>
          <w:trHeight w:val="240"/>
        </w:trPr>
        <w:tc>
          <w:tcPr>
            <w:tcW w:w="2335" w:type="pct"/>
            <w:tcBorders>
              <w:top w:val="single" w:sz="4" w:space="0" w:color="auto"/>
              <w:left w:val="nil"/>
              <w:bottom w:val="nil"/>
              <w:right w:val="nil"/>
            </w:tcBorders>
            <w:shd w:val="clear" w:color="000000" w:fill="FFFFFF"/>
            <w:noWrap/>
            <w:vAlign w:val="center"/>
            <w:hideMark/>
          </w:tcPr>
          <w:p w14:paraId="782B8BA6" w14:textId="77777777" w:rsidR="005259BF" w:rsidRPr="005259BF"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5259BF">
              <w:rPr>
                <w:rFonts w:asciiTheme="minorHAnsi" w:eastAsia="Times New Roman" w:hAnsiTheme="minorHAnsi" w:cstheme="minorHAnsi"/>
                <w:b/>
                <w:bCs/>
                <w:color w:val="000000"/>
                <w:sz w:val="16"/>
                <w:szCs w:val="16"/>
                <w:lang w:eastAsia="en-GB"/>
              </w:rPr>
              <w:t>Total Comprehensive (Income)/Expenditure</w:t>
            </w:r>
          </w:p>
        </w:tc>
        <w:tc>
          <w:tcPr>
            <w:tcW w:w="506" w:type="pct"/>
            <w:tcBorders>
              <w:top w:val="single" w:sz="4" w:space="0" w:color="auto"/>
              <w:left w:val="nil"/>
              <w:bottom w:val="nil"/>
              <w:right w:val="nil"/>
            </w:tcBorders>
            <w:shd w:val="clear" w:color="000000" w:fill="CCECFF"/>
            <w:vAlign w:val="center"/>
            <w:hideMark/>
          </w:tcPr>
          <w:p w14:paraId="39995E29"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19,779</w:t>
            </w:r>
          </w:p>
        </w:tc>
        <w:tc>
          <w:tcPr>
            <w:tcW w:w="627" w:type="pct"/>
            <w:tcBorders>
              <w:top w:val="single" w:sz="4" w:space="0" w:color="auto"/>
              <w:left w:val="nil"/>
              <w:bottom w:val="nil"/>
              <w:right w:val="nil"/>
            </w:tcBorders>
            <w:shd w:val="clear" w:color="000000" w:fill="CCECFF"/>
            <w:vAlign w:val="center"/>
            <w:hideMark/>
          </w:tcPr>
          <w:p w14:paraId="4BBE124D"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0" w:type="pct"/>
            <w:tcBorders>
              <w:top w:val="single" w:sz="4" w:space="0" w:color="auto"/>
              <w:left w:val="nil"/>
              <w:bottom w:val="nil"/>
              <w:right w:val="nil"/>
            </w:tcBorders>
            <w:shd w:val="clear" w:color="000000" w:fill="CCECFF"/>
            <w:vAlign w:val="center"/>
            <w:hideMark/>
          </w:tcPr>
          <w:p w14:paraId="55D0F1C8"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19,779</w:t>
            </w:r>
          </w:p>
        </w:tc>
        <w:tc>
          <w:tcPr>
            <w:tcW w:w="512" w:type="pct"/>
            <w:tcBorders>
              <w:top w:val="single" w:sz="4" w:space="0" w:color="auto"/>
              <w:left w:val="nil"/>
              <w:bottom w:val="nil"/>
              <w:right w:val="nil"/>
            </w:tcBorders>
            <w:shd w:val="clear" w:color="000000" w:fill="CCECFF"/>
            <w:vAlign w:val="center"/>
            <w:hideMark/>
          </w:tcPr>
          <w:p w14:paraId="4BD86F61"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000000"/>
                <w:sz w:val="16"/>
                <w:szCs w:val="16"/>
                <w:lang w:eastAsia="en-GB"/>
              </w:rPr>
              <w:t>(39,836)</w:t>
            </w:r>
          </w:p>
        </w:tc>
        <w:tc>
          <w:tcPr>
            <w:tcW w:w="510" w:type="pct"/>
            <w:tcBorders>
              <w:top w:val="single" w:sz="4" w:space="0" w:color="auto"/>
              <w:left w:val="nil"/>
              <w:bottom w:val="nil"/>
              <w:right w:val="nil"/>
            </w:tcBorders>
            <w:shd w:val="clear" w:color="000000" w:fill="CCECFF"/>
            <w:vAlign w:val="center"/>
            <w:hideMark/>
          </w:tcPr>
          <w:p w14:paraId="4935C164"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000000"/>
                <w:sz w:val="16"/>
                <w:szCs w:val="16"/>
                <w:lang w:eastAsia="en-GB"/>
              </w:rPr>
              <w:t>(20,057)</w:t>
            </w:r>
          </w:p>
        </w:tc>
      </w:tr>
      <w:tr w:rsidR="005259BF" w:rsidRPr="005042CE" w14:paraId="6232B279" w14:textId="77777777" w:rsidTr="00032816">
        <w:trPr>
          <w:trHeight w:val="255"/>
        </w:trPr>
        <w:tc>
          <w:tcPr>
            <w:tcW w:w="2335" w:type="pct"/>
            <w:tcBorders>
              <w:top w:val="nil"/>
              <w:left w:val="nil"/>
              <w:bottom w:val="nil"/>
              <w:right w:val="nil"/>
            </w:tcBorders>
            <w:shd w:val="clear" w:color="000000" w:fill="FFFFFF"/>
            <w:noWrap/>
            <w:vAlign w:val="center"/>
            <w:hideMark/>
          </w:tcPr>
          <w:p w14:paraId="40E1BC11" w14:textId="77777777" w:rsidR="005259BF" w:rsidRPr="00423E56"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423E56">
              <w:rPr>
                <w:rFonts w:asciiTheme="minorHAnsi" w:eastAsia="Times New Roman" w:hAnsiTheme="minorHAnsi" w:cstheme="minorHAnsi"/>
                <w:b/>
                <w:bCs/>
                <w:color w:val="000000"/>
                <w:sz w:val="16"/>
                <w:szCs w:val="16"/>
                <w:lang w:eastAsia="en-GB"/>
              </w:rPr>
              <w:t> </w:t>
            </w:r>
          </w:p>
        </w:tc>
        <w:tc>
          <w:tcPr>
            <w:tcW w:w="506" w:type="pct"/>
            <w:tcBorders>
              <w:top w:val="nil"/>
              <w:left w:val="nil"/>
              <w:bottom w:val="nil"/>
              <w:right w:val="nil"/>
            </w:tcBorders>
            <w:shd w:val="clear" w:color="000000" w:fill="CCECFF"/>
            <w:vAlign w:val="center"/>
            <w:hideMark/>
          </w:tcPr>
          <w:p w14:paraId="2EF8B89C"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627" w:type="pct"/>
            <w:tcBorders>
              <w:top w:val="nil"/>
              <w:left w:val="nil"/>
              <w:bottom w:val="nil"/>
              <w:right w:val="nil"/>
            </w:tcBorders>
            <w:shd w:val="clear" w:color="000000" w:fill="CCECFF"/>
            <w:vAlign w:val="center"/>
            <w:hideMark/>
          </w:tcPr>
          <w:p w14:paraId="16CF09BF"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10" w:type="pct"/>
            <w:tcBorders>
              <w:top w:val="nil"/>
              <w:left w:val="nil"/>
              <w:bottom w:val="nil"/>
              <w:right w:val="nil"/>
            </w:tcBorders>
            <w:shd w:val="clear" w:color="000000" w:fill="CCECFF"/>
            <w:vAlign w:val="center"/>
            <w:hideMark/>
          </w:tcPr>
          <w:p w14:paraId="1FB5AC65"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12" w:type="pct"/>
            <w:tcBorders>
              <w:top w:val="nil"/>
              <w:left w:val="nil"/>
              <w:bottom w:val="nil"/>
              <w:right w:val="nil"/>
            </w:tcBorders>
            <w:shd w:val="clear" w:color="000000" w:fill="CCECFF"/>
            <w:vAlign w:val="center"/>
            <w:hideMark/>
          </w:tcPr>
          <w:p w14:paraId="17A36786"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10" w:type="pct"/>
            <w:tcBorders>
              <w:top w:val="nil"/>
              <w:left w:val="nil"/>
              <w:bottom w:val="nil"/>
              <w:right w:val="nil"/>
            </w:tcBorders>
            <w:shd w:val="clear" w:color="000000" w:fill="CCECFF"/>
            <w:vAlign w:val="center"/>
            <w:hideMark/>
          </w:tcPr>
          <w:p w14:paraId="72C7486F"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r>
      <w:tr w:rsidR="005259BF" w:rsidRPr="005042CE" w14:paraId="4E9C1F79" w14:textId="77777777" w:rsidTr="00032816">
        <w:trPr>
          <w:trHeight w:val="480"/>
        </w:trPr>
        <w:tc>
          <w:tcPr>
            <w:tcW w:w="2335" w:type="pct"/>
            <w:tcBorders>
              <w:top w:val="nil"/>
              <w:left w:val="nil"/>
              <w:bottom w:val="nil"/>
              <w:right w:val="nil"/>
            </w:tcBorders>
            <w:shd w:val="clear" w:color="000000" w:fill="FFFFFF"/>
            <w:vAlign w:val="center"/>
            <w:hideMark/>
          </w:tcPr>
          <w:p w14:paraId="4DF5B861" w14:textId="77777777" w:rsidR="005259BF" w:rsidRPr="00423E56" w:rsidRDefault="005259BF" w:rsidP="00032816">
            <w:pPr>
              <w:spacing w:after="0" w:line="240" w:lineRule="auto"/>
              <w:jc w:val="left"/>
              <w:rPr>
                <w:rFonts w:asciiTheme="minorHAnsi" w:eastAsia="Times New Roman" w:hAnsiTheme="minorHAnsi" w:cstheme="minorHAnsi"/>
                <w:color w:val="000000"/>
                <w:sz w:val="16"/>
                <w:szCs w:val="16"/>
                <w:lang w:eastAsia="en-GB"/>
              </w:rPr>
            </w:pPr>
            <w:r w:rsidRPr="00423E56">
              <w:rPr>
                <w:rFonts w:asciiTheme="minorHAnsi" w:eastAsia="Times New Roman" w:hAnsiTheme="minorHAnsi" w:cstheme="minorHAnsi"/>
                <w:color w:val="000000"/>
                <w:sz w:val="16"/>
                <w:szCs w:val="16"/>
                <w:lang w:eastAsia="en-GB"/>
              </w:rPr>
              <w:t>Adjustments between accounting basis and funding basis under regulations (Note 6)</w:t>
            </w:r>
          </w:p>
        </w:tc>
        <w:tc>
          <w:tcPr>
            <w:tcW w:w="506" w:type="pct"/>
            <w:tcBorders>
              <w:top w:val="nil"/>
              <w:left w:val="nil"/>
              <w:bottom w:val="nil"/>
              <w:right w:val="nil"/>
            </w:tcBorders>
            <w:shd w:val="clear" w:color="000000" w:fill="CCECFF"/>
            <w:vAlign w:val="center"/>
            <w:hideMark/>
          </w:tcPr>
          <w:p w14:paraId="66AF34B5" w14:textId="77777777" w:rsidR="005259BF" w:rsidRPr="00423E56"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000000"/>
                <w:sz w:val="16"/>
                <w:szCs w:val="16"/>
                <w:lang w:eastAsia="en-GB"/>
              </w:rPr>
              <w:t>(19,779)</w:t>
            </w:r>
          </w:p>
        </w:tc>
        <w:tc>
          <w:tcPr>
            <w:tcW w:w="627" w:type="pct"/>
            <w:tcBorders>
              <w:top w:val="nil"/>
              <w:left w:val="nil"/>
              <w:bottom w:val="nil"/>
              <w:right w:val="nil"/>
            </w:tcBorders>
            <w:shd w:val="clear" w:color="000000" w:fill="CCECFF"/>
            <w:vAlign w:val="center"/>
            <w:hideMark/>
          </w:tcPr>
          <w:p w14:paraId="6A85EAEE" w14:textId="77777777" w:rsidR="005259BF" w:rsidRPr="00423E56"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w:t>
            </w:r>
          </w:p>
        </w:tc>
        <w:tc>
          <w:tcPr>
            <w:tcW w:w="510" w:type="pct"/>
            <w:tcBorders>
              <w:top w:val="nil"/>
              <w:left w:val="nil"/>
              <w:bottom w:val="nil"/>
              <w:right w:val="nil"/>
            </w:tcBorders>
            <w:shd w:val="clear" w:color="000000" w:fill="CCECFF"/>
            <w:vAlign w:val="center"/>
            <w:hideMark/>
          </w:tcPr>
          <w:p w14:paraId="2E928ADF"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(19,779)</w:t>
            </w:r>
          </w:p>
        </w:tc>
        <w:tc>
          <w:tcPr>
            <w:tcW w:w="512" w:type="pct"/>
            <w:tcBorders>
              <w:top w:val="nil"/>
              <w:left w:val="nil"/>
              <w:bottom w:val="nil"/>
              <w:right w:val="nil"/>
            </w:tcBorders>
            <w:shd w:val="clear" w:color="000000" w:fill="CCECFF"/>
            <w:vAlign w:val="center"/>
            <w:hideMark/>
          </w:tcPr>
          <w:p w14:paraId="46E661C1" w14:textId="77777777" w:rsidR="005259BF" w:rsidRPr="00423E56"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19,779</w:t>
            </w:r>
          </w:p>
        </w:tc>
        <w:tc>
          <w:tcPr>
            <w:tcW w:w="510" w:type="pct"/>
            <w:tcBorders>
              <w:top w:val="nil"/>
              <w:left w:val="nil"/>
              <w:bottom w:val="nil"/>
              <w:right w:val="nil"/>
            </w:tcBorders>
            <w:shd w:val="clear" w:color="000000" w:fill="CCECFF"/>
            <w:vAlign w:val="center"/>
            <w:hideMark/>
          </w:tcPr>
          <w:p w14:paraId="0F4113AA"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r>
      <w:tr w:rsidR="005259BF" w:rsidRPr="005042CE" w14:paraId="2C2BACCB" w14:textId="77777777" w:rsidTr="00032816">
        <w:trPr>
          <w:trHeight w:val="240"/>
        </w:trPr>
        <w:tc>
          <w:tcPr>
            <w:tcW w:w="2335" w:type="pct"/>
            <w:tcBorders>
              <w:top w:val="single" w:sz="4" w:space="0" w:color="auto"/>
              <w:left w:val="nil"/>
              <w:bottom w:val="nil"/>
              <w:right w:val="nil"/>
            </w:tcBorders>
            <w:shd w:val="clear" w:color="000000" w:fill="FFFFFF"/>
            <w:noWrap/>
            <w:vAlign w:val="center"/>
            <w:hideMark/>
          </w:tcPr>
          <w:p w14:paraId="56704012" w14:textId="77777777" w:rsidR="005259BF" w:rsidRPr="00423E56"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423E56">
              <w:rPr>
                <w:rFonts w:asciiTheme="minorHAnsi" w:eastAsia="Times New Roman" w:hAnsiTheme="minorHAnsi" w:cstheme="minorHAnsi"/>
                <w:b/>
                <w:bCs/>
                <w:color w:val="000000"/>
                <w:sz w:val="16"/>
                <w:szCs w:val="16"/>
                <w:lang w:eastAsia="en-GB"/>
              </w:rPr>
              <w:t>Net (Increase)/Decrease before Transfers to Earmarked Reserves</w:t>
            </w:r>
          </w:p>
        </w:tc>
        <w:tc>
          <w:tcPr>
            <w:tcW w:w="506" w:type="pct"/>
            <w:tcBorders>
              <w:top w:val="single" w:sz="4" w:space="0" w:color="auto"/>
              <w:left w:val="nil"/>
              <w:bottom w:val="nil"/>
              <w:right w:val="nil"/>
            </w:tcBorders>
            <w:shd w:val="clear" w:color="000000" w:fill="CCECFF"/>
            <w:vAlign w:val="center"/>
            <w:hideMark/>
          </w:tcPr>
          <w:p w14:paraId="2B56C796"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627" w:type="pct"/>
            <w:tcBorders>
              <w:top w:val="single" w:sz="4" w:space="0" w:color="auto"/>
              <w:left w:val="nil"/>
              <w:bottom w:val="nil"/>
              <w:right w:val="nil"/>
            </w:tcBorders>
            <w:shd w:val="clear" w:color="000000" w:fill="CCECFF"/>
            <w:vAlign w:val="center"/>
            <w:hideMark/>
          </w:tcPr>
          <w:p w14:paraId="3B337F30"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10" w:type="pct"/>
            <w:tcBorders>
              <w:top w:val="single" w:sz="4" w:space="0" w:color="auto"/>
              <w:left w:val="nil"/>
              <w:bottom w:val="nil"/>
              <w:right w:val="nil"/>
            </w:tcBorders>
            <w:shd w:val="clear" w:color="000000" w:fill="CCECFF"/>
            <w:vAlign w:val="center"/>
            <w:hideMark/>
          </w:tcPr>
          <w:p w14:paraId="41A32908"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12" w:type="pct"/>
            <w:tcBorders>
              <w:top w:val="single" w:sz="4" w:space="0" w:color="auto"/>
              <w:left w:val="nil"/>
              <w:bottom w:val="nil"/>
              <w:right w:val="nil"/>
            </w:tcBorders>
            <w:shd w:val="clear" w:color="000000" w:fill="CCECFF"/>
            <w:vAlign w:val="center"/>
            <w:hideMark/>
          </w:tcPr>
          <w:p w14:paraId="2B69F485"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(20,057)</w:t>
            </w:r>
          </w:p>
        </w:tc>
        <w:tc>
          <w:tcPr>
            <w:tcW w:w="510" w:type="pct"/>
            <w:tcBorders>
              <w:top w:val="single" w:sz="4" w:space="0" w:color="auto"/>
              <w:left w:val="nil"/>
              <w:bottom w:val="nil"/>
              <w:right w:val="nil"/>
            </w:tcBorders>
            <w:shd w:val="clear" w:color="000000" w:fill="CCECFF"/>
            <w:vAlign w:val="center"/>
            <w:hideMark/>
          </w:tcPr>
          <w:p w14:paraId="1AD65947"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(20,057)</w:t>
            </w:r>
          </w:p>
        </w:tc>
      </w:tr>
      <w:tr w:rsidR="005259BF" w:rsidRPr="005042CE" w14:paraId="309C5487" w14:textId="77777777" w:rsidTr="00032816">
        <w:trPr>
          <w:trHeight w:val="255"/>
        </w:trPr>
        <w:tc>
          <w:tcPr>
            <w:tcW w:w="2335" w:type="pct"/>
            <w:tcBorders>
              <w:top w:val="nil"/>
              <w:left w:val="nil"/>
              <w:bottom w:val="nil"/>
              <w:right w:val="nil"/>
            </w:tcBorders>
            <w:shd w:val="clear" w:color="000000" w:fill="FFFFFF"/>
            <w:noWrap/>
            <w:vAlign w:val="center"/>
            <w:hideMark/>
          </w:tcPr>
          <w:p w14:paraId="2290C3D6" w14:textId="77777777" w:rsidR="005259BF" w:rsidRPr="00423E56"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423E56">
              <w:rPr>
                <w:rFonts w:asciiTheme="minorHAnsi" w:eastAsia="Times New Roman" w:hAnsiTheme="minorHAnsi" w:cstheme="minorHAnsi"/>
                <w:b/>
                <w:bCs/>
                <w:color w:val="000000"/>
                <w:sz w:val="16"/>
                <w:szCs w:val="16"/>
                <w:lang w:eastAsia="en-GB"/>
              </w:rPr>
              <w:t> </w:t>
            </w:r>
          </w:p>
        </w:tc>
        <w:tc>
          <w:tcPr>
            <w:tcW w:w="506" w:type="pct"/>
            <w:tcBorders>
              <w:top w:val="nil"/>
              <w:left w:val="nil"/>
              <w:bottom w:val="nil"/>
              <w:right w:val="nil"/>
            </w:tcBorders>
            <w:shd w:val="clear" w:color="000000" w:fill="CCECFF"/>
            <w:vAlign w:val="center"/>
            <w:hideMark/>
          </w:tcPr>
          <w:p w14:paraId="26B5A549"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627" w:type="pct"/>
            <w:tcBorders>
              <w:top w:val="nil"/>
              <w:left w:val="nil"/>
              <w:bottom w:val="nil"/>
              <w:right w:val="nil"/>
            </w:tcBorders>
            <w:shd w:val="clear" w:color="000000" w:fill="CCECFF"/>
            <w:vAlign w:val="center"/>
            <w:hideMark/>
          </w:tcPr>
          <w:p w14:paraId="2192B25F"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10" w:type="pct"/>
            <w:tcBorders>
              <w:top w:val="nil"/>
              <w:left w:val="nil"/>
              <w:bottom w:val="nil"/>
              <w:right w:val="nil"/>
            </w:tcBorders>
            <w:shd w:val="clear" w:color="000000" w:fill="CCECFF"/>
            <w:vAlign w:val="center"/>
            <w:hideMark/>
          </w:tcPr>
          <w:p w14:paraId="13D1999E"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12" w:type="pct"/>
            <w:tcBorders>
              <w:top w:val="nil"/>
              <w:left w:val="nil"/>
              <w:bottom w:val="nil"/>
              <w:right w:val="nil"/>
            </w:tcBorders>
            <w:shd w:val="clear" w:color="000000" w:fill="CCECFF"/>
            <w:vAlign w:val="center"/>
            <w:hideMark/>
          </w:tcPr>
          <w:p w14:paraId="6AFEF13A"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10" w:type="pct"/>
            <w:tcBorders>
              <w:top w:val="nil"/>
              <w:left w:val="nil"/>
              <w:bottom w:val="nil"/>
              <w:right w:val="nil"/>
            </w:tcBorders>
            <w:shd w:val="clear" w:color="000000" w:fill="CCECFF"/>
            <w:vAlign w:val="center"/>
            <w:hideMark/>
          </w:tcPr>
          <w:p w14:paraId="51792C10"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r>
      <w:tr w:rsidR="005259BF" w:rsidRPr="005042CE" w14:paraId="7E9EB4F1" w14:textId="77777777" w:rsidTr="00032816">
        <w:trPr>
          <w:trHeight w:val="240"/>
        </w:trPr>
        <w:tc>
          <w:tcPr>
            <w:tcW w:w="2335" w:type="pct"/>
            <w:tcBorders>
              <w:top w:val="nil"/>
              <w:left w:val="nil"/>
              <w:bottom w:val="nil"/>
              <w:right w:val="nil"/>
            </w:tcBorders>
            <w:shd w:val="clear" w:color="000000" w:fill="FFFFFF"/>
            <w:noWrap/>
            <w:vAlign w:val="center"/>
            <w:hideMark/>
          </w:tcPr>
          <w:p w14:paraId="78639C67" w14:textId="77777777" w:rsidR="005259BF" w:rsidRPr="00423E56" w:rsidRDefault="005259BF" w:rsidP="00032816">
            <w:pPr>
              <w:spacing w:after="0" w:line="240" w:lineRule="auto"/>
              <w:jc w:val="left"/>
              <w:rPr>
                <w:rFonts w:asciiTheme="minorHAnsi" w:eastAsia="Times New Roman" w:hAnsiTheme="minorHAnsi" w:cstheme="minorHAnsi"/>
                <w:color w:val="000000"/>
                <w:sz w:val="16"/>
                <w:szCs w:val="16"/>
                <w:lang w:eastAsia="en-GB"/>
              </w:rPr>
            </w:pPr>
            <w:r w:rsidRPr="00423E56">
              <w:rPr>
                <w:rFonts w:asciiTheme="minorHAnsi" w:eastAsia="Times New Roman" w:hAnsiTheme="minorHAnsi" w:cstheme="minorHAnsi"/>
                <w:color w:val="000000"/>
                <w:sz w:val="16"/>
                <w:szCs w:val="16"/>
                <w:lang w:eastAsia="en-GB"/>
              </w:rPr>
              <w:t>Transfers (to)/from Earmarked Reserves</w:t>
            </w:r>
          </w:p>
        </w:tc>
        <w:tc>
          <w:tcPr>
            <w:tcW w:w="506" w:type="pct"/>
            <w:tcBorders>
              <w:top w:val="nil"/>
              <w:left w:val="nil"/>
              <w:bottom w:val="nil"/>
              <w:right w:val="nil"/>
            </w:tcBorders>
            <w:shd w:val="clear" w:color="000000" w:fill="CCECFF"/>
            <w:vAlign w:val="center"/>
            <w:hideMark/>
          </w:tcPr>
          <w:p w14:paraId="207401B3" w14:textId="77777777" w:rsidR="005259BF" w:rsidRPr="00423E56"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 </w:t>
            </w:r>
          </w:p>
        </w:tc>
        <w:tc>
          <w:tcPr>
            <w:tcW w:w="627" w:type="pct"/>
            <w:tcBorders>
              <w:top w:val="nil"/>
              <w:left w:val="nil"/>
              <w:bottom w:val="nil"/>
              <w:right w:val="nil"/>
            </w:tcBorders>
            <w:shd w:val="clear" w:color="000000" w:fill="CCECFF"/>
            <w:vAlign w:val="center"/>
            <w:hideMark/>
          </w:tcPr>
          <w:p w14:paraId="1D71E142" w14:textId="77777777" w:rsidR="005259BF" w:rsidRPr="00423E56"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w:t>
            </w:r>
          </w:p>
        </w:tc>
        <w:tc>
          <w:tcPr>
            <w:tcW w:w="510" w:type="pct"/>
            <w:tcBorders>
              <w:top w:val="nil"/>
              <w:left w:val="nil"/>
              <w:bottom w:val="nil"/>
              <w:right w:val="nil"/>
            </w:tcBorders>
            <w:shd w:val="clear" w:color="000000" w:fill="CCECFF"/>
            <w:vAlign w:val="center"/>
            <w:hideMark/>
          </w:tcPr>
          <w:p w14:paraId="34DB616A"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12" w:type="pct"/>
            <w:tcBorders>
              <w:top w:val="nil"/>
              <w:left w:val="nil"/>
              <w:bottom w:val="nil"/>
              <w:right w:val="nil"/>
            </w:tcBorders>
            <w:shd w:val="clear" w:color="000000" w:fill="CCECFF"/>
            <w:vAlign w:val="center"/>
            <w:hideMark/>
          </w:tcPr>
          <w:p w14:paraId="5F350170" w14:textId="77777777" w:rsidR="005259BF" w:rsidRPr="00423E56" w:rsidRDefault="005259BF"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w:t>
            </w:r>
          </w:p>
        </w:tc>
        <w:tc>
          <w:tcPr>
            <w:tcW w:w="510" w:type="pct"/>
            <w:tcBorders>
              <w:top w:val="nil"/>
              <w:left w:val="nil"/>
              <w:bottom w:val="nil"/>
              <w:right w:val="nil"/>
            </w:tcBorders>
            <w:shd w:val="clear" w:color="000000" w:fill="CCECFF"/>
            <w:vAlign w:val="center"/>
            <w:hideMark/>
          </w:tcPr>
          <w:p w14:paraId="0F850F0A" w14:textId="77777777" w:rsidR="005259BF" w:rsidRPr="00423E56"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r>
      <w:tr w:rsidR="005259BF" w:rsidRPr="005042CE" w14:paraId="4A56307A" w14:textId="77777777" w:rsidTr="00032816">
        <w:trPr>
          <w:trHeight w:val="240"/>
        </w:trPr>
        <w:tc>
          <w:tcPr>
            <w:tcW w:w="2335" w:type="pct"/>
            <w:tcBorders>
              <w:top w:val="single" w:sz="4" w:space="0" w:color="auto"/>
              <w:left w:val="nil"/>
              <w:bottom w:val="single" w:sz="4" w:space="0" w:color="auto"/>
              <w:right w:val="nil"/>
            </w:tcBorders>
            <w:shd w:val="clear" w:color="000000" w:fill="FFFFFF"/>
            <w:noWrap/>
            <w:vAlign w:val="center"/>
            <w:hideMark/>
          </w:tcPr>
          <w:p w14:paraId="2990783D" w14:textId="77777777" w:rsidR="005259BF" w:rsidRPr="005259BF"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5259BF">
              <w:rPr>
                <w:rFonts w:asciiTheme="minorHAnsi" w:eastAsia="Times New Roman" w:hAnsiTheme="minorHAnsi" w:cstheme="minorHAnsi"/>
                <w:b/>
                <w:bCs/>
                <w:color w:val="000000"/>
                <w:sz w:val="16"/>
                <w:szCs w:val="16"/>
                <w:lang w:eastAsia="en-GB"/>
              </w:rPr>
              <w:t>(Increase)/Decrease in 2025/26</w:t>
            </w:r>
          </w:p>
        </w:tc>
        <w:tc>
          <w:tcPr>
            <w:tcW w:w="506" w:type="pct"/>
            <w:tcBorders>
              <w:top w:val="single" w:sz="4" w:space="0" w:color="auto"/>
              <w:left w:val="nil"/>
              <w:bottom w:val="single" w:sz="4" w:space="0" w:color="auto"/>
              <w:right w:val="nil"/>
            </w:tcBorders>
            <w:shd w:val="clear" w:color="000000" w:fill="CCECFF"/>
            <w:vAlign w:val="center"/>
            <w:hideMark/>
          </w:tcPr>
          <w:p w14:paraId="26618B36"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627" w:type="pct"/>
            <w:tcBorders>
              <w:top w:val="single" w:sz="4" w:space="0" w:color="auto"/>
              <w:left w:val="nil"/>
              <w:bottom w:val="single" w:sz="4" w:space="0" w:color="auto"/>
              <w:right w:val="nil"/>
            </w:tcBorders>
            <w:shd w:val="clear" w:color="000000" w:fill="CCECFF"/>
            <w:vAlign w:val="center"/>
            <w:hideMark/>
          </w:tcPr>
          <w:p w14:paraId="0726624C"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0" w:type="pct"/>
            <w:tcBorders>
              <w:top w:val="single" w:sz="4" w:space="0" w:color="auto"/>
              <w:left w:val="nil"/>
              <w:bottom w:val="single" w:sz="4" w:space="0" w:color="auto"/>
              <w:right w:val="nil"/>
            </w:tcBorders>
            <w:shd w:val="clear" w:color="000000" w:fill="CCECFF"/>
            <w:vAlign w:val="center"/>
            <w:hideMark/>
          </w:tcPr>
          <w:p w14:paraId="6695C29E"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2" w:type="pct"/>
            <w:tcBorders>
              <w:top w:val="single" w:sz="4" w:space="0" w:color="auto"/>
              <w:left w:val="nil"/>
              <w:bottom w:val="single" w:sz="4" w:space="0" w:color="auto"/>
              <w:right w:val="nil"/>
            </w:tcBorders>
            <w:shd w:val="clear" w:color="000000" w:fill="CCECFF"/>
            <w:vAlign w:val="center"/>
            <w:hideMark/>
          </w:tcPr>
          <w:p w14:paraId="1A580C68"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000000"/>
                <w:sz w:val="16"/>
                <w:szCs w:val="16"/>
                <w:lang w:eastAsia="en-GB"/>
              </w:rPr>
              <w:t>(20,057)</w:t>
            </w:r>
          </w:p>
        </w:tc>
        <w:tc>
          <w:tcPr>
            <w:tcW w:w="510" w:type="pct"/>
            <w:tcBorders>
              <w:top w:val="single" w:sz="4" w:space="0" w:color="auto"/>
              <w:left w:val="nil"/>
              <w:bottom w:val="single" w:sz="4" w:space="0" w:color="auto"/>
              <w:right w:val="nil"/>
            </w:tcBorders>
            <w:shd w:val="clear" w:color="000000" w:fill="CCECFF"/>
            <w:vAlign w:val="center"/>
            <w:hideMark/>
          </w:tcPr>
          <w:p w14:paraId="3EE09F90"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000000"/>
                <w:sz w:val="16"/>
                <w:szCs w:val="16"/>
                <w:lang w:eastAsia="en-GB"/>
              </w:rPr>
              <w:t>(20,057)</w:t>
            </w:r>
          </w:p>
        </w:tc>
      </w:tr>
      <w:tr w:rsidR="005259BF" w:rsidRPr="005042CE" w14:paraId="3B202A4C" w14:textId="77777777" w:rsidTr="00032816">
        <w:trPr>
          <w:trHeight w:val="240"/>
        </w:trPr>
        <w:tc>
          <w:tcPr>
            <w:tcW w:w="2335" w:type="pct"/>
            <w:tcBorders>
              <w:top w:val="nil"/>
              <w:left w:val="nil"/>
              <w:bottom w:val="nil"/>
              <w:right w:val="nil"/>
            </w:tcBorders>
            <w:shd w:val="clear" w:color="000000" w:fill="FFFFFF"/>
            <w:noWrap/>
            <w:vAlign w:val="center"/>
            <w:hideMark/>
          </w:tcPr>
          <w:p w14:paraId="678E9800" w14:textId="77777777" w:rsidR="005259BF" w:rsidRPr="005259BF" w:rsidRDefault="005259BF" w:rsidP="00032816">
            <w:pPr>
              <w:spacing w:after="0" w:line="240" w:lineRule="auto"/>
              <w:jc w:val="lef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 </w:t>
            </w:r>
          </w:p>
        </w:tc>
        <w:tc>
          <w:tcPr>
            <w:tcW w:w="506" w:type="pct"/>
            <w:tcBorders>
              <w:top w:val="nil"/>
              <w:left w:val="nil"/>
              <w:bottom w:val="nil"/>
              <w:right w:val="nil"/>
            </w:tcBorders>
            <w:shd w:val="clear" w:color="000000" w:fill="FFFFFF"/>
            <w:noWrap/>
            <w:vAlign w:val="center"/>
            <w:hideMark/>
          </w:tcPr>
          <w:p w14:paraId="646A367A" w14:textId="77777777" w:rsidR="005259BF" w:rsidRPr="005259BF" w:rsidRDefault="005259BF" w:rsidP="00032816">
            <w:pPr>
              <w:spacing w:after="0" w:line="240" w:lineRule="auto"/>
              <w:jc w:val="righ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 </w:t>
            </w:r>
          </w:p>
        </w:tc>
        <w:tc>
          <w:tcPr>
            <w:tcW w:w="627" w:type="pct"/>
            <w:tcBorders>
              <w:top w:val="nil"/>
              <w:left w:val="nil"/>
              <w:bottom w:val="nil"/>
              <w:right w:val="nil"/>
            </w:tcBorders>
            <w:shd w:val="clear" w:color="000000" w:fill="FFFFFF"/>
            <w:noWrap/>
            <w:vAlign w:val="center"/>
            <w:hideMark/>
          </w:tcPr>
          <w:p w14:paraId="59B8D789" w14:textId="77777777" w:rsidR="005259BF" w:rsidRPr="005259BF" w:rsidRDefault="005259BF" w:rsidP="00032816">
            <w:pPr>
              <w:spacing w:after="0" w:line="240" w:lineRule="auto"/>
              <w:jc w:val="righ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 </w:t>
            </w:r>
          </w:p>
        </w:tc>
        <w:tc>
          <w:tcPr>
            <w:tcW w:w="510" w:type="pct"/>
            <w:tcBorders>
              <w:top w:val="nil"/>
              <w:left w:val="nil"/>
              <w:bottom w:val="nil"/>
              <w:right w:val="nil"/>
            </w:tcBorders>
            <w:shd w:val="clear" w:color="000000" w:fill="FFFFFF"/>
            <w:noWrap/>
            <w:vAlign w:val="center"/>
            <w:hideMark/>
          </w:tcPr>
          <w:p w14:paraId="23318E38" w14:textId="77777777" w:rsidR="005259BF" w:rsidRPr="005259BF" w:rsidRDefault="005259BF" w:rsidP="00032816">
            <w:pPr>
              <w:spacing w:after="0" w:line="240" w:lineRule="auto"/>
              <w:jc w:val="righ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 </w:t>
            </w:r>
          </w:p>
        </w:tc>
        <w:tc>
          <w:tcPr>
            <w:tcW w:w="512" w:type="pct"/>
            <w:tcBorders>
              <w:top w:val="nil"/>
              <w:left w:val="nil"/>
              <w:bottom w:val="nil"/>
              <w:right w:val="nil"/>
            </w:tcBorders>
            <w:shd w:val="clear" w:color="000000" w:fill="FFFFFF"/>
            <w:noWrap/>
            <w:vAlign w:val="center"/>
            <w:hideMark/>
          </w:tcPr>
          <w:p w14:paraId="3F29BFF4" w14:textId="77777777" w:rsidR="005259BF" w:rsidRPr="005259BF" w:rsidRDefault="005259BF" w:rsidP="00032816">
            <w:pPr>
              <w:spacing w:after="0" w:line="240" w:lineRule="auto"/>
              <w:jc w:val="righ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 </w:t>
            </w:r>
          </w:p>
        </w:tc>
        <w:tc>
          <w:tcPr>
            <w:tcW w:w="510" w:type="pct"/>
            <w:tcBorders>
              <w:top w:val="nil"/>
              <w:left w:val="nil"/>
              <w:bottom w:val="nil"/>
              <w:right w:val="nil"/>
            </w:tcBorders>
            <w:shd w:val="clear" w:color="000000" w:fill="FFFFFF"/>
            <w:noWrap/>
            <w:vAlign w:val="center"/>
            <w:hideMark/>
          </w:tcPr>
          <w:p w14:paraId="3FB5C3AA" w14:textId="77777777" w:rsidR="005259BF" w:rsidRPr="005259BF" w:rsidRDefault="005259BF" w:rsidP="00032816">
            <w:pPr>
              <w:spacing w:after="0" w:line="240" w:lineRule="auto"/>
              <w:jc w:val="right"/>
              <w:rPr>
                <w:rFonts w:asciiTheme="minorHAnsi" w:eastAsia="Times New Roman" w:hAnsiTheme="minorHAnsi" w:cstheme="minorHAnsi"/>
                <w:color w:val="000000"/>
                <w:sz w:val="16"/>
                <w:szCs w:val="16"/>
                <w:lang w:eastAsia="en-GB"/>
              </w:rPr>
            </w:pPr>
            <w:r w:rsidRPr="005259BF">
              <w:rPr>
                <w:rFonts w:asciiTheme="minorHAnsi" w:eastAsia="Times New Roman" w:hAnsiTheme="minorHAnsi" w:cstheme="minorHAnsi"/>
                <w:color w:val="000000"/>
                <w:sz w:val="16"/>
                <w:szCs w:val="16"/>
                <w:lang w:eastAsia="en-GB"/>
              </w:rPr>
              <w:t> </w:t>
            </w:r>
          </w:p>
        </w:tc>
      </w:tr>
      <w:tr w:rsidR="005259BF" w:rsidRPr="005042CE" w14:paraId="41FA2F44" w14:textId="77777777" w:rsidTr="00032816">
        <w:trPr>
          <w:trHeight w:val="240"/>
        </w:trPr>
        <w:tc>
          <w:tcPr>
            <w:tcW w:w="2335" w:type="pct"/>
            <w:tcBorders>
              <w:top w:val="single" w:sz="4" w:space="0" w:color="auto"/>
              <w:left w:val="nil"/>
              <w:bottom w:val="single" w:sz="4" w:space="0" w:color="auto"/>
              <w:right w:val="nil"/>
            </w:tcBorders>
            <w:shd w:val="clear" w:color="000000" w:fill="FFFFFF"/>
            <w:noWrap/>
            <w:vAlign w:val="center"/>
            <w:hideMark/>
          </w:tcPr>
          <w:p w14:paraId="5C0381C5" w14:textId="77777777" w:rsidR="005259BF" w:rsidRPr="005259BF" w:rsidRDefault="005259BF" w:rsidP="00032816">
            <w:pPr>
              <w:spacing w:after="0" w:line="240" w:lineRule="auto"/>
              <w:jc w:val="left"/>
              <w:rPr>
                <w:rFonts w:asciiTheme="minorHAnsi" w:eastAsia="Times New Roman" w:hAnsiTheme="minorHAnsi" w:cstheme="minorHAnsi"/>
                <w:b/>
                <w:bCs/>
                <w:color w:val="000000"/>
                <w:sz w:val="16"/>
                <w:szCs w:val="16"/>
                <w:lang w:eastAsia="en-GB"/>
              </w:rPr>
            </w:pPr>
            <w:r w:rsidRPr="005259BF">
              <w:rPr>
                <w:rFonts w:asciiTheme="minorHAnsi" w:eastAsia="Times New Roman" w:hAnsiTheme="minorHAnsi" w:cstheme="minorHAnsi"/>
                <w:b/>
                <w:bCs/>
                <w:color w:val="000000"/>
                <w:sz w:val="16"/>
                <w:szCs w:val="16"/>
                <w:lang w:eastAsia="en-GB"/>
              </w:rPr>
              <w:t xml:space="preserve">Balance </w:t>
            </w:r>
            <w:proofErr w:type="gramStart"/>
            <w:r w:rsidRPr="005259BF">
              <w:rPr>
                <w:rFonts w:asciiTheme="minorHAnsi" w:eastAsia="Times New Roman" w:hAnsiTheme="minorHAnsi" w:cstheme="minorHAnsi"/>
                <w:b/>
                <w:bCs/>
                <w:color w:val="000000"/>
                <w:sz w:val="16"/>
                <w:szCs w:val="16"/>
                <w:lang w:eastAsia="en-GB"/>
              </w:rPr>
              <w:t>at</w:t>
            </w:r>
            <w:proofErr w:type="gramEnd"/>
            <w:r w:rsidRPr="005259BF">
              <w:rPr>
                <w:rFonts w:asciiTheme="minorHAnsi" w:eastAsia="Times New Roman" w:hAnsiTheme="minorHAnsi" w:cstheme="minorHAnsi"/>
                <w:b/>
                <w:bCs/>
                <w:color w:val="000000"/>
                <w:sz w:val="16"/>
                <w:szCs w:val="16"/>
                <w:lang w:eastAsia="en-GB"/>
              </w:rPr>
              <w:t xml:space="preserve"> 31 March 2026</w:t>
            </w:r>
          </w:p>
        </w:tc>
        <w:tc>
          <w:tcPr>
            <w:tcW w:w="506" w:type="pct"/>
            <w:tcBorders>
              <w:top w:val="single" w:sz="4" w:space="0" w:color="auto"/>
              <w:left w:val="nil"/>
              <w:bottom w:val="single" w:sz="4" w:space="0" w:color="auto"/>
              <w:right w:val="nil"/>
            </w:tcBorders>
            <w:shd w:val="clear" w:color="000000" w:fill="CCECFF"/>
            <w:vAlign w:val="center"/>
            <w:hideMark/>
          </w:tcPr>
          <w:p w14:paraId="0D964C72"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627" w:type="pct"/>
            <w:tcBorders>
              <w:top w:val="single" w:sz="4" w:space="0" w:color="auto"/>
              <w:left w:val="nil"/>
              <w:bottom w:val="single" w:sz="4" w:space="0" w:color="auto"/>
              <w:right w:val="nil"/>
            </w:tcBorders>
            <w:shd w:val="clear" w:color="000000" w:fill="CCECFF"/>
            <w:vAlign w:val="center"/>
            <w:hideMark/>
          </w:tcPr>
          <w:p w14:paraId="59FF57C7"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0" w:type="pct"/>
            <w:tcBorders>
              <w:top w:val="single" w:sz="4" w:space="0" w:color="auto"/>
              <w:left w:val="nil"/>
              <w:bottom w:val="single" w:sz="4" w:space="0" w:color="auto"/>
              <w:right w:val="nil"/>
            </w:tcBorders>
            <w:shd w:val="clear" w:color="000000" w:fill="CCECFF"/>
            <w:vAlign w:val="center"/>
            <w:hideMark/>
          </w:tcPr>
          <w:p w14:paraId="33D74722"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w:t>
            </w:r>
          </w:p>
        </w:tc>
        <w:tc>
          <w:tcPr>
            <w:tcW w:w="512" w:type="pct"/>
            <w:tcBorders>
              <w:top w:val="single" w:sz="4" w:space="0" w:color="auto"/>
              <w:left w:val="nil"/>
              <w:bottom w:val="single" w:sz="4" w:space="0" w:color="auto"/>
              <w:right w:val="nil"/>
            </w:tcBorders>
            <w:shd w:val="clear" w:color="000000" w:fill="CCECFF"/>
            <w:vAlign w:val="center"/>
            <w:hideMark/>
          </w:tcPr>
          <w:p w14:paraId="64D0B505"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935,227</w:t>
            </w:r>
          </w:p>
        </w:tc>
        <w:tc>
          <w:tcPr>
            <w:tcW w:w="510" w:type="pct"/>
            <w:tcBorders>
              <w:top w:val="single" w:sz="4" w:space="0" w:color="auto"/>
              <w:left w:val="nil"/>
              <w:bottom w:val="single" w:sz="4" w:space="0" w:color="auto"/>
              <w:right w:val="nil"/>
            </w:tcBorders>
            <w:shd w:val="clear" w:color="000000" w:fill="CCECFF"/>
            <w:vAlign w:val="center"/>
            <w:hideMark/>
          </w:tcPr>
          <w:p w14:paraId="35BD8092" w14:textId="77777777" w:rsidR="005259BF" w:rsidRPr="005259BF" w:rsidRDefault="005259BF" w:rsidP="00032816">
            <w:pPr>
              <w:spacing w:after="0" w:line="240" w:lineRule="auto"/>
              <w:jc w:val="right"/>
              <w:rPr>
                <w:rFonts w:asciiTheme="minorHAnsi" w:eastAsia="Times New Roman" w:hAnsiTheme="minorHAnsi" w:cstheme="minorHAnsi"/>
                <w:b/>
                <w:bCs/>
                <w:color w:val="auto"/>
                <w:sz w:val="16"/>
                <w:szCs w:val="16"/>
                <w:lang w:eastAsia="en-GB"/>
              </w:rPr>
            </w:pPr>
            <w:r w:rsidRPr="005259BF">
              <w:rPr>
                <w:rFonts w:asciiTheme="minorHAnsi" w:eastAsia="Times New Roman" w:hAnsiTheme="minorHAnsi" w:cstheme="minorHAnsi"/>
                <w:b/>
                <w:bCs/>
                <w:color w:val="auto"/>
                <w:sz w:val="16"/>
                <w:szCs w:val="16"/>
                <w:lang w:eastAsia="en-GB"/>
              </w:rPr>
              <w:t>935,227</w:t>
            </w:r>
          </w:p>
        </w:tc>
      </w:tr>
    </w:tbl>
    <w:p w14:paraId="719FB161" w14:textId="3CD1A3CE" w:rsidR="005F5631" w:rsidRDefault="005F5631"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4617"/>
        <w:gridCol w:w="989"/>
        <w:gridCol w:w="1020"/>
        <w:gridCol w:w="999"/>
        <w:gridCol w:w="1008"/>
        <w:gridCol w:w="1006"/>
      </w:tblGrid>
      <w:tr w:rsidR="005042CE" w:rsidRPr="00282F63" w14:paraId="03F5E9BB" w14:textId="77777777" w:rsidTr="00282F63">
        <w:trPr>
          <w:trHeight w:val="1005"/>
        </w:trPr>
        <w:tc>
          <w:tcPr>
            <w:tcW w:w="2395" w:type="pct"/>
            <w:tcBorders>
              <w:top w:val="nil"/>
              <w:left w:val="nil"/>
              <w:bottom w:val="nil"/>
              <w:right w:val="nil"/>
            </w:tcBorders>
            <w:shd w:val="clear" w:color="000000" w:fill="000099"/>
            <w:vAlign w:val="center"/>
            <w:hideMark/>
          </w:tcPr>
          <w:p w14:paraId="080B4108" w14:textId="77777777" w:rsidR="00282F63" w:rsidRPr="00282F63" w:rsidRDefault="00282F63" w:rsidP="003356AE">
            <w:pPr>
              <w:spacing w:after="0" w:line="240" w:lineRule="auto"/>
              <w:jc w:val="left"/>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Chief Constable</w:t>
            </w:r>
          </w:p>
        </w:tc>
        <w:tc>
          <w:tcPr>
            <w:tcW w:w="513" w:type="pct"/>
            <w:tcBorders>
              <w:top w:val="nil"/>
              <w:left w:val="nil"/>
              <w:bottom w:val="nil"/>
              <w:right w:val="nil"/>
            </w:tcBorders>
            <w:shd w:val="clear" w:color="000000" w:fill="000099"/>
            <w:vAlign w:val="center"/>
            <w:hideMark/>
          </w:tcPr>
          <w:p w14:paraId="32CA894E"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General Fund Balance</w:t>
            </w:r>
          </w:p>
        </w:tc>
        <w:tc>
          <w:tcPr>
            <w:tcW w:w="529" w:type="pct"/>
            <w:tcBorders>
              <w:top w:val="nil"/>
              <w:left w:val="nil"/>
              <w:bottom w:val="nil"/>
              <w:right w:val="nil"/>
            </w:tcBorders>
            <w:shd w:val="clear" w:color="000000" w:fill="000099"/>
            <w:vAlign w:val="center"/>
            <w:hideMark/>
          </w:tcPr>
          <w:p w14:paraId="1F02450D"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Earmarked General Fund Reserves</w:t>
            </w:r>
          </w:p>
        </w:tc>
        <w:tc>
          <w:tcPr>
            <w:tcW w:w="518" w:type="pct"/>
            <w:tcBorders>
              <w:top w:val="nil"/>
              <w:left w:val="nil"/>
              <w:bottom w:val="nil"/>
              <w:right w:val="nil"/>
            </w:tcBorders>
            <w:shd w:val="clear" w:color="000000" w:fill="000099"/>
            <w:vAlign w:val="center"/>
            <w:hideMark/>
          </w:tcPr>
          <w:p w14:paraId="351FD881"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Total Usable Reserves</w:t>
            </w:r>
          </w:p>
        </w:tc>
        <w:tc>
          <w:tcPr>
            <w:tcW w:w="523" w:type="pct"/>
            <w:tcBorders>
              <w:top w:val="nil"/>
              <w:left w:val="nil"/>
              <w:bottom w:val="nil"/>
              <w:right w:val="nil"/>
            </w:tcBorders>
            <w:shd w:val="clear" w:color="000000" w:fill="000099"/>
            <w:vAlign w:val="center"/>
            <w:hideMark/>
          </w:tcPr>
          <w:p w14:paraId="21C1A7B7"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Unusable Reserves</w:t>
            </w:r>
          </w:p>
        </w:tc>
        <w:tc>
          <w:tcPr>
            <w:tcW w:w="523" w:type="pct"/>
            <w:tcBorders>
              <w:top w:val="nil"/>
              <w:left w:val="nil"/>
              <w:bottom w:val="nil"/>
              <w:right w:val="nil"/>
            </w:tcBorders>
            <w:shd w:val="clear" w:color="000000" w:fill="000099"/>
            <w:vAlign w:val="center"/>
            <w:hideMark/>
          </w:tcPr>
          <w:p w14:paraId="1D4BE752"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Total</w:t>
            </w:r>
            <w:r w:rsidRPr="00282F63">
              <w:rPr>
                <w:rFonts w:asciiTheme="minorHAnsi" w:eastAsia="Times New Roman" w:hAnsiTheme="minorHAnsi" w:cstheme="minorHAnsi"/>
                <w:b/>
                <w:bCs/>
                <w:color w:val="FFFFFF"/>
                <w:sz w:val="16"/>
                <w:szCs w:val="16"/>
                <w:lang w:eastAsia="en-GB"/>
              </w:rPr>
              <w:br/>
              <w:t>Reserves</w:t>
            </w:r>
          </w:p>
        </w:tc>
      </w:tr>
      <w:tr w:rsidR="005042CE" w:rsidRPr="00282F63" w14:paraId="0D79730D" w14:textId="77777777" w:rsidTr="00282F63">
        <w:trPr>
          <w:trHeight w:val="240"/>
        </w:trPr>
        <w:tc>
          <w:tcPr>
            <w:tcW w:w="2395" w:type="pct"/>
            <w:tcBorders>
              <w:top w:val="nil"/>
              <w:left w:val="nil"/>
              <w:bottom w:val="nil"/>
              <w:right w:val="nil"/>
            </w:tcBorders>
            <w:shd w:val="clear" w:color="000000" w:fill="000099"/>
            <w:vAlign w:val="bottom"/>
            <w:hideMark/>
          </w:tcPr>
          <w:p w14:paraId="0C1457DB" w14:textId="77777777" w:rsidR="00282F63" w:rsidRPr="00282F63" w:rsidRDefault="00282F63" w:rsidP="003356AE">
            <w:pPr>
              <w:spacing w:after="0" w:line="240" w:lineRule="auto"/>
              <w:jc w:val="left"/>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 </w:t>
            </w:r>
          </w:p>
        </w:tc>
        <w:tc>
          <w:tcPr>
            <w:tcW w:w="513" w:type="pct"/>
            <w:tcBorders>
              <w:top w:val="nil"/>
              <w:left w:val="nil"/>
              <w:bottom w:val="nil"/>
              <w:right w:val="nil"/>
            </w:tcBorders>
            <w:shd w:val="clear" w:color="000000" w:fill="000099"/>
            <w:vAlign w:val="bottom"/>
            <w:hideMark/>
          </w:tcPr>
          <w:p w14:paraId="037B2F23"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£000</w:t>
            </w:r>
          </w:p>
        </w:tc>
        <w:tc>
          <w:tcPr>
            <w:tcW w:w="529" w:type="pct"/>
            <w:tcBorders>
              <w:top w:val="nil"/>
              <w:left w:val="nil"/>
              <w:bottom w:val="nil"/>
              <w:right w:val="nil"/>
            </w:tcBorders>
            <w:shd w:val="clear" w:color="000000" w:fill="000099"/>
            <w:vAlign w:val="bottom"/>
            <w:hideMark/>
          </w:tcPr>
          <w:p w14:paraId="27CC00E2"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£000</w:t>
            </w:r>
          </w:p>
        </w:tc>
        <w:tc>
          <w:tcPr>
            <w:tcW w:w="518" w:type="pct"/>
            <w:tcBorders>
              <w:top w:val="nil"/>
              <w:left w:val="nil"/>
              <w:bottom w:val="nil"/>
              <w:right w:val="nil"/>
            </w:tcBorders>
            <w:shd w:val="clear" w:color="000000" w:fill="000099"/>
            <w:vAlign w:val="bottom"/>
            <w:hideMark/>
          </w:tcPr>
          <w:p w14:paraId="584AB1E8"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£000</w:t>
            </w:r>
          </w:p>
        </w:tc>
        <w:tc>
          <w:tcPr>
            <w:tcW w:w="523" w:type="pct"/>
            <w:tcBorders>
              <w:top w:val="nil"/>
              <w:left w:val="nil"/>
              <w:bottom w:val="nil"/>
              <w:right w:val="nil"/>
            </w:tcBorders>
            <w:shd w:val="clear" w:color="000000" w:fill="000099"/>
            <w:vAlign w:val="bottom"/>
            <w:hideMark/>
          </w:tcPr>
          <w:p w14:paraId="449804A2"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£000</w:t>
            </w:r>
          </w:p>
        </w:tc>
        <w:tc>
          <w:tcPr>
            <w:tcW w:w="523" w:type="pct"/>
            <w:tcBorders>
              <w:top w:val="nil"/>
              <w:left w:val="nil"/>
              <w:bottom w:val="nil"/>
              <w:right w:val="nil"/>
            </w:tcBorders>
            <w:shd w:val="clear" w:color="000000" w:fill="000099"/>
            <w:vAlign w:val="bottom"/>
            <w:hideMark/>
          </w:tcPr>
          <w:p w14:paraId="16F699DD" w14:textId="77777777" w:rsidR="00282F63" w:rsidRPr="00282F63" w:rsidRDefault="00282F63" w:rsidP="003356AE">
            <w:pPr>
              <w:spacing w:after="0" w:line="240" w:lineRule="auto"/>
              <w:jc w:val="center"/>
              <w:rPr>
                <w:rFonts w:asciiTheme="minorHAnsi" w:eastAsia="Times New Roman" w:hAnsiTheme="minorHAnsi" w:cstheme="minorHAnsi"/>
                <w:b/>
                <w:bCs/>
                <w:color w:val="FFFFFF"/>
                <w:sz w:val="16"/>
                <w:szCs w:val="16"/>
                <w:lang w:eastAsia="en-GB"/>
              </w:rPr>
            </w:pPr>
            <w:r w:rsidRPr="00282F63">
              <w:rPr>
                <w:rFonts w:asciiTheme="minorHAnsi" w:eastAsia="Times New Roman" w:hAnsiTheme="minorHAnsi" w:cstheme="minorHAnsi"/>
                <w:b/>
                <w:bCs/>
                <w:color w:val="FFFFFF"/>
                <w:sz w:val="16"/>
                <w:szCs w:val="16"/>
                <w:lang w:eastAsia="en-GB"/>
              </w:rPr>
              <w:t>£000</w:t>
            </w:r>
          </w:p>
        </w:tc>
      </w:tr>
      <w:tr w:rsidR="005042CE" w:rsidRPr="00282F63" w14:paraId="1E268FCB" w14:textId="77777777" w:rsidTr="00032816">
        <w:trPr>
          <w:trHeight w:val="240"/>
        </w:trPr>
        <w:tc>
          <w:tcPr>
            <w:tcW w:w="2395" w:type="pct"/>
            <w:tcBorders>
              <w:top w:val="nil"/>
              <w:left w:val="nil"/>
              <w:bottom w:val="nil"/>
              <w:right w:val="nil"/>
            </w:tcBorders>
            <w:shd w:val="clear" w:color="000000" w:fill="FFFFFF"/>
            <w:noWrap/>
            <w:vAlign w:val="center"/>
            <w:hideMark/>
          </w:tcPr>
          <w:p w14:paraId="073F834E" w14:textId="77777777" w:rsidR="00282F63" w:rsidRPr="00282F63"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282F63">
              <w:rPr>
                <w:rFonts w:asciiTheme="minorHAnsi" w:eastAsia="Times New Roman" w:hAnsiTheme="minorHAnsi" w:cstheme="minorHAnsi"/>
                <w:b/>
                <w:bCs/>
                <w:color w:val="000000"/>
                <w:sz w:val="16"/>
                <w:szCs w:val="16"/>
                <w:lang w:eastAsia="en-GB"/>
              </w:rPr>
              <w:t xml:space="preserve">Balance </w:t>
            </w:r>
            <w:proofErr w:type="gramStart"/>
            <w:r w:rsidRPr="00282F63">
              <w:rPr>
                <w:rFonts w:asciiTheme="minorHAnsi" w:eastAsia="Times New Roman" w:hAnsiTheme="minorHAnsi" w:cstheme="minorHAnsi"/>
                <w:b/>
                <w:bCs/>
                <w:color w:val="000000"/>
                <w:sz w:val="16"/>
                <w:szCs w:val="16"/>
                <w:lang w:eastAsia="en-GB"/>
              </w:rPr>
              <w:t>at</w:t>
            </w:r>
            <w:proofErr w:type="gramEnd"/>
            <w:r w:rsidRPr="00282F63">
              <w:rPr>
                <w:rFonts w:asciiTheme="minorHAnsi" w:eastAsia="Times New Roman" w:hAnsiTheme="minorHAnsi" w:cstheme="minorHAnsi"/>
                <w:b/>
                <w:bCs/>
                <w:color w:val="000000"/>
                <w:sz w:val="16"/>
                <w:szCs w:val="16"/>
                <w:lang w:eastAsia="en-GB"/>
              </w:rPr>
              <w:t xml:space="preserve"> 31 March 2024</w:t>
            </w:r>
          </w:p>
        </w:tc>
        <w:tc>
          <w:tcPr>
            <w:tcW w:w="513" w:type="pct"/>
            <w:tcBorders>
              <w:top w:val="nil"/>
              <w:left w:val="nil"/>
              <w:bottom w:val="nil"/>
              <w:right w:val="nil"/>
            </w:tcBorders>
            <w:shd w:val="clear" w:color="000000" w:fill="FFFFFF"/>
            <w:vAlign w:val="center"/>
            <w:hideMark/>
          </w:tcPr>
          <w:p w14:paraId="2A9D090D"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29" w:type="pct"/>
            <w:tcBorders>
              <w:top w:val="nil"/>
              <w:left w:val="nil"/>
              <w:bottom w:val="nil"/>
              <w:right w:val="nil"/>
            </w:tcBorders>
            <w:shd w:val="clear" w:color="000000" w:fill="FFFFFF"/>
            <w:vAlign w:val="center"/>
            <w:hideMark/>
          </w:tcPr>
          <w:p w14:paraId="6570F6A9"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18" w:type="pct"/>
            <w:tcBorders>
              <w:top w:val="nil"/>
              <w:left w:val="nil"/>
              <w:bottom w:val="nil"/>
              <w:right w:val="nil"/>
            </w:tcBorders>
            <w:shd w:val="clear" w:color="000000" w:fill="FFFFFF"/>
            <w:vAlign w:val="center"/>
            <w:hideMark/>
          </w:tcPr>
          <w:p w14:paraId="39B3A16A"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23" w:type="pct"/>
            <w:tcBorders>
              <w:top w:val="nil"/>
              <w:left w:val="nil"/>
              <w:bottom w:val="nil"/>
              <w:right w:val="nil"/>
            </w:tcBorders>
            <w:shd w:val="clear" w:color="000000" w:fill="FFFFFF"/>
            <w:vAlign w:val="center"/>
            <w:hideMark/>
          </w:tcPr>
          <w:p w14:paraId="3B442830"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1,057,989</w:t>
            </w:r>
          </w:p>
        </w:tc>
        <w:tc>
          <w:tcPr>
            <w:tcW w:w="523" w:type="pct"/>
            <w:tcBorders>
              <w:top w:val="nil"/>
              <w:left w:val="nil"/>
              <w:bottom w:val="nil"/>
              <w:right w:val="nil"/>
            </w:tcBorders>
            <w:shd w:val="clear" w:color="000000" w:fill="FFFFFF"/>
            <w:vAlign w:val="center"/>
            <w:hideMark/>
          </w:tcPr>
          <w:p w14:paraId="40C69A9F"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1,057,989</w:t>
            </w:r>
          </w:p>
        </w:tc>
      </w:tr>
      <w:tr w:rsidR="005042CE" w:rsidRPr="00282F63" w14:paraId="57705B42" w14:textId="77777777" w:rsidTr="00032816">
        <w:trPr>
          <w:trHeight w:val="255"/>
        </w:trPr>
        <w:tc>
          <w:tcPr>
            <w:tcW w:w="2395" w:type="pct"/>
            <w:tcBorders>
              <w:top w:val="nil"/>
              <w:left w:val="nil"/>
              <w:bottom w:val="nil"/>
              <w:right w:val="nil"/>
            </w:tcBorders>
            <w:shd w:val="clear" w:color="000000" w:fill="FFFFFF"/>
            <w:noWrap/>
            <w:vAlign w:val="center"/>
            <w:hideMark/>
          </w:tcPr>
          <w:p w14:paraId="486723E8" w14:textId="77777777" w:rsidR="00282F63" w:rsidRPr="00282F63"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282F63">
              <w:rPr>
                <w:rFonts w:asciiTheme="minorHAnsi" w:eastAsia="Times New Roman" w:hAnsiTheme="minorHAnsi" w:cstheme="minorHAnsi"/>
                <w:b/>
                <w:bCs/>
                <w:color w:val="000000"/>
                <w:sz w:val="16"/>
                <w:szCs w:val="16"/>
                <w:lang w:eastAsia="en-GB"/>
              </w:rPr>
              <w:t> </w:t>
            </w:r>
          </w:p>
        </w:tc>
        <w:tc>
          <w:tcPr>
            <w:tcW w:w="513" w:type="pct"/>
            <w:tcBorders>
              <w:top w:val="nil"/>
              <w:left w:val="nil"/>
              <w:bottom w:val="nil"/>
              <w:right w:val="nil"/>
            </w:tcBorders>
            <w:shd w:val="clear" w:color="000000" w:fill="FFFFFF"/>
            <w:vAlign w:val="center"/>
            <w:hideMark/>
          </w:tcPr>
          <w:p w14:paraId="37D947DC"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29" w:type="pct"/>
            <w:tcBorders>
              <w:top w:val="nil"/>
              <w:left w:val="nil"/>
              <w:bottom w:val="nil"/>
              <w:right w:val="nil"/>
            </w:tcBorders>
            <w:shd w:val="clear" w:color="000000" w:fill="FFFFFF"/>
            <w:vAlign w:val="center"/>
            <w:hideMark/>
          </w:tcPr>
          <w:p w14:paraId="25A68ED3"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18" w:type="pct"/>
            <w:tcBorders>
              <w:top w:val="nil"/>
              <w:left w:val="nil"/>
              <w:bottom w:val="nil"/>
              <w:right w:val="nil"/>
            </w:tcBorders>
            <w:shd w:val="clear" w:color="000000" w:fill="FFFFFF"/>
            <w:vAlign w:val="center"/>
            <w:hideMark/>
          </w:tcPr>
          <w:p w14:paraId="01C20E92"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23" w:type="pct"/>
            <w:tcBorders>
              <w:top w:val="nil"/>
              <w:left w:val="nil"/>
              <w:bottom w:val="nil"/>
              <w:right w:val="nil"/>
            </w:tcBorders>
            <w:shd w:val="clear" w:color="000000" w:fill="FFFFFF"/>
            <w:vAlign w:val="center"/>
            <w:hideMark/>
          </w:tcPr>
          <w:p w14:paraId="0CB5A952"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23" w:type="pct"/>
            <w:tcBorders>
              <w:top w:val="nil"/>
              <w:left w:val="nil"/>
              <w:bottom w:val="nil"/>
              <w:right w:val="nil"/>
            </w:tcBorders>
            <w:shd w:val="clear" w:color="000000" w:fill="FFFFFF"/>
            <w:vAlign w:val="center"/>
            <w:hideMark/>
          </w:tcPr>
          <w:p w14:paraId="302D5DB3"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 </w:t>
            </w:r>
          </w:p>
        </w:tc>
      </w:tr>
      <w:tr w:rsidR="005042CE" w:rsidRPr="00282F63" w14:paraId="529A0FDD" w14:textId="77777777" w:rsidTr="00032816">
        <w:trPr>
          <w:trHeight w:val="240"/>
        </w:trPr>
        <w:tc>
          <w:tcPr>
            <w:tcW w:w="2395" w:type="pct"/>
            <w:tcBorders>
              <w:top w:val="nil"/>
              <w:left w:val="nil"/>
              <w:bottom w:val="nil"/>
              <w:right w:val="nil"/>
            </w:tcBorders>
            <w:shd w:val="clear" w:color="000000" w:fill="FFFFFF"/>
            <w:noWrap/>
            <w:vAlign w:val="center"/>
            <w:hideMark/>
          </w:tcPr>
          <w:p w14:paraId="0C69C943" w14:textId="77777777" w:rsidR="00282F63" w:rsidRPr="00282F63"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282F63">
              <w:rPr>
                <w:rFonts w:asciiTheme="minorHAnsi" w:eastAsia="Times New Roman" w:hAnsiTheme="minorHAnsi" w:cstheme="minorHAnsi"/>
                <w:b/>
                <w:bCs/>
                <w:color w:val="000000"/>
                <w:sz w:val="16"/>
                <w:szCs w:val="16"/>
                <w:lang w:eastAsia="en-GB"/>
              </w:rPr>
              <w:t>Movement in reserves during 2024/25</w:t>
            </w:r>
          </w:p>
        </w:tc>
        <w:tc>
          <w:tcPr>
            <w:tcW w:w="513" w:type="pct"/>
            <w:tcBorders>
              <w:top w:val="nil"/>
              <w:left w:val="nil"/>
              <w:bottom w:val="nil"/>
              <w:right w:val="nil"/>
            </w:tcBorders>
            <w:shd w:val="clear" w:color="000000" w:fill="FFFFFF"/>
            <w:vAlign w:val="center"/>
            <w:hideMark/>
          </w:tcPr>
          <w:p w14:paraId="515AB5B4"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 </w:t>
            </w:r>
          </w:p>
        </w:tc>
        <w:tc>
          <w:tcPr>
            <w:tcW w:w="529" w:type="pct"/>
            <w:tcBorders>
              <w:top w:val="nil"/>
              <w:left w:val="nil"/>
              <w:bottom w:val="nil"/>
              <w:right w:val="nil"/>
            </w:tcBorders>
            <w:shd w:val="clear" w:color="000000" w:fill="FFFFFF"/>
            <w:vAlign w:val="center"/>
            <w:hideMark/>
          </w:tcPr>
          <w:p w14:paraId="1FF9943B"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 </w:t>
            </w:r>
          </w:p>
        </w:tc>
        <w:tc>
          <w:tcPr>
            <w:tcW w:w="518" w:type="pct"/>
            <w:tcBorders>
              <w:top w:val="nil"/>
              <w:left w:val="nil"/>
              <w:bottom w:val="nil"/>
              <w:right w:val="nil"/>
            </w:tcBorders>
            <w:shd w:val="clear" w:color="000000" w:fill="FFFFFF"/>
            <w:vAlign w:val="center"/>
            <w:hideMark/>
          </w:tcPr>
          <w:p w14:paraId="44B86D1B"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 </w:t>
            </w:r>
          </w:p>
        </w:tc>
        <w:tc>
          <w:tcPr>
            <w:tcW w:w="523" w:type="pct"/>
            <w:tcBorders>
              <w:top w:val="nil"/>
              <w:left w:val="nil"/>
              <w:bottom w:val="nil"/>
              <w:right w:val="nil"/>
            </w:tcBorders>
            <w:shd w:val="clear" w:color="000000" w:fill="FFFFFF"/>
            <w:vAlign w:val="center"/>
            <w:hideMark/>
          </w:tcPr>
          <w:p w14:paraId="723E7E32"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 </w:t>
            </w:r>
          </w:p>
        </w:tc>
        <w:tc>
          <w:tcPr>
            <w:tcW w:w="523" w:type="pct"/>
            <w:tcBorders>
              <w:top w:val="nil"/>
              <w:left w:val="nil"/>
              <w:bottom w:val="nil"/>
              <w:right w:val="nil"/>
            </w:tcBorders>
            <w:shd w:val="clear" w:color="000000" w:fill="FFFFFF"/>
            <w:vAlign w:val="center"/>
            <w:hideMark/>
          </w:tcPr>
          <w:p w14:paraId="627C38C0"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 </w:t>
            </w:r>
          </w:p>
        </w:tc>
      </w:tr>
      <w:tr w:rsidR="005042CE" w:rsidRPr="00282F63" w14:paraId="24F0C840" w14:textId="77777777" w:rsidTr="00032816">
        <w:trPr>
          <w:trHeight w:val="240"/>
        </w:trPr>
        <w:tc>
          <w:tcPr>
            <w:tcW w:w="2395" w:type="pct"/>
            <w:tcBorders>
              <w:top w:val="nil"/>
              <w:left w:val="nil"/>
              <w:bottom w:val="nil"/>
              <w:right w:val="nil"/>
            </w:tcBorders>
            <w:shd w:val="clear" w:color="000000" w:fill="FFFFFF"/>
            <w:noWrap/>
            <w:vAlign w:val="center"/>
            <w:hideMark/>
          </w:tcPr>
          <w:p w14:paraId="7B5F839F" w14:textId="77777777" w:rsidR="00282F63" w:rsidRPr="00282F63" w:rsidRDefault="00282F63" w:rsidP="003356AE">
            <w:pPr>
              <w:spacing w:after="0" w:line="240" w:lineRule="auto"/>
              <w:jc w:val="lef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Surplus/(deficit) on the provision of services</w:t>
            </w:r>
          </w:p>
        </w:tc>
        <w:tc>
          <w:tcPr>
            <w:tcW w:w="513" w:type="pct"/>
            <w:tcBorders>
              <w:top w:val="nil"/>
              <w:left w:val="nil"/>
              <w:bottom w:val="nil"/>
              <w:right w:val="nil"/>
            </w:tcBorders>
            <w:shd w:val="clear" w:color="000000" w:fill="FFFFFF"/>
            <w:vAlign w:val="center"/>
            <w:hideMark/>
          </w:tcPr>
          <w:p w14:paraId="1A497203"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18,327</w:t>
            </w:r>
          </w:p>
        </w:tc>
        <w:tc>
          <w:tcPr>
            <w:tcW w:w="529" w:type="pct"/>
            <w:tcBorders>
              <w:top w:val="nil"/>
              <w:left w:val="nil"/>
              <w:bottom w:val="nil"/>
              <w:right w:val="nil"/>
            </w:tcBorders>
            <w:shd w:val="clear" w:color="000000" w:fill="FFFFFF"/>
            <w:vAlign w:val="center"/>
            <w:hideMark/>
          </w:tcPr>
          <w:p w14:paraId="0EA78B53"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w:t>
            </w:r>
          </w:p>
        </w:tc>
        <w:tc>
          <w:tcPr>
            <w:tcW w:w="518" w:type="pct"/>
            <w:tcBorders>
              <w:top w:val="nil"/>
              <w:left w:val="nil"/>
              <w:bottom w:val="nil"/>
              <w:right w:val="nil"/>
            </w:tcBorders>
            <w:shd w:val="clear" w:color="000000" w:fill="FFFFFF"/>
            <w:vAlign w:val="center"/>
            <w:hideMark/>
          </w:tcPr>
          <w:p w14:paraId="4C98A566"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18,327</w:t>
            </w:r>
          </w:p>
        </w:tc>
        <w:tc>
          <w:tcPr>
            <w:tcW w:w="523" w:type="pct"/>
            <w:tcBorders>
              <w:top w:val="nil"/>
              <w:left w:val="nil"/>
              <w:bottom w:val="nil"/>
              <w:right w:val="nil"/>
            </w:tcBorders>
            <w:shd w:val="clear" w:color="000000" w:fill="FFFFFF"/>
            <w:vAlign w:val="center"/>
            <w:hideMark/>
          </w:tcPr>
          <w:p w14:paraId="170E2761"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w:t>
            </w:r>
          </w:p>
        </w:tc>
        <w:tc>
          <w:tcPr>
            <w:tcW w:w="523" w:type="pct"/>
            <w:tcBorders>
              <w:top w:val="nil"/>
              <w:left w:val="nil"/>
              <w:bottom w:val="nil"/>
              <w:right w:val="nil"/>
            </w:tcBorders>
            <w:shd w:val="clear" w:color="000000" w:fill="FFFFFF"/>
            <w:vAlign w:val="center"/>
            <w:hideMark/>
          </w:tcPr>
          <w:p w14:paraId="1509683E"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18,327</w:t>
            </w:r>
          </w:p>
        </w:tc>
      </w:tr>
      <w:tr w:rsidR="005042CE" w:rsidRPr="00282F63" w14:paraId="7AA0AF2C" w14:textId="77777777" w:rsidTr="00032816">
        <w:trPr>
          <w:trHeight w:val="240"/>
        </w:trPr>
        <w:tc>
          <w:tcPr>
            <w:tcW w:w="2395" w:type="pct"/>
            <w:tcBorders>
              <w:top w:val="nil"/>
              <w:left w:val="nil"/>
              <w:bottom w:val="nil"/>
              <w:right w:val="nil"/>
            </w:tcBorders>
            <w:shd w:val="clear" w:color="000000" w:fill="FFFFFF"/>
            <w:noWrap/>
            <w:vAlign w:val="center"/>
            <w:hideMark/>
          </w:tcPr>
          <w:p w14:paraId="443EFBCB" w14:textId="77777777" w:rsidR="00282F63" w:rsidRPr="00423E56" w:rsidRDefault="00282F63" w:rsidP="003356AE">
            <w:pPr>
              <w:spacing w:after="0" w:line="240" w:lineRule="auto"/>
              <w:jc w:val="left"/>
              <w:rPr>
                <w:rFonts w:asciiTheme="minorHAnsi" w:eastAsia="Times New Roman" w:hAnsiTheme="minorHAnsi" w:cstheme="minorHAnsi"/>
                <w:color w:val="000000"/>
                <w:sz w:val="16"/>
                <w:szCs w:val="16"/>
                <w:lang w:eastAsia="en-GB"/>
              </w:rPr>
            </w:pPr>
            <w:r w:rsidRPr="00423E56">
              <w:rPr>
                <w:rFonts w:asciiTheme="minorHAnsi" w:eastAsia="Times New Roman" w:hAnsiTheme="minorHAnsi" w:cstheme="minorHAnsi"/>
                <w:color w:val="000000"/>
                <w:sz w:val="16"/>
                <w:szCs w:val="16"/>
                <w:lang w:eastAsia="en-GB"/>
              </w:rPr>
              <w:t>Other Comprehensive (Income)/Expenditure</w:t>
            </w:r>
          </w:p>
        </w:tc>
        <w:tc>
          <w:tcPr>
            <w:tcW w:w="513" w:type="pct"/>
            <w:tcBorders>
              <w:top w:val="nil"/>
              <w:left w:val="nil"/>
              <w:bottom w:val="nil"/>
              <w:right w:val="nil"/>
            </w:tcBorders>
            <w:shd w:val="clear" w:color="000000" w:fill="FFFFFF"/>
            <w:vAlign w:val="center"/>
            <w:hideMark/>
          </w:tcPr>
          <w:p w14:paraId="3F4E6B98" w14:textId="77777777" w:rsidR="00282F63" w:rsidRPr="00423E56"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w:t>
            </w:r>
          </w:p>
        </w:tc>
        <w:tc>
          <w:tcPr>
            <w:tcW w:w="529" w:type="pct"/>
            <w:tcBorders>
              <w:top w:val="nil"/>
              <w:left w:val="nil"/>
              <w:bottom w:val="nil"/>
              <w:right w:val="nil"/>
            </w:tcBorders>
            <w:shd w:val="clear" w:color="000000" w:fill="FFFFFF"/>
            <w:vAlign w:val="center"/>
            <w:hideMark/>
          </w:tcPr>
          <w:p w14:paraId="3E827FAF" w14:textId="77777777" w:rsidR="00282F63" w:rsidRPr="00423E56"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w:t>
            </w:r>
          </w:p>
        </w:tc>
        <w:tc>
          <w:tcPr>
            <w:tcW w:w="518" w:type="pct"/>
            <w:tcBorders>
              <w:top w:val="nil"/>
              <w:left w:val="nil"/>
              <w:bottom w:val="nil"/>
              <w:right w:val="nil"/>
            </w:tcBorders>
            <w:shd w:val="clear" w:color="000000" w:fill="FFFFFF"/>
            <w:vAlign w:val="center"/>
            <w:hideMark/>
          </w:tcPr>
          <w:p w14:paraId="2F6931C5"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23" w:type="pct"/>
            <w:tcBorders>
              <w:top w:val="nil"/>
              <w:left w:val="nil"/>
              <w:bottom w:val="nil"/>
              <w:right w:val="nil"/>
            </w:tcBorders>
            <w:shd w:val="clear" w:color="000000" w:fill="FFFFFF"/>
            <w:vAlign w:val="center"/>
            <w:hideMark/>
          </w:tcPr>
          <w:p w14:paraId="71A71A32" w14:textId="77777777" w:rsidR="00282F63" w:rsidRPr="00423E56"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000000"/>
                <w:sz w:val="16"/>
                <w:szCs w:val="16"/>
                <w:lang w:eastAsia="en-GB"/>
              </w:rPr>
              <w:t>(121,032)</w:t>
            </w:r>
          </w:p>
        </w:tc>
        <w:tc>
          <w:tcPr>
            <w:tcW w:w="523" w:type="pct"/>
            <w:tcBorders>
              <w:top w:val="nil"/>
              <w:left w:val="nil"/>
              <w:bottom w:val="nil"/>
              <w:right w:val="nil"/>
            </w:tcBorders>
            <w:shd w:val="clear" w:color="000000" w:fill="FFFFFF"/>
            <w:vAlign w:val="center"/>
            <w:hideMark/>
          </w:tcPr>
          <w:p w14:paraId="32A4E2E1"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(121,032)</w:t>
            </w:r>
          </w:p>
        </w:tc>
      </w:tr>
      <w:tr w:rsidR="005042CE" w:rsidRPr="00282F63" w14:paraId="1869CDB2" w14:textId="77777777" w:rsidTr="00032816">
        <w:trPr>
          <w:trHeight w:val="240"/>
        </w:trPr>
        <w:tc>
          <w:tcPr>
            <w:tcW w:w="2395" w:type="pct"/>
            <w:tcBorders>
              <w:top w:val="single" w:sz="4" w:space="0" w:color="auto"/>
              <w:left w:val="nil"/>
              <w:bottom w:val="nil"/>
              <w:right w:val="nil"/>
            </w:tcBorders>
            <w:shd w:val="clear" w:color="000000" w:fill="FFFFFF"/>
            <w:noWrap/>
            <w:vAlign w:val="center"/>
            <w:hideMark/>
          </w:tcPr>
          <w:p w14:paraId="016D183C" w14:textId="77777777" w:rsidR="00282F63" w:rsidRPr="00423E56"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423E56">
              <w:rPr>
                <w:rFonts w:asciiTheme="minorHAnsi" w:eastAsia="Times New Roman" w:hAnsiTheme="minorHAnsi" w:cstheme="minorHAnsi"/>
                <w:b/>
                <w:bCs/>
                <w:color w:val="000000"/>
                <w:sz w:val="16"/>
                <w:szCs w:val="16"/>
                <w:lang w:eastAsia="en-GB"/>
              </w:rPr>
              <w:t>Total Comprehensive (Income)/Expenditure</w:t>
            </w:r>
          </w:p>
        </w:tc>
        <w:tc>
          <w:tcPr>
            <w:tcW w:w="513" w:type="pct"/>
            <w:tcBorders>
              <w:top w:val="single" w:sz="4" w:space="0" w:color="auto"/>
              <w:left w:val="nil"/>
              <w:bottom w:val="nil"/>
              <w:right w:val="nil"/>
            </w:tcBorders>
            <w:shd w:val="clear" w:color="000000" w:fill="FFFFFF"/>
            <w:vAlign w:val="center"/>
            <w:hideMark/>
          </w:tcPr>
          <w:p w14:paraId="514762FA"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18,327</w:t>
            </w:r>
          </w:p>
        </w:tc>
        <w:tc>
          <w:tcPr>
            <w:tcW w:w="529" w:type="pct"/>
            <w:tcBorders>
              <w:top w:val="single" w:sz="4" w:space="0" w:color="auto"/>
              <w:left w:val="nil"/>
              <w:bottom w:val="nil"/>
              <w:right w:val="nil"/>
            </w:tcBorders>
            <w:shd w:val="clear" w:color="000000" w:fill="FFFFFF"/>
            <w:vAlign w:val="center"/>
            <w:hideMark/>
          </w:tcPr>
          <w:p w14:paraId="3AACFEF7"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18" w:type="pct"/>
            <w:tcBorders>
              <w:top w:val="single" w:sz="4" w:space="0" w:color="auto"/>
              <w:left w:val="nil"/>
              <w:bottom w:val="nil"/>
              <w:right w:val="nil"/>
            </w:tcBorders>
            <w:shd w:val="clear" w:color="000000" w:fill="FFFFFF"/>
            <w:vAlign w:val="center"/>
            <w:hideMark/>
          </w:tcPr>
          <w:p w14:paraId="19BE2F7C"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18,327</w:t>
            </w:r>
          </w:p>
        </w:tc>
        <w:tc>
          <w:tcPr>
            <w:tcW w:w="523" w:type="pct"/>
            <w:tcBorders>
              <w:top w:val="single" w:sz="4" w:space="0" w:color="auto"/>
              <w:left w:val="nil"/>
              <w:bottom w:val="nil"/>
              <w:right w:val="nil"/>
            </w:tcBorders>
            <w:shd w:val="clear" w:color="000000" w:fill="FFFFFF"/>
            <w:vAlign w:val="center"/>
            <w:hideMark/>
          </w:tcPr>
          <w:p w14:paraId="30307526"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(121,032)</w:t>
            </w:r>
          </w:p>
        </w:tc>
        <w:tc>
          <w:tcPr>
            <w:tcW w:w="523" w:type="pct"/>
            <w:tcBorders>
              <w:top w:val="single" w:sz="4" w:space="0" w:color="auto"/>
              <w:left w:val="nil"/>
              <w:bottom w:val="nil"/>
              <w:right w:val="nil"/>
            </w:tcBorders>
            <w:shd w:val="clear" w:color="000000" w:fill="FFFFFF"/>
            <w:vAlign w:val="center"/>
            <w:hideMark/>
          </w:tcPr>
          <w:p w14:paraId="4E0B091F"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(102,705)</w:t>
            </w:r>
          </w:p>
        </w:tc>
      </w:tr>
      <w:tr w:rsidR="005042CE" w:rsidRPr="00282F63" w14:paraId="2B410975" w14:textId="77777777" w:rsidTr="00032816">
        <w:trPr>
          <w:trHeight w:val="255"/>
        </w:trPr>
        <w:tc>
          <w:tcPr>
            <w:tcW w:w="2395" w:type="pct"/>
            <w:tcBorders>
              <w:top w:val="nil"/>
              <w:left w:val="nil"/>
              <w:bottom w:val="nil"/>
              <w:right w:val="nil"/>
            </w:tcBorders>
            <w:shd w:val="clear" w:color="000000" w:fill="FFFFFF"/>
            <w:noWrap/>
            <w:vAlign w:val="center"/>
            <w:hideMark/>
          </w:tcPr>
          <w:p w14:paraId="2E04DA91" w14:textId="77777777" w:rsidR="00282F63" w:rsidRPr="00423E56"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423E56">
              <w:rPr>
                <w:rFonts w:asciiTheme="minorHAnsi" w:eastAsia="Times New Roman" w:hAnsiTheme="minorHAnsi" w:cstheme="minorHAnsi"/>
                <w:b/>
                <w:bCs/>
                <w:color w:val="000000"/>
                <w:sz w:val="16"/>
                <w:szCs w:val="16"/>
                <w:lang w:eastAsia="en-GB"/>
              </w:rPr>
              <w:t> </w:t>
            </w:r>
          </w:p>
        </w:tc>
        <w:tc>
          <w:tcPr>
            <w:tcW w:w="513" w:type="pct"/>
            <w:tcBorders>
              <w:top w:val="nil"/>
              <w:left w:val="nil"/>
              <w:bottom w:val="nil"/>
              <w:right w:val="nil"/>
            </w:tcBorders>
            <w:shd w:val="clear" w:color="000000" w:fill="FFFFFF"/>
            <w:vAlign w:val="center"/>
            <w:hideMark/>
          </w:tcPr>
          <w:p w14:paraId="0B41A94C"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29" w:type="pct"/>
            <w:tcBorders>
              <w:top w:val="nil"/>
              <w:left w:val="nil"/>
              <w:bottom w:val="nil"/>
              <w:right w:val="nil"/>
            </w:tcBorders>
            <w:shd w:val="clear" w:color="000000" w:fill="FFFFFF"/>
            <w:vAlign w:val="center"/>
            <w:hideMark/>
          </w:tcPr>
          <w:p w14:paraId="71087A0F"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18" w:type="pct"/>
            <w:tcBorders>
              <w:top w:val="nil"/>
              <w:left w:val="nil"/>
              <w:bottom w:val="nil"/>
              <w:right w:val="nil"/>
            </w:tcBorders>
            <w:shd w:val="clear" w:color="000000" w:fill="FFFFFF"/>
            <w:vAlign w:val="center"/>
            <w:hideMark/>
          </w:tcPr>
          <w:p w14:paraId="6D3F8D27"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23" w:type="pct"/>
            <w:tcBorders>
              <w:top w:val="nil"/>
              <w:left w:val="nil"/>
              <w:bottom w:val="nil"/>
              <w:right w:val="nil"/>
            </w:tcBorders>
            <w:shd w:val="clear" w:color="000000" w:fill="FFFFFF"/>
            <w:vAlign w:val="center"/>
            <w:hideMark/>
          </w:tcPr>
          <w:p w14:paraId="3A170D2D"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c>
          <w:tcPr>
            <w:tcW w:w="523" w:type="pct"/>
            <w:tcBorders>
              <w:top w:val="nil"/>
              <w:left w:val="nil"/>
              <w:bottom w:val="nil"/>
              <w:right w:val="nil"/>
            </w:tcBorders>
            <w:shd w:val="clear" w:color="000000" w:fill="FFFFFF"/>
            <w:vAlign w:val="center"/>
            <w:hideMark/>
          </w:tcPr>
          <w:p w14:paraId="21614281"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 </w:t>
            </w:r>
          </w:p>
        </w:tc>
      </w:tr>
      <w:tr w:rsidR="005042CE" w:rsidRPr="00282F63" w14:paraId="6B4F633C" w14:textId="77777777" w:rsidTr="00032816">
        <w:trPr>
          <w:trHeight w:val="480"/>
        </w:trPr>
        <w:tc>
          <w:tcPr>
            <w:tcW w:w="2395" w:type="pct"/>
            <w:tcBorders>
              <w:top w:val="nil"/>
              <w:left w:val="nil"/>
              <w:bottom w:val="single" w:sz="4" w:space="0" w:color="auto"/>
              <w:right w:val="nil"/>
            </w:tcBorders>
            <w:shd w:val="clear" w:color="000000" w:fill="FFFFFF"/>
            <w:vAlign w:val="center"/>
            <w:hideMark/>
          </w:tcPr>
          <w:p w14:paraId="7914A8FD" w14:textId="77777777" w:rsidR="00282F63" w:rsidRPr="00423E56" w:rsidRDefault="00282F63" w:rsidP="003356AE">
            <w:pPr>
              <w:spacing w:after="0" w:line="240" w:lineRule="auto"/>
              <w:jc w:val="left"/>
              <w:rPr>
                <w:rFonts w:asciiTheme="minorHAnsi" w:eastAsia="Times New Roman" w:hAnsiTheme="minorHAnsi" w:cstheme="minorHAnsi"/>
                <w:color w:val="000000"/>
                <w:sz w:val="16"/>
                <w:szCs w:val="16"/>
                <w:lang w:eastAsia="en-GB"/>
              </w:rPr>
            </w:pPr>
            <w:r w:rsidRPr="00423E56">
              <w:rPr>
                <w:rFonts w:asciiTheme="minorHAnsi" w:eastAsia="Times New Roman" w:hAnsiTheme="minorHAnsi" w:cstheme="minorHAnsi"/>
                <w:color w:val="000000"/>
                <w:sz w:val="16"/>
                <w:szCs w:val="16"/>
                <w:lang w:eastAsia="en-GB"/>
              </w:rPr>
              <w:t>Adjustments between accounting basis and funding basis under regulations (Note 6)</w:t>
            </w:r>
          </w:p>
        </w:tc>
        <w:tc>
          <w:tcPr>
            <w:tcW w:w="513" w:type="pct"/>
            <w:tcBorders>
              <w:top w:val="nil"/>
              <w:left w:val="nil"/>
              <w:bottom w:val="nil"/>
              <w:right w:val="nil"/>
            </w:tcBorders>
            <w:shd w:val="clear" w:color="000000" w:fill="FFFFFF"/>
            <w:vAlign w:val="center"/>
            <w:hideMark/>
          </w:tcPr>
          <w:p w14:paraId="28A3E9CC" w14:textId="77777777" w:rsidR="00282F63" w:rsidRPr="00423E56"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000000"/>
                <w:sz w:val="16"/>
                <w:szCs w:val="16"/>
                <w:lang w:eastAsia="en-GB"/>
              </w:rPr>
              <w:t>(18,327)</w:t>
            </w:r>
          </w:p>
        </w:tc>
        <w:tc>
          <w:tcPr>
            <w:tcW w:w="529" w:type="pct"/>
            <w:tcBorders>
              <w:top w:val="nil"/>
              <w:left w:val="nil"/>
              <w:bottom w:val="nil"/>
              <w:right w:val="nil"/>
            </w:tcBorders>
            <w:shd w:val="clear" w:color="000000" w:fill="FFFFFF"/>
            <w:vAlign w:val="center"/>
            <w:hideMark/>
          </w:tcPr>
          <w:p w14:paraId="334D0290" w14:textId="77777777" w:rsidR="00282F63" w:rsidRPr="00423E56"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w:t>
            </w:r>
          </w:p>
        </w:tc>
        <w:tc>
          <w:tcPr>
            <w:tcW w:w="518" w:type="pct"/>
            <w:tcBorders>
              <w:top w:val="nil"/>
              <w:left w:val="nil"/>
              <w:bottom w:val="nil"/>
              <w:right w:val="nil"/>
            </w:tcBorders>
            <w:shd w:val="clear" w:color="000000" w:fill="FFFFFF"/>
            <w:vAlign w:val="center"/>
            <w:hideMark/>
          </w:tcPr>
          <w:p w14:paraId="2C6824C8"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(18,327)</w:t>
            </w:r>
          </w:p>
        </w:tc>
        <w:tc>
          <w:tcPr>
            <w:tcW w:w="523" w:type="pct"/>
            <w:tcBorders>
              <w:top w:val="nil"/>
              <w:left w:val="nil"/>
              <w:bottom w:val="nil"/>
              <w:right w:val="nil"/>
            </w:tcBorders>
            <w:shd w:val="clear" w:color="000000" w:fill="FFFFFF"/>
            <w:vAlign w:val="center"/>
            <w:hideMark/>
          </w:tcPr>
          <w:p w14:paraId="3257D7A9" w14:textId="77777777" w:rsidR="00282F63" w:rsidRPr="00423E56"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423E56">
              <w:rPr>
                <w:rFonts w:asciiTheme="minorHAnsi" w:eastAsia="Times New Roman" w:hAnsiTheme="minorHAnsi" w:cstheme="minorHAnsi"/>
                <w:color w:val="auto"/>
                <w:sz w:val="16"/>
                <w:szCs w:val="16"/>
                <w:lang w:eastAsia="en-GB"/>
              </w:rPr>
              <w:t>18,327</w:t>
            </w:r>
          </w:p>
        </w:tc>
        <w:tc>
          <w:tcPr>
            <w:tcW w:w="523" w:type="pct"/>
            <w:tcBorders>
              <w:top w:val="nil"/>
              <w:left w:val="nil"/>
              <w:bottom w:val="nil"/>
              <w:right w:val="nil"/>
            </w:tcBorders>
            <w:shd w:val="clear" w:color="000000" w:fill="FFFFFF"/>
            <w:vAlign w:val="center"/>
            <w:hideMark/>
          </w:tcPr>
          <w:p w14:paraId="6EF9416A"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r>
      <w:tr w:rsidR="005042CE" w:rsidRPr="00282F63" w14:paraId="0FADC607" w14:textId="77777777" w:rsidTr="00032816">
        <w:trPr>
          <w:trHeight w:val="240"/>
        </w:trPr>
        <w:tc>
          <w:tcPr>
            <w:tcW w:w="2395" w:type="pct"/>
            <w:tcBorders>
              <w:top w:val="nil"/>
              <w:left w:val="nil"/>
              <w:bottom w:val="nil"/>
              <w:right w:val="nil"/>
            </w:tcBorders>
            <w:shd w:val="clear" w:color="000000" w:fill="FFFFFF"/>
            <w:noWrap/>
            <w:vAlign w:val="center"/>
            <w:hideMark/>
          </w:tcPr>
          <w:p w14:paraId="5F9EEC02" w14:textId="77777777" w:rsidR="00282F63" w:rsidRPr="00423E56"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423E56">
              <w:rPr>
                <w:rFonts w:asciiTheme="minorHAnsi" w:eastAsia="Times New Roman" w:hAnsiTheme="minorHAnsi" w:cstheme="minorHAnsi"/>
                <w:b/>
                <w:bCs/>
                <w:color w:val="000000"/>
                <w:sz w:val="16"/>
                <w:szCs w:val="16"/>
                <w:lang w:eastAsia="en-GB"/>
              </w:rPr>
              <w:t>Net (Increase)/Decrease before Transfers to Earmarked Reserves</w:t>
            </w:r>
          </w:p>
        </w:tc>
        <w:tc>
          <w:tcPr>
            <w:tcW w:w="513" w:type="pct"/>
            <w:tcBorders>
              <w:top w:val="single" w:sz="4" w:space="0" w:color="auto"/>
              <w:left w:val="nil"/>
              <w:bottom w:val="nil"/>
              <w:right w:val="nil"/>
            </w:tcBorders>
            <w:shd w:val="clear" w:color="000000" w:fill="FFFFFF"/>
            <w:vAlign w:val="center"/>
            <w:hideMark/>
          </w:tcPr>
          <w:p w14:paraId="6ED0E243"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29" w:type="pct"/>
            <w:tcBorders>
              <w:top w:val="single" w:sz="4" w:space="0" w:color="auto"/>
              <w:left w:val="nil"/>
              <w:bottom w:val="nil"/>
              <w:right w:val="nil"/>
            </w:tcBorders>
            <w:shd w:val="clear" w:color="000000" w:fill="FFFFFF"/>
            <w:vAlign w:val="center"/>
            <w:hideMark/>
          </w:tcPr>
          <w:p w14:paraId="5E8526DD"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18" w:type="pct"/>
            <w:tcBorders>
              <w:top w:val="single" w:sz="4" w:space="0" w:color="auto"/>
              <w:left w:val="nil"/>
              <w:bottom w:val="nil"/>
              <w:right w:val="nil"/>
            </w:tcBorders>
            <w:shd w:val="clear" w:color="000000" w:fill="FFFFFF"/>
            <w:vAlign w:val="center"/>
            <w:hideMark/>
          </w:tcPr>
          <w:p w14:paraId="3530D64F"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auto"/>
                <w:sz w:val="16"/>
                <w:szCs w:val="16"/>
                <w:lang w:eastAsia="en-GB"/>
              </w:rPr>
              <w:t>-</w:t>
            </w:r>
          </w:p>
        </w:tc>
        <w:tc>
          <w:tcPr>
            <w:tcW w:w="523" w:type="pct"/>
            <w:tcBorders>
              <w:top w:val="single" w:sz="4" w:space="0" w:color="auto"/>
              <w:left w:val="nil"/>
              <w:bottom w:val="nil"/>
              <w:right w:val="nil"/>
            </w:tcBorders>
            <w:shd w:val="clear" w:color="000000" w:fill="FFFFFF"/>
            <w:vAlign w:val="center"/>
            <w:hideMark/>
          </w:tcPr>
          <w:p w14:paraId="2D9A6F5D"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(102,705)</w:t>
            </w:r>
          </w:p>
        </w:tc>
        <w:tc>
          <w:tcPr>
            <w:tcW w:w="523" w:type="pct"/>
            <w:tcBorders>
              <w:top w:val="single" w:sz="4" w:space="0" w:color="auto"/>
              <w:left w:val="nil"/>
              <w:bottom w:val="nil"/>
              <w:right w:val="nil"/>
            </w:tcBorders>
            <w:shd w:val="clear" w:color="000000" w:fill="FFFFFF"/>
            <w:vAlign w:val="center"/>
            <w:hideMark/>
          </w:tcPr>
          <w:p w14:paraId="18AF1463" w14:textId="77777777" w:rsidR="00282F63" w:rsidRPr="00423E56"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423E56">
              <w:rPr>
                <w:rFonts w:asciiTheme="minorHAnsi" w:eastAsia="Times New Roman" w:hAnsiTheme="minorHAnsi" w:cstheme="minorHAnsi"/>
                <w:b/>
                <w:bCs/>
                <w:color w:val="000000"/>
                <w:sz w:val="16"/>
                <w:szCs w:val="16"/>
                <w:lang w:eastAsia="en-GB"/>
              </w:rPr>
              <w:t>(102,705)</w:t>
            </w:r>
          </w:p>
        </w:tc>
      </w:tr>
      <w:tr w:rsidR="005042CE" w:rsidRPr="00282F63" w14:paraId="1008074B" w14:textId="77777777" w:rsidTr="00032816">
        <w:trPr>
          <w:trHeight w:val="255"/>
        </w:trPr>
        <w:tc>
          <w:tcPr>
            <w:tcW w:w="2395" w:type="pct"/>
            <w:tcBorders>
              <w:top w:val="nil"/>
              <w:left w:val="nil"/>
              <w:bottom w:val="nil"/>
              <w:right w:val="nil"/>
            </w:tcBorders>
            <w:shd w:val="clear" w:color="000000" w:fill="FFFFFF"/>
            <w:noWrap/>
            <w:vAlign w:val="center"/>
            <w:hideMark/>
          </w:tcPr>
          <w:p w14:paraId="1892A687" w14:textId="77777777" w:rsidR="00282F63" w:rsidRPr="00282F63"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282F63">
              <w:rPr>
                <w:rFonts w:asciiTheme="minorHAnsi" w:eastAsia="Times New Roman" w:hAnsiTheme="minorHAnsi" w:cstheme="minorHAnsi"/>
                <w:b/>
                <w:bCs/>
                <w:color w:val="000000"/>
                <w:sz w:val="16"/>
                <w:szCs w:val="16"/>
                <w:lang w:eastAsia="en-GB"/>
              </w:rPr>
              <w:t> </w:t>
            </w:r>
          </w:p>
        </w:tc>
        <w:tc>
          <w:tcPr>
            <w:tcW w:w="513" w:type="pct"/>
            <w:tcBorders>
              <w:top w:val="nil"/>
              <w:left w:val="nil"/>
              <w:bottom w:val="nil"/>
              <w:right w:val="nil"/>
            </w:tcBorders>
            <w:shd w:val="clear" w:color="000000" w:fill="FFFFFF"/>
            <w:vAlign w:val="center"/>
            <w:hideMark/>
          </w:tcPr>
          <w:p w14:paraId="4D0B546C"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29" w:type="pct"/>
            <w:tcBorders>
              <w:top w:val="nil"/>
              <w:left w:val="nil"/>
              <w:bottom w:val="nil"/>
              <w:right w:val="nil"/>
            </w:tcBorders>
            <w:shd w:val="clear" w:color="000000" w:fill="FFFFFF"/>
            <w:vAlign w:val="center"/>
            <w:hideMark/>
          </w:tcPr>
          <w:p w14:paraId="46B282BC"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18" w:type="pct"/>
            <w:tcBorders>
              <w:top w:val="nil"/>
              <w:left w:val="nil"/>
              <w:bottom w:val="nil"/>
              <w:right w:val="nil"/>
            </w:tcBorders>
            <w:shd w:val="clear" w:color="000000" w:fill="FFFFFF"/>
            <w:vAlign w:val="center"/>
            <w:hideMark/>
          </w:tcPr>
          <w:p w14:paraId="494E356C"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23" w:type="pct"/>
            <w:tcBorders>
              <w:top w:val="nil"/>
              <w:left w:val="nil"/>
              <w:bottom w:val="nil"/>
              <w:right w:val="nil"/>
            </w:tcBorders>
            <w:shd w:val="clear" w:color="000000" w:fill="FFFFFF"/>
            <w:vAlign w:val="center"/>
            <w:hideMark/>
          </w:tcPr>
          <w:p w14:paraId="586442E1"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c>
          <w:tcPr>
            <w:tcW w:w="523" w:type="pct"/>
            <w:tcBorders>
              <w:top w:val="nil"/>
              <w:left w:val="nil"/>
              <w:bottom w:val="nil"/>
              <w:right w:val="nil"/>
            </w:tcBorders>
            <w:shd w:val="clear" w:color="000000" w:fill="FFFFFF"/>
            <w:vAlign w:val="center"/>
            <w:hideMark/>
          </w:tcPr>
          <w:p w14:paraId="196698FE"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 </w:t>
            </w:r>
          </w:p>
        </w:tc>
      </w:tr>
      <w:tr w:rsidR="005042CE" w:rsidRPr="00282F63" w14:paraId="68B61A63" w14:textId="77777777" w:rsidTr="00032816">
        <w:trPr>
          <w:trHeight w:val="240"/>
        </w:trPr>
        <w:tc>
          <w:tcPr>
            <w:tcW w:w="2395" w:type="pct"/>
            <w:tcBorders>
              <w:top w:val="nil"/>
              <w:left w:val="nil"/>
              <w:bottom w:val="nil"/>
              <w:right w:val="nil"/>
            </w:tcBorders>
            <w:shd w:val="clear" w:color="000000" w:fill="FFFFFF"/>
            <w:noWrap/>
            <w:vAlign w:val="center"/>
            <w:hideMark/>
          </w:tcPr>
          <w:p w14:paraId="1F0C7282" w14:textId="77777777" w:rsidR="00282F63" w:rsidRPr="00282F63" w:rsidRDefault="00282F63" w:rsidP="003356AE">
            <w:pPr>
              <w:spacing w:after="0" w:line="240" w:lineRule="auto"/>
              <w:jc w:val="lef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Transfers (to)/from Earmarked Reserves</w:t>
            </w:r>
          </w:p>
        </w:tc>
        <w:tc>
          <w:tcPr>
            <w:tcW w:w="513" w:type="pct"/>
            <w:tcBorders>
              <w:top w:val="nil"/>
              <w:left w:val="nil"/>
              <w:bottom w:val="nil"/>
              <w:right w:val="nil"/>
            </w:tcBorders>
            <w:shd w:val="clear" w:color="000000" w:fill="FFFFFF"/>
            <w:vAlign w:val="center"/>
            <w:hideMark/>
          </w:tcPr>
          <w:p w14:paraId="3B91A9C9"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 </w:t>
            </w:r>
          </w:p>
        </w:tc>
        <w:tc>
          <w:tcPr>
            <w:tcW w:w="529" w:type="pct"/>
            <w:tcBorders>
              <w:top w:val="nil"/>
              <w:left w:val="nil"/>
              <w:bottom w:val="nil"/>
              <w:right w:val="nil"/>
            </w:tcBorders>
            <w:shd w:val="clear" w:color="000000" w:fill="FFFFFF"/>
            <w:vAlign w:val="center"/>
            <w:hideMark/>
          </w:tcPr>
          <w:p w14:paraId="5E2B6593"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w:t>
            </w:r>
          </w:p>
        </w:tc>
        <w:tc>
          <w:tcPr>
            <w:tcW w:w="518" w:type="pct"/>
            <w:tcBorders>
              <w:top w:val="nil"/>
              <w:left w:val="nil"/>
              <w:bottom w:val="nil"/>
              <w:right w:val="nil"/>
            </w:tcBorders>
            <w:shd w:val="clear" w:color="000000" w:fill="FFFFFF"/>
            <w:vAlign w:val="center"/>
            <w:hideMark/>
          </w:tcPr>
          <w:p w14:paraId="41E4A546"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w:t>
            </w:r>
          </w:p>
        </w:tc>
        <w:tc>
          <w:tcPr>
            <w:tcW w:w="523" w:type="pct"/>
            <w:tcBorders>
              <w:top w:val="nil"/>
              <w:left w:val="nil"/>
              <w:bottom w:val="nil"/>
              <w:right w:val="nil"/>
            </w:tcBorders>
            <w:shd w:val="clear" w:color="000000" w:fill="FFFFFF"/>
            <w:vAlign w:val="center"/>
            <w:hideMark/>
          </w:tcPr>
          <w:p w14:paraId="7BA54558"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w:t>
            </w:r>
          </w:p>
        </w:tc>
        <w:tc>
          <w:tcPr>
            <w:tcW w:w="523" w:type="pct"/>
            <w:tcBorders>
              <w:top w:val="nil"/>
              <w:left w:val="nil"/>
              <w:bottom w:val="nil"/>
              <w:right w:val="nil"/>
            </w:tcBorders>
            <w:shd w:val="clear" w:color="000000" w:fill="FFFFFF"/>
            <w:vAlign w:val="center"/>
            <w:hideMark/>
          </w:tcPr>
          <w:p w14:paraId="0E6235C9" w14:textId="77777777" w:rsidR="00282F63" w:rsidRPr="00282F63" w:rsidRDefault="00282F63" w:rsidP="00032816">
            <w:pPr>
              <w:spacing w:after="0" w:line="240" w:lineRule="auto"/>
              <w:jc w:val="right"/>
              <w:rPr>
                <w:rFonts w:asciiTheme="minorHAnsi" w:eastAsia="Times New Roman" w:hAnsiTheme="minorHAnsi" w:cstheme="minorHAnsi"/>
                <w:color w:val="auto"/>
                <w:sz w:val="16"/>
                <w:szCs w:val="16"/>
                <w:lang w:eastAsia="en-GB"/>
              </w:rPr>
            </w:pPr>
            <w:r w:rsidRPr="00282F63">
              <w:rPr>
                <w:rFonts w:asciiTheme="minorHAnsi" w:eastAsia="Times New Roman" w:hAnsiTheme="minorHAnsi" w:cstheme="minorHAnsi"/>
                <w:color w:val="auto"/>
                <w:sz w:val="16"/>
                <w:szCs w:val="16"/>
                <w:lang w:eastAsia="en-GB"/>
              </w:rPr>
              <w:t>-</w:t>
            </w:r>
          </w:p>
        </w:tc>
      </w:tr>
      <w:tr w:rsidR="005042CE" w:rsidRPr="00282F63" w14:paraId="31061CC0" w14:textId="77777777" w:rsidTr="00032816">
        <w:trPr>
          <w:trHeight w:val="240"/>
        </w:trPr>
        <w:tc>
          <w:tcPr>
            <w:tcW w:w="2395" w:type="pct"/>
            <w:tcBorders>
              <w:top w:val="single" w:sz="4" w:space="0" w:color="auto"/>
              <w:left w:val="nil"/>
              <w:bottom w:val="single" w:sz="4" w:space="0" w:color="auto"/>
              <w:right w:val="nil"/>
            </w:tcBorders>
            <w:shd w:val="clear" w:color="000000" w:fill="FFFFFF"/>
            <w:noWrap/>
            <w:vAlign w:val="center"/>
            <w:hideMark/>
          </w:tcPr>
          <w:p w14:paraId="2D1F34E9" w14:textId="77777777" w:rsidR="00282F63" w:rsidRPr="00282F63"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282F63">
              <w:rPr>
                <w:rFonts w:asciiTheme="minorHAnsi" w:eastAsia="Times New Roman" w:hAnsiTheme="minorHAnsi" w:cstheme="minorHAnsi"/>
                <w:b/>
                <w:bCs/>
                <w:color w:val="000000"/>
                <w:sz w:val="16"/>
                <w:szCs w:val="16"/>
                <w:lang w:eastAsia="en-GB"/>
              </w:rPr>
              <w:t>(Increase)/Decrease in 2024/25</w:t>
            </w:r>
          </w:p>
        </w:tc>
        <w:tc>
          <w:tcPr>
            <w:tcW w:w="513" w:type="pct"/>
            <w:tcBorders>
              <w:top w:val="single" w:sz="4" w:space="0" w:color="auto"/>
              <w:left w:val="nil"/>
              <w:bottom w:val="single" w:sz="4" w:space="0" w:color="auto"/>
              <w:right w:val="nil"/>
            </w:tcBorders>
            <w:shd w:val="clear" w:color="000000" w:fill="FFFFFF"/>
            <w:vAlign w:val="center"/>
            <w:hideMark/>
          </w:tcPr>
          <w:p w14:paraId="213DAC88"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29" w:type="pct"/>
            <w:tcBorders>
              <w:top w:val="single" w:sz="4" w:space="0" w:color="auto"/>
              <w:left w:val="nil"/>
              <w:bottom w:val="single" w:sz="4" w:space="0" w:color="auto"/>
              <w:right w:val="nil"/>
            </w:tcBorders>
            <w:shd w:val="clear" w:color="000000" w:fill="FFFFFF"/>
            <w:vAlign w:val="center"/>
            <w:hideMark/>
          </w:tcPr>
          <w:p w14:paraId="5610A7BC"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18" w:type="pct"/>
            <w:tcBorders>
              <w:top w:val="single" w:sz="4" w:space="0" w:color="auto"/>
              <w:left w:val="nil"/>
              <w:bottom w:val="single" w:sz="4" w:space="0" w:color="auto"/>
              <w:right w:val="nil"/>
            </w:tcBorders>
            <w:shd w:val="clear" w:color="000000" w:fill="FFFFFF"/>
            <w:vAlign w:val="center"/>
            <w:hideMark/>
          </w:tcPr>
          <w:p w14:paraId="57FFB854"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23" w:type="pct"/>
            <w:tcBorders>
              <w:top w:val="single" w:sz="4" w:space="0" w:color="auto"/>
              <w:left w:val="nil"/>
              <w:bottom w:val="single" w:sz="4" w:space="0" w:color="auto"/>
              <w:right w:val="nil"/>
            </w:tcBorders>
            <w:shd w:val="clear" w:color="000000" w:fill="FFFFFF"/>
            <w:vAlign w:val="center"/>
            <w:hideMark/>
          </w:tcPr>
          <w:p w14:paraId="084F50FA"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000000"/>
                <w:sz w:val="16"/>
                <w:szCs w:val="16"/>
                <w:lang w:eastAsia="en-GB"/>
              </w:rPr>
              <w:t>(102,705)</w:t>
            </w:r>
          </w:p>
        </w:tc>
        <w:tc>
          <w:tcPr>
            <w:tcW w:w="523" w:type="pct"/>
            <w:tcBorders>
              <w:top w:val="single" w:sz="4" w:space="0" w:color="auto"/>
              <w:left w:val="nil"/>
              <w:bottom w:val="single" w:sz="4" w:space="0" w:color="auto"/>
              <w:right w:val="nil"/>
            </w:tcBorders>
            <w:shd w:val="clear" w:color="000000" w:fill="FFFFFF"/>
            <w:vAlign w:val="center"/>
            <w:hideMark/>
          </w:tcPr>
          <w:p w14:paraId="65E22DDB"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000000"/>
                <w:sz w:val="16"/>
                <w:szCs w:val="16"/>
                <w:lang w:eastAsia="en-GB"/>
              </w:rPr>
              <w:t>(102,705)</w:t>
            </w:r>
          </w:p>
        </w:tc>
      </w:tr>
      <w:tr w:rsidR="005042CE" w:rsidRPr="00282F63" w14:paraId="0EB08BEF" w14:textId="77777777" w:rsidTr="00032816">
        <w:trPr>
          <w:trHeight w:val="240"/>
        </w:trPr>
        <w:tc>
          <w:tcPr>
            <w:tcW w:w="2395" w:type="pct"/>
            <w:tcBorders>
              <w:top w:val="nil"/>
              <w:left w:val="nil"/>
              <w:bottom w:val="nil"/>
              <w:right w:val="nil"/>
            </w:tcBorders>
            <w:shd w:val="clear" w:color="000000" w:fill="FFFFFF"/>
            <w:noWrap/>
            <w:vAlign w:val="bottom"/>
            <w:hideMark/>
          </w:tcPr>
          <w:p w14:paraId="5289C4B2" w14:textId="77777777" w:rsidR="00282F63" w:rsidRPr="00282F63" w:rsidRDefault="00282F63" w:rsidP="003356AE">
            <w:pPr>
              <w:spacing w:after="0" w:line="240" w:lineRule="auto"/>
              <w:jc w:val="lef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 </w:t>
            </w:r>
          </w:p>
        </w:tc>
        <w:tc>
          <w:tcPr>
            <w:tcW w:w="513" w:type="pct"/>
            <w:tcBorders>
              <w:top w:val="nil"/>
              <w:left w:val="nil"/>
              <w:bottom w:val="nil"/>
              <w:right w:val="nil"/>
            </w:tcBorders>
            <w:shd w:val="clear" w:color="000000" w:fill="FFFFFF"/>
            <w:noWrap/>
            <w:vAlign w:val="center"/>
            <w:hideMark/>
          </w:tcPr>
          <w:p w14:paraId="0A4BBD6E" w14:textId="77777777" w:rsidR="00282F63" w:rsidRPr="00282F63" w:rsidRDefault="00282F63" w:rsidP="00032816">
            <w:pPr>
              <w:spacing w:after="0" w:line="240" w:lineRule="auto"/>
              <w:jc w:val="righ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 </w:t>
            </w:r>
          </w:p>
        </w:tc>
        <w:tc>
          <w:tcPr>
            <w:tcW w:w="529" w:type="pct"/>
            <w:tcBorders>
              <w:top w:val="nil"/>
              <w:left w:val="nil"/>
              <w:bottom w:val="nil"/>
              <w:right w:val="nil"/>
            </w:tcBorders>
            <w:shd w:val="clear" w:color="000000" w:fill="FFFFFF"/>
            <w:noWrap/>
            <w:vAlign w:val="center"/>
            <w:hideMark/>
          </w:tcPr>
          <w:p w14:paraId="16AED37F" w14:textId="77777777" w:rsidR="00282F63" w:rsidRPr="00282F63" w:rsidRDefault="00282F63" w:rsidP="00032816">
            <w:pPr>
              <w:spacing w:after="0" w:line="240" w:lineRule="auto"/>
              <w:jc w:val="righ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 </w:t>
            </w:r>
          </w:p>
        </w:tc>
        <w:tc>
          <w:tcPr>
            <w:tcW w:w="518" w:type="pct"/>
            <w:tcBorders>
              <w:top w:val="nil"/>
              <w:left w:val="nil"/>
              <w:bottom w:val="nil"/>
              <w:right w:val="nil"/>
            </w:tcBorders>
            <w:shd w:val="clear" w:color="000000" w:fill="FFFFFF"/>
            <w:noWrap/>
            <w:vAlign w:val="center"/>
            <w:hideMark/>
          </w:tcPr>
          <w:p w14:paraId="4BF45AE5" w14:textId="77777777" w:rsidR="00282F63" w:rsidRPr="00282F63" w:rsidRDefault="00282F63" w:rsidP="00032816">
            <w:pPr>
              <w:spacing w:after="0" w:line="240" w:lineRule="auto"/>
              <w:jc w:val="righ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 </w:t>
            </w:r>
          </w:p>
        </w:tc>
        <w:tc>
          <w:tcPr>
            <w:tcW w:w="523" w:type="pct"/>
            <w:tcBorders>
              <w:top w:val="nil"/>
              <w:left w:val="nil"/>
              <w:bottom w:val="nil"/>
              <w:right w:val="nil"/>
            </w:tcBorders>
            <w:shd w:val="clear" w:color="000000" w:fill="FFFFFF"/>
            <w:noWrap/>
            <w:vAlign w:val="center"/>
            <w:hideMark/>
          </w:tcPr>
          <w:p w14:paraId="784FE006" w14:textId="77777777" w:rsidR="00282F63" w:rsidRPr="00282F63" w:rsidRDefault="00282F63" w:rsidP="00032816">
            <w:pPr>
              <w:spacing w:after="0" w:line="240" w:lineRule="auto"/>
              <w:jc w:val="righ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 </w:t>
            </w:r>
          </w:p>
        </w:tc>
        <w:tc>
          <w:tcPr>
            <w:tcW w:w="523" w:type="pct"/>
            <w:tcBorders>
              <w:top w:val="nil"/>
              <w:left w:val="nil"/>
              <w:bottom w:val="nil"/>
              <w:right w:val="nil"/>
            </w:tcBorders>
            <w:shd w:val="clear" w:color="000000" w:fill="FFFFFF"/>
            <w:noWrap/>
            <w:vAlign w:val="center"/>
            <w:hideMark/>
          </w:tcPr>
          <w:p w14:paraId="2B524868" w14:textId="77777777" w:rsidR="00282F63" w:rsidRPr="00282F63" w:rsidRDefault="00282F63" w:rsidP="00032816">
            <w:pPr>
              <w:spacing w:after="0" w:line="240" w:lineRule="auto"/>
              <w:jc w:val="right"/>
              <w:rPr>
                <w:rFonts w:asciiTheme="minorHAnsi" w:eastAsia="Times New Roman" w:hAnsiTheme="minorHAnsi" w:cstheme="minorHAnsi"/>
                <w:color w:val="000000"/>
                <w:sz w:val="16"/>
                <w:szCs w:val="16"/>
                <w:lang w:eastAsia="en-GB"/>
              </w:rPr>
            </w:pPr>
            <w:r w:rsidRPr="00282F63">
              <w:rPr>
                <w:rFonts w:asciiTheme="minorHAnsi" w:eastAsia="Times New Roman" w:hAnsiTheme="minorHAnsi" w:cstheme="minorHAnsi"/>
                <w:color w:val="000000"/>
                <w:sz w:val="16"/>
                <w:szCs w:val="16"/>
                <w:lang w:eastAsia="en-GB"/>
              </w:rPr>
              <w:t> </w:t>
            </w:r>
          </w:p>
        </w:tc>
      </w:tr>
      <w:tr w:rsidR="005042CE" w:rsidRPr="00282F63" w14:paraId="046FB87D" w14:textId="77777777" w:rsidTr="00032816">
        <w:trPr>
          <w:trHeight w:val="240"/>
        </w:trPr>
        <w:tc>
          <w:tcPr>
            <w:tcW w:w="2395" w:type="pct"/>
            <w:tcBorders>
              <w:top w:val="single" w:sz="4" w:space="0" w:color="auto"/>
              <w:left w:val="nil"/>
              <w:bottom w:val="single" w:sz="4" w:space="0" w:color="auto"/>
              <w:right w:val="nil"/>
            </w:tcBorders>
            <w:shd w:val="clear" w:color="000000" w:fill="FFFFFF"/>
            <w:noWrap/>
            <w:vAlign w:val="center"/>
            <w:hideMark/>
          </w:tcPr>
          <w:p w14:paraId="25F5149C" w14:textId="77777777" w:rsidR="00282F63" w:rsidRPr="00282F63" w:rsidRDefault="00282F63" w:rsidP="003356AE">
            <w:pPr>
              <w:spacing w:after="0" w:line="240" w:lineRule="auto"/>
              <w:jc w:val="left"/>
              <w:rPr>
                <w:rFonts w:asciiTheme="minorHAnsi" w:eastAsia="Times New Roman" w:hAnsiTheme="minorHAnsi" w:cstheme="minorHAnsi"/>
                <w:b/>
                <w:bCs/>
                <w:color w:val="000000"/>
                <w:sz w:val="16"/>
                <w:szCs w:val="16"/>
                <w:lang w:eastAsia="en-GB"/>
              </w:rPr>
            </w:pPr>
            <w:r w:rsidRPr="00282F63">
              <w:rPr>
                <w:rFonts w:asciiTheme="minorHAnsi" w:eastAsia="Times New Roman" w:hAnsiTheme="minorHAnsi" w:cstheme="minorHAnsi"/>
                <w:b/>
                <w:bCs/>
                <w:color w:val="000000"/>
                <w:sz w:val="16"/>
                <w:szCs w:val="16"/>
                <w:lang w:eastAsia="en-GB"/>
              </w:rPr>
              <w:t xml:space="preserve">Balance </w:t>
            </w:r>
            <w:proofErr w:type="gramStart"/>
            <w:r w:rsidRPr="00282F63">
              <w:rPr>
                <w:rFonts w:asciiTheme="minorHAnsi" w:eastAsia="Times New Roman" w:hAnsiTheme="minorHAnsi" w:cstheme="minorHAnsi"/>
                <w:b/>
                <w:bCs/>
                <w:color w:val="000000"/>
                <w:sz w:val="16"/>
                <w:szCs w:val="16"/>
                <w:lang w:eastAsia="en-GB"/>
              </w:rPr>
              <w:t>at</w:t>
            </w:r>
            <w:proofErr w:type="gramEnd"/>
            <w:r w:rsidRPr="00282F63">
              <w:rPr>
                <w:rFonts w:asciiTheme="minorHAnsi" w:eastAsia="Times New Roman" w:hAnsiTheme="minorHAnsi" w:cstheme="minorHAnsi"/>
                <w:b/>
                <w:bCs/>
                <w:color w:val="000000"/>
                <w:sz w:val="16"/>
                <w:szCs w:val="16"/>
                <w:lang w:eastAsia="en-GB"/>
              </w:rPr>
              <w:t xml:space="preserve"> 31 March 2025</w:t>
            </w:r>
          </w:p>
        </w:tc>
        <w:tc>
          <w:tcPr>
            <w:tcW w:w="513" w:type="pct"/>
            <w:tcBorders>
              <w:top w:val="single" w:sz="4" w:space="0" w:color="auto"/>
              <w:left w:val="nil"/>
              <w:bottom w:val="single" w:sz="4" w:space="0" w:color="auto"/>
              <w:right w:val="nil"/>
            </w:tcBorders>
            <w:shd w:val="clear" w:color="000000" w:fill="FFFFFF"/>
            <w:vAlign w:val="center"/>
            <w:hideMark/>
          </w:tcPr>
          <w:p w14:paraId="462474C5"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29" w:type="pct"/>
            <w:tcBorders>
              <w:top w:val="single" w:sz="4" w:space="0" w:color="auto"/>
              <w:left w:val="nil"/>
              <w:bottom w:val="single" w:sz="4" w:space="0" w:color="auto"/>
              <w:right w:val="nil"/>
            </w:tcBorders>
            <w:shd w:val="clear" w:color="000000" w:fill="FFFFFF"/>
            <w:vAlign w:val="center"/>
            <w:hideMark/>
          </w:tcPr>
          <w:p w14:paraId="7FA08A12"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18" w:type="pct"/>
            <w:tcBorders>
              <w:top w:val="single" w:sz="4" w:space="0" w:color="auto"/>
              <w:left w:val="nil"/>
              <w:bottom w:val="single" w:sz="4" w:space="0" w:color="auto"/>
              <w:right w:val="nil"/>
            </w:tcBorders>
            <w:shd w:val="clear" w:color="000000" w:fill="FFFFFF"/>
            <w:vAlign w:val="center"/>
            <w:hideMark/>
          </w:tcPr>
          <w:p w14:paraId="4CDDD2F1"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w:t>
            </w:r>
          </w:p>
        </w:tc>
        <w:tc>
          <w:tcPr>
            <w:tcW w:w="523" w:type="pct"/>
            <w:tcBorders>
              <w:top w:val="single" w:sz="4" w:space="0" w:color="auto"/>
              <w:left w:val="nil"/>
              <w:bottom w:val="single" w:sz="4" w:space="0" w:color="auto"/>
              <w:right w:val="nil"/>
            </w:tcBorders>
            <w:shd w:val="clear" w:color="000000" w:fill="FFFFFF"/>
            <w:vAlign w:val="center"/>
            <w:hideMark/>
          </w:tcPr>
          <w:p w14:paraId="74F251DF"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955,284</w:t>
            </w:r>
          </w:p>
        </w:tc>
        <w:tc>
          <w:tcPr>
            <w:tcW w:w="523" w:type="pct"/>
            <w:tcBorders>
              <w:top w:val="single" w:sz="4" w:space="0" w:color="auto"/>
              <w:left w:val="nil"/>
              <w:bottom w:val="single" w:sz="4" w:space="0" w:color="auto"/>
              <w:right w:val="nil"/>
            </w:tcBorders>
            <w:shd w:val="clear" w:color="000000" w:fill="FFFFFF"/>
            <w:vAlign w:val="center"/>
            <w:hideMark/>
          </w:tcPr>
          <w:p w14:paraId="0F3BCE8D" w14:textId="77777777" w:rsidR="00282F63" w:rsidRPr="00282F63" w:rsidRDefault="00282F63" w:rsidP="00032816">
            <w:pPr>
              <w:spacing w:after="0" w:line="240" w:lineRule="auto"/>
              <w:jc w:val="right"/>
              <w:rPr>
                <w:rFonts w:asciiTheme="minorHAnsi" w:eastAsia="Times New Roman" w:hAnsiTheme="minorHAnsi" w:cstheme="minorHAnsi"/>
                <w:b/>
                <w:bCs/>
                <w:color w:val="auto"/>
                <w:sz w:val="16"/>
                <w:szCs w:val="16"/>
                <w:lang w:eastAsia="en-GB"/>
              </w:rPr>
            </w:pPr>
            <w:r w:rsidRPr="00282F63">
              <w:rPr>
                <w:rFonts w:asciiTheme="minorHAnsi" w:eastAsia="Times New Roman" w:hAnsiTheme="minorHAnsi" w:cstheme="minorHAnsi"/>
                <w:b/>
                <w:bCs/>
                <w:color w:val="auto"/>
                <w:sz w:val="16"/>
                <w:szCs w:val="16"/>
                <w:lang w:eastAsia="en-GB"/>
              </w:rPr>
              <w:t>955,284</w:t>
            </w:r>
          </w:p>
        </w:tc>
      </w:tr>
    </w:tbl>
    <w:p w14:paraId="15AF3395" w14:textId="77777777" w:rsidR="002A6673" w:rsidRDefault="002A6673" w:rsidP="003356AE">
      <w:pPr>
        <w:spacing w:line="240" w:lineRule="auto"/>
        <w:rPr>
          <w:lang w:val="pt-BR"/>
        </w:rPr>
      </w:pPr>
    </w:p>
    <w:p w14:paraId="4A4766E3" w14:textId="76DC550A" w:rsidR="00DD39BC" w:rsidRDefault="00DD39BC" w:rsidP="003356AE">
      <w:pPr>
        <w:spacing w:line="240" w:lineRule="auto"/>
        <w:rPr>
          <w:lang w:val="pt-BR"/>
        </w:rPr>
      </w:pPr>
    </w:p>
    <w:p w14:paraId="6E26E87B" w14:textId="52E19523" w:rsidR="002522D4" w:rsidRPr="0043793E" w:rsidRDefault="002522D4" w:rsidP="003356AE">
      <w:pPr>
        <w:pStyle w:val="ChapterHeading"/>
        <w:spacing w:line="240" w:lineRule="auto"/>
      </w:pPr>
      <w:bookmarkStart w:id="51" w:name="_Toc9272496"/>
      <w:bookmarkStart w:id="52" w:name="_Toc231975672"/>
      <w:r w:rsidRPr="0043793E">
        <w:lastRenderedPageBreak/>
        <w:t>Comprehensive Income and Expenditure Statement</w:t>
      </w:r>
      <w:bookmarkEnd w:id="51"/>
      <w:bookmarkEnd w:id="52"/>
    </w:p>
    <w:p w14:paraId="65B1B2C3" w14:textId="77777777" w:rsidR="002522D4" w:rsidRPr="0043793E" w:rsidRDefault="002522D4" w:rsidP="003356AE">
      <w:pPr>
        <w:spacing w:line="240" w:lineRule="auto"/>
      </w:pPr>
    </w:p>
    <w:p w14:paraId="13DB2F9A" w14:textId="7B3C72B4" w:rsidR="009909DC" w:rsidRDefault="002522D4" w:rsidP="003356AE">
      <w:pPr>
        <w:spacing w:line="240" w:lineRule="auto"/>
      </w:pPr>
      <w:r w:rsidRPr="0043793E">
        <w:t xml:space="preserve">This account summarises the resources that have been generated and consumed in providing services and managing the </w:t>
      </w:r>
      <w:r w:rsidR="006A5AA6" w:rsidRPr="0043793E">
        <w:t>OCC</w:t>
      </w:r>
      <w:r w:rsidRPr="0043793E">
        <w:t xml:space="preserve"> during the last year.  It includes all day-to-day expenses and related income on an </w:t>
      </w:r>
      <w:proofErr w:type="gramStart"/>
      <w:r w:rsidRPr="0043793E">
        <w:t>accruals</w:t>
      </w:r>
      <w:proofErr w:type="gramEnd"/>
      <w:r w:rsidRPr="0043793E">
        <w:t xml:space="preserve"> basis, as well as transactions measuring the value of fixed assets actually consumed and the real projected value of retirement benefits earned by employees in the year.</w:t>
      </w:r>
      <w:bookmarkStart w:id="53" w:name="_Toc9272498"/>
    </w:p>
    <w:p w14:paraId="688E4326" w14:textId="77777777" w:rsidR="00C37196" w:rsidRPr="001B64EC" w:rsidRDefault="00C37196" w:rsidP="003356AE">
      <w:pPr>
        <w:spacing w:line="240" w:lineRule="auto"/>
      </w:pPr>
    </w:p>
    <w:tbl>
      <w:tblPr>
        <w:tblW w:w="5000" w:type="pct"/>
        <w:tblLook w:val="04A0" w:firstRow="1" w:lastRow="0" w:firstColumn="1" w:lastColumn="0" w:noHBand="0" w:noVBand="1"/>
      </w:tblPr>
      <w:tblGrid>
        <w:gridCol w:w="1024"/>
        <w:gridCol w:w="844"/>
        <w:gridCol w:w="882"/>
        <w:gridCol w:w="4181"/>
        <w:gridCol w:w="1024"/>
        <w:gridCol w:w="844"/>
        <w:gridCol w:w="840"/>
      </w:tblGrid>
      <w:tr w:rsidR="008638E7" w:rsidRPr="008638E7" w14:paraId="47520F72" w14:textId="77777777" w:rsidTr="008638E7">
        <w:trPr>
          <w:trHeight w:val="340"/>
        </w:trPr>
        <w:tc>
          <w:tcPr>
            <w:tcW w:w="1432" w:type="pct"/>
            <w:gridSpan w:val="3"/>
            <w:tcBorders>
              <w:top w:val="nil"/>
              <w:left w:val="nil"/>
              <w:bottom w:val="nil"/>
              <w:right w:val="nil"/>
            </w:tcBorders>
            <w:shd w:val="clear" w:color="000000" w:fill="000099"/>
            <w:noWrap/>
            <w:vAlign w:val="bottom"/>
            <w:hideMark/>
          </w:tcPr>
          <w:p w14:paraId="30BF17E5"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2024/25</w:t>
            </w:r>
          </w:p>
        </w:tc>
        <w:tc>
          <w:tcPr>
            <w:tcW w:w="2216" w:type="pct"/>
            <w:tcBorders>
              <w:top w:val="nil"/>
              <w:left w:val="nil"/>
              <w:bottom w:val="nil"/>
              <w:right w:val="nil"/>
            </w:tcBorders>
            <w:shd w:val="clear" w:color="000000" w:fill="000099"/>
            <w:vAlign w:val="bottom"/>
            <w:hideMark/>
          </w:tcPr>
          <w:p w14:paraId="2E047ADE" w14:textId="77777777" w:rsidR="008638E7" w:rsidRPr="008638E7" w:rsidRDefault="008638E7" w:rsidP="003356AE">
            <w:pPr>
              <w:spacing w:after="0" w:line="240" w:lineRule="auto"/>
              <w:jc w:val="left"/>
              <w:rPr>
                <w:rFonts w:eastAsia="Times New Roman" w:cs="Calibri"/>
                <w:b/>
                <w:bCs/>
                <w:color w:val="FFFFFF"/>
                <w:sz w:val="16"/>
                <w:szCs w:val="16"/>
                <w:lang w:eastAsia="en-GB"/>
              </w:rPr>
            </w:pPr>
            <w:r w:rsidRPr="008638E7">
              <w:rPr>
                <w:rFonts w:eastAsia="Times New Roman" w:cs="Calibri"/>
                <w:b/>
                <w:bCs/>
                <w:color w:val="FFFFFF"/>
                <w:sz w:val="16"/>
                <w:szCs w:val="16"/>
                <w:lang w:eastAsia="en-GB"/>
              </w:rPr>
              <w:t> </w:t>
            </w:r>
          </w:p>
        </w:tc>
        <w:tc>
          <w:tcPr>
            <w:tcW w:w="1351" w:type="pct"/>
            <w:gridSpan w:val="3"/>
            <w:tcBorders>
              <w:top w:val="nil"/>
              <w:left w:val="nil"/>
              <w:bottom w:val="nil"/>
              <w:right w:val="nil"/>
            </w:tcBorders>
            <w:shd w:val="clear" w:color="000000" w:fill="000099"/>
            <w:noWrap/>
            <w:vAlign w:val="bottom"/>
            <w:hideMark/>
          </w:tcPr>
          <w:p w14:paraId="7CEA65D8"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2025/26</w:t>
            </w:r>
          </w:p>
        </w:tc>
      </w:tr>
      <w:tr w:rsidR="008638E7" w:rsidRPr="008638E7" w14:paraId="03950E35" w14:textId="77777777" w:rsidTr="008638E7">
        <w:trPr>
          <w:trHeight w:val="340"/>
        </w:trPr>
        <w:tc>
          <w:tcPr>
            <w:tcW w:w="505" w:type="pct"/>
            <w:tcBorders>
              <w:top w:val="nil"/>
              <w:left w:val="nil"/>
              <w:bottom w:val="nil"/>
              <w:right w:val="nil"/>
            </w:tcBorders>
            <w:shd w:val="clear" w:color="000000" w:fill="000099"/>
            <w:vAlign w:val="bottom"/>
            <w:hideMark/>
          </w:tcPr>
          <w:p w14:paraId="32276B8C"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 xml:space="preserve">Expenditure </w:t>
            </w:r>
          </w:p>
        </w:tc>
        <w:tc>
          <w:tcPr>
            <w:tcW w:w="423" w:type="pct"/>
            <w:tcBorders>
              <w:top w:val="nil"/>
              <w:left w:val="nil"/>
              <w:bottom w:val="nil"/>
              <w:right w:val="nil"/>
            </w:tcBorders>
            <w:shd w:val="clear" w:color="000000" w:fill="000099"/>
            <w:vAlign w:val="bottom"/>
            <w:hideMark/>
          </w:tcPr>
          <w:p w14:paraId="2D559940"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Income</w:t>
            </w:r>
          </w:p>
        </w:tc>
        <w:tc>
          <w:tcPr>
            <w:tcW w:w="505" w:type="pct"/>
            <w:tcBorders>
              <w:top w:val="nil"/>
              <w:left w:val="nil"/>
              <w:bottom w:val="nil"/>
              <w:right w:val="nil"/>
            </w:tcBorders>
            <w:shd w:val="clear" w:color="000000" w:fill="000099"/>
            <w:vAlign w:val="bottom"/>
            <w:hideMark/>
          </w:tcPr>
          <w:p w14:paraId="47E4F95A"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Net</w:t>
            </w:r>
          </w:p>
        </w:tc>
        <w:tc>
          <w:tcPr>
            <w:tcW w:w="2216" w:type="pct"/>
            <w:tcBorders>
              <w:top w:val="nil"/>
              <w:left w:val="nil"/>
              <w:bottom w:val="nil"/>
              <w:right w:val="nil"/>
            </w:tcBorders>
            <w:shd w:val="clear" w:color="000000" w:fill="000099"/>
            <w:vAlign w:val="bottom"/>
            <w:hideMark/>
          </w:tcPr>
          <w:p w14:paraId="363EC803"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Chief Constable</w:t>
            </w:r>
          </w:p>
        </w:tc>
        <w:tc>
          <w:tcPr>
            <w:tcW w:w="505" w:type="pct"/>
            <w:tcBorders>
              <w:top w:val="nil"/>
              <w:left w:val="nil"/>
              <w:bottom w:val="nil"/>
              <w:right w:val="nil"/>
            </w:tcBorders>
            <w:shd w:val="clear" w:color="000000" w:fill="000099"/>
            <w:vAlign w:val="bottom"/>
            <w:hideMark/>
          </w:tcPr>
          <w:p w14:paraId="218BFE86"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Expenditure</w:t>
            </w:r>
          </w:p>
        </w:tc>
        <w:tc>
          <w:tcPr>
            <w:tcW w:w="423" w:type="pct"/>
            <w:tcBorders>
              <w:top w:val="nil"/>
              <w:left w:val="nil"/>
              <w:bottom w:val="nil"/>
              <w:right w:val="nil"/>
            </w:tcBorders>
            <w:shd w:val="clear" w:color="000000" w:fill="000099"/>
            <w:vAlign w:val="bottom"/>
            <w:hideMark/>
          </w:tcPr>
          <w:p w14:paraId="12B00F95"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Income</w:t>
            </w:r>
          </w:p>
        </w:tc>
        <w:tc>
          <w:tcPr>
            <w:tcW w:w="423" w:type="pct"/>
            <w:tcBorders>
              <w:top w:val="nil"/>
              <w:left w:val="nil"/>
              <w:bottom w:val="nil"/>
              <w:right w:val="nil"/>
            </w:tcBorders>
            <w:shd w:val="clear" w:color="000000" w:fill="000099"/>
            <w:vAlign w:val="bottom"/>
            <w:hideMark/>
          </w:tcPr>
          <w:p w14:paraId="075283C0"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Net</w:t>
            </w:r>
          </w:p>
        </w:tc>
      </w:tr>
      <w:tr w:rsidR="008638E7" w:rsidRPr="008638E7" w14:paraId="0CD8AC5D" w14:textId="77777777" w:rsidTr="008638E7">
        <w:trPr>
          <w:trHeight w:val="340"/>
        </w:trPr>
        <w:tc>
          <w:tcPr>
            <w:tcW w:w="505" w:type="pct"/>
            <w:tcBorders>
              <w:top w:val="nil"/>
              <w:left w:val="nil"/>
              <w:bottom w:val="nil"/>
              <w:right w:val="nil"/>
            </w:tcBorders>
            <w:shd w:val="clear" w:color="000000" w:fill="000099"/>
            <w:vAlign w:val="bottom"/>
            <w:hideMark/>
          </w:tcPr>
          <w:p w14:paraId="084EB63D"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£000</w:t>
            </w:r>
          </w:p>
        </w:tc>
        <w:tc>
          <w:tcPr>
            <w:tcW w:w="423" w:type="pct"/>
            <w:tcBorders>
              <w:top w:val="nil"/>
              <w:left w:val="nil"/>
              <w:bottom w:val="nil"/>
              <w:right w:val="nil"/>
            </w:tcBorders>
            <w:shd w:val="clear" w:color="000000" w:fill="000099"/>
            <w:vAlign w:val="bottom"/>
            <w:hideMark/>
          </w:tcPr>
          <w:p w14:paraId="4EB1F15D"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£000</w:t>
            </w:r>
          </w:p>
        </w:tc>
        <w:tc>
          <w:tcPr>
            <w:tcW w:w="505" w:type="pct"/>
            <w:tcBorders>
              <w:top w:val="nil"/>
              <w:left w:val="nil"/>
              <w:bottom w:val="nil"/>
              <w:right w:val="nil"/>
            </w:tcBorders>
            <w:shd w:val="clear" w:color="000000" w:fill="000099"/>
            <w:vAlign w:val="bottom"/>
            <w:hideMark/>
          </w:tcPr>
          <w:p w14:paraId="1B856743"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£000</w:t>
            </w:r>
          </w:p>
        </w:tc>
        <w:tc>
          <w:tcPr>
            <w:tcW w:w="2216" w:type="pct"/>
            <w:tcBorders>
              <w:top w:val="nil"/>
              <w:left w:val="nil"/>
              <w:bottom w:val="nil"/>
              <w:right w:val="nil"/>
            </w:tcBorders>
            <w:shd w:val="clear" w:color="000000" w:fill="000099"/>
            <w:vAlign w:val="bottom"/>
            <w:hideMark/>
          </w:tcPr>
          <w:p w14:paraId="67D72D16"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 </w:t>
            </w:r>
          </w:p>
        </w:tc>
        <w:tc>
          <w:tcPr>
            <w:tcW w:w="505" w:type="pct"/>
            <w:tcBorders>
              <w:top w:val="nil"/>
              <w:left w:val="nil"/>
              <w:bottom w:val="nil"/>
              <w:right w:val="nil"/>
            </w:tcBorders>
            <w:shd w:val="clear" w:color="000000" w:fill="000099"/>
            <w:vAlign w:val="bottom"/>
            <w:hideMark/>
          </w:tcPr>
          <w:p w14:paraId="44E9843A"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£000</w:t>
            </w:r>
          </w:p>
        </w:tc>
        <w:tc>
          <w:tcPr>
            <w:tcW w:w="423" w:type="pct"/>
            <w:tcBorders>
              <w:top w:val="nil"/>
              <w:left w:val="nil"/>
              <w:bottom w:val="nil"/>
              <w:right w:val="nil"/>
            </w:tcBorders>
            <w:shd w:val="clear" w:color="000000" w:fill="000099"/>
            <w:vAlign w:val="bottom"/>
            <w:hideMark/>
          </w:tcPr>
          <w:p w14:paraId="4D8279BD"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£000</w:t>
            </w:r>
          </w:p>
        </w:tc>
        <w:tc>
          <w:tcPr>
            <w:tcW w:w="423" w:type="pct"/>
            <w:tcBorders>
              <w:top w:val="nil"/>
              <w:left w:val="nil"/>
              <w:bottom w:val="nil"/>
              <w:right w:val="nil"/>
            </w:tcBorders>
            <w:shd w:val="clear" w:color="000000" w:fill="000099"/>
            <w:vAlign w:val="bottom"/>
            <w:hideMark/>
          </w:tcPr>
          <w:p w14:paraId="21852B3E" w14:textId="77777777" w:rsidR="008638E7" w:rsidRPr="008638E7" w:rsidRDefault="008638E7" w:rsidP="003356AE">
            <w:pPr>
              <w:spacing w:after="0" w:line="240" w:lineRule="auto"/>
              <w:jc w:val="center"/>
              <w:rPr>
                <w:rFonts w:eastAsia="Times New Roman" w:cs="Calibri"/>
                <w:b/>
                <w:bCs/>
                <w:color w:val="FFFFFF"/>
                <w:sz w:val="16"/>
                <w:szCs w:val="16"/>
                <w:lang w:eastAsia="en-GB"/>
              </w:rPr>
            </w:pPr>
            <w:r w:rsidRPr="008638E7">
              <w:rPr>
                <w:rFonts w:eastAsia="Times New Roman" w:cs="Calibri"/>
                <w:b/>
                <w:bCs/>
                <w:color w:val="FFFFFF"/>
                <w:sz w:val="16"/>
                <w:szCs w:val="16"/>
                <w:lang w:eastAsia="en-GB"/>
              </w:rPr>
              <w:t>£000</w:t>
            </w:r>
          </w:p>
        </w:tc>
      </w:tr>
      <w:tr w:rsidR="008638E7" w:rsidRPr="008638E7" w14:paraId="6EEE0BCA" w14:textId="77777777" w:rsidTr="00E1452F">
        <w:trPr>
          <w:trHeight w:val="340"/>
        </w:trPr>
        <w:tc>
          <w:tcPr>
            <w:tcW w:w="505" w:type="pct"/>
            <w:tcBorders>
              <w:top w:val="nil"/>
              <w:left w:val="nil"/>
              <w:bottom w:val="nil"/>
              <w:right w:val="nil"/>
            </w:tcBorders>
            <w:shd w:val="clear" w:color="000000" w:fill="FFFFFF"/>
            <w:vAlign w:val="center"/>
            <w:hideMark/>
          </w:tcPr>
          <w:p w14:paraId="6F592028"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182,284</w:t>
            </w:r>
          </w:p>
        </w:tc>
        <w:tc>
          <w:tcPr>
            <w:tcW w:w="423" w:type="pct"/>
            <w:tcBorders>
              <w:top w:val="nil"/>
              <w:left w:val="nil"/>
              <w:bottom w:val="nil"/>
              <w:right w:val="nil"/>
            </w:tcBorders>
            <w:shd w:val="clear" w:color="000000" w:fill="FFFFFF"/>
            <w:vAlign w:val="center"/>
            <w:hideMark/>
          </w:tcPr>
          <w:p w14:paraId="49339D76"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(46,473)</w:t>
            </w:r>
          </w:p>
        </w:tc>
        <w:tc>
          <w:tcPr>
            <w:tcW w:w="505" w:type="pct"/>
            <w:tcBorders>
              <w:top w:val="nil"/>
              <w:left w:val="nil"/>
              <w:bottom w:val="nil"/>
              <w:right w:val="nil"/>
            </w:tcBorders>
            <w:shd w:val="clear" w:color="000000" w:fill="FFFFFF"/>
            <w:vAlign w:val="center"/>
            <w:hideMark/>
          </w:tcPr>
          <w:p w14:paraId="5C2C8651"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135,811</w:t>
            </w:r>
          </w:p>
        </w:tc>
        <w:tc>
          <w:tcPr>
            <w:tcW w:w="2216" w:type="pct"/>
            <w:tcBorders>
              <w:top w:val="nil"/>
              <w:left w:val="nil"/>
              <w:bottom w:val="nil"/>
              <w:right w:val="nil"/>
            </w:tcBorders>
            <w:shd w:val="clear" w:color="000000" w:fill="FFFFFF"/>
            <w:noWrap/>
            <w:vAlign w:val="center"/>
            <w:hideMark/>
          </w:tcPr>
          <w:p w14:paraId="3329B216" w14:textId="77777777" w:rsidR="008638E7" w:rsidRPr="0040499F" w:rsidRDefault="008638E7" w:rsidP="00E1452F">
            <w:pPr>
              <w:spacing w:after="0" w:line="240" w:lineRule="auto"/>
              <w:jc w:val="left"/>
              <w:rPr>
                <w:rFonts w:eastAsia="Times New Roman" w:cs="Calibri"/>
                <w:color w:val="000000"/>
                <w:sz w:val="16"/>
                <w:szCs w:val="16"/>
                <w:lang w:eastAsia="en-GB"/>
              </w:rPr>
            </w:pPr>
            <w:r w:rsidRPr="0040499F">
              <w:rPr>
                <w:rFonts w:eastAsia="Times New Roman" w:cs="Calibri"/>
                <w:color w:val="000000"/>
                <w:sz w:val="16"/>
                <w:szCs w:val="16"/>
                <w:lang w:eastAsia="en-GB"/>
              </w:rPr>
              <w:t>Policing Services</w:t>
            </w:r>
          </w:p>
        </w:tc>
        <w:tc>
          <w:tcPr>
            <w:tcW w:w="505" w:type="pct"/>
            <w:tcBorders>
              <w:top w:val="nil"/>
              <w:left w:val="nil"/>
              <w:bottom w:val="nil"/>
              <w:right w:val="nil"/>
            </w:tcBorders>
            <w:shd w:val="clear" w:color="000000" w:fill="CCECFF"/>
            <w:vAlign w:val="center"/>
            <w:hideMark/>
          </w:tcPr>
          <w:p w14:paraId="61A1B59B"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197,141</w:t>
            </w:r>
          </w:p>
        </w:tc>
        <w:tc>
          <w:tcPr>
            <w:tcW w:w="423" w:type="pct"/>
            <w:tcBorders>
              <w:top w:val="nil"/>
              <w:left w:val="nil"/>
              <w:bottom w:val="nil"/>
              <w:right w:val="nil"/>
            </w:tcBorders>
            <w:shd w:val="clear" w:color="000000" w:fill="CCECFF"/>
            <w:vAlign w:val="center"/>
            <w:hideMark/>
          </w:tcPr>
          <w:p w14:paraId="13C0DD51"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(44,810)</w:t>
            </w:r>
          </w:p>
        </w:tc>
        <w:tc>
          <w:tcPr>
            <w:tcW w:w="423" w:type="pct"/>
            <w:tcBorders>
              <w:top w:val="nil"/>
              <w:left w:val="nil"/>
              <w:bottom w:val="nil"/>
              <w:right w:val="nil"/>
            </w:tcBorders>
            <w:shd w:val="clear" w:color="000000" w:fill="CCECFF"/>
            <w:vAlign w:val="center"/>
            <w:hideMark/>
          </w:tcPr>
          <w:p w14:paraId="68F73661"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152,331</w:t>
            </w:r>
          </w:p>
        </w:tc>
      </w:tr>
      <w:tr w:rsidR="008638E7" w:rsidRPr="008638E7" w14:paraId="658F6F3F" w14:textId="77777777" w:rsidTr="00E1452F">
        <w:trPr>
          <w:trHeight w:val="340"/>
        </w:trPr>
        <w:tc>
          <w:tcPr>
            <w:tcW w:w="505" w:type="pct"/>
            <w:tcBorders>
              <w:top w:val="nil"/>
              <w:left w:val="nil"/>
              <w:bottom w:val="nil"/>
              <w:right w:val="nil"/>
            </w:tcBorders>
            <w:shd w:val="clear" w:color="000000" w:fill="FFFFFF"/>
            <w:vAlign w:val="center"/>
            <w:hideMark/>
          </w:tcPr>
          <w:p w14:paraId="3D473B72"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FFFFFF"/>
            <w:vAlign w:val="center"/>
            <w:hideMark/>
          </w:tcPr>
          <w:p w14:paraId="70C05004"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505" w:type="pct"/>
            <w:tcBorders>
              <w:top w:val="nil"/>
              <w:left w:val="nil"/>
              <w:bottom w:val="nil"/>
              <w:right w:val="nil"/>
            </w:tcBorders>
            <w:shd w:val="clear" w:color="000000" w:fill="FFFFFF"/>
            <w:vAlign w:val="center"/>
            <w:hideMark/>
          </w:tcPr>
          <w:p w14:paraId="1CCA8DDC"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2216" w:type="pct"/>
            <w:tcBorders>
              <w:top w:val="nil"/>
              <w:left w:val="nil"/>
              <w:bottom w:val="nil"/>
              <w:right w:val="nil"/>
            </w:tcBorders>
            <w:shd w:val="clear" w:color="000000" w:fill="FFFFFF"/>
            <w:noWrap/>
            <w:vAlign w:val="center"/>
            <w:hideMark/>
          </w:tcPr>
          <w:p w14:paraId="21B0F3AF" w14:textId="77777777" w:rsidR="008638E7" w:rsidRPr="0040499F" w:rsidRDefault="008638E7" w:rsidP="00E1452F">
            <w:pPr>
              <w:spacing w:after="0" w:line="240" w:lineRule="auto"/>
              <w:jc w:val="left"/>
              <w:rPr>
                <w:rFonts w:eastAsia="Times New Roman" w:cs="Calibri"/>
                <w:color w:val="000000"/>
                <w:sz w:val="16"/>
                <w:szCs w:val="16"/>
                <w:lang w:eastAsia="en-GB"/>
              </w:rPr>
            </w:pPr>
            <w:r w:rsidRPr="0040499F">
              <w:rPr>
                <w:rFonts w:eastAsia="Times New Roman" w:cs="Calibri"/>
                <w:color w:val="000000"/>
                <w:sz w:val="16"/>
                <w:szCs w:val="16"/>
                <w:lang w:eastAsia="en-GB"/>
              </w:rPr>
              <w:t>Police, Fire &amp; Crime Commissioner</w:t>
            </w:r>
          </w:p>
        </w:tc>
        <w:tc>
          <w:tcPr>
            <w:tcW w:w="505" w:type="pct"/>
            <w:tcBorders>
              <w:top w:val="nil"/>
              <w:left w:val="nil"/>
              <w:bottom w:val="nil"/>
              <w:right w:val="nil"/>
            </w:tcBorders>
            <w:shd w:val="clear" w:color="000000" w:fill="CCECFF"/>
            <w:vAlign w:val="center"/>
            <w:hideMark/>
          </w:tcPr>
          <w:p w14:paraId="1C815459"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288D90A8"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59F34AF5"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r>
      <w:tr w:rsidR="008638E7" w:rsidRPr="008638E7" w14:paraId="59D527F9" w14:textId="77777777" w:rsidTr="00E1452F">
        <w:trPr>
          <w:trHeight w:val="340"/>
        </w:trPr>
        <w:tc>
          <w:tcPr>
            <w:tcW w:w="505" w:type="pct"/>
            <w:tcBorders>
              <w:top w:val="nil"/>
              <w:left w:val="nil"/>
              <w:bottom w:val="nil"/>
              <w:right w:val="nil"/>
            </w:tcBorders>
            <w:shd w:val="clear" w:color="000000" w:fill="FFFFFF"/>
            <w:vAlign w:val="center"/>
            <w:hideMark/>
          </w:tcPr>
          <w:p w14:paraId="4AABA059"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FFFFFF"/>
            <w:vAlign w:val="center"/>
            <w:hideMark/>
          </w:tcPr>
          <w:p w14:paraId="353355B7"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505" w:type="pct"/>
            <w:tcBorders>
              <w:top w:val="nil"/>
              <w:left w:val="nil"/>
              <w:bottom w:val="nil"/>
              <w:right w:val="nil"/>
            </w:tcBorders>
            <w:shd w:val="clear" w:color="000000" w:fill="FFFFFF"/>
            <w:vAlign w:val="center"/>
            <w:hideMark/>
          </w:tcPr>
          <w:p w14:paraId="0D6C3017"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2216" w:type="pct"/>
            <w:tcBorders>
              <w:top w:val="nil"/>
              <w:left w:val="nil"/>
              <w:bottom w:val="nil"/>
              <w:right w:val="nil"/>
            </w:tcBorders>
            <w:shd w:val="clear" w:color="000000" w:fill="FFFFFF"/>
            <w:noWrap/>
            <w:vAlign w:val="center"/>
            <w:hideMark/>
          </w:tcPr>
          <w:p w14:paraId="0A7D9755" w14:textId="77777777" w:rsidR="008638E7" w:rsidRPr="0040499F" w:rsidRDefault="008638E7" w:rsidP="00E1452F">
            <w:pPr>
              <w:spacing w:after="0" w:line="240" w:lineRule="auto"/>
              <w:jc w:val="left"/>
              <w:rPr>
                <w:rFonts w:eastAsia="Times New Roman" w:cs="Calibri"/>
                <w:color w:val="000000"/>
                <w:sz w:val="16"/>
                <w:szCs w:val="16"/>
                <w:lang w:eastAsia="en-GB"/>
              </w:rPr>
            </w:pPr>
            <w:r w:rsidRPr="0040499F">
              <w:rPr>
                <w:rFonts w:eastAsia="Times New Roman" w:cs="Calibri"/>
                <w:color w:val="000000"/>
                <w:sz w:val="16"/>
                <w:szCs w:val="16"/>
                <w:lang w:eastAsia="en-GB"/>
              </w:rPr>
              <w:t>Commissioning</w:t>
            </w:r>
          </w:p>
        </w:tc>
        <w:tc>
          <w:tcPr>
            <w:tcW w:w="505" w:type="pct"/>
            <w:tcBorders>
              <w:top w:val="nil"/>
              <w:left w:val="nil"/>
              <w:bottom w:val="nil"/>
              <w:right w:val="nil"/>
            </w:tcBorders>
            <w:shd w:val="clear" w:color="000000" w:fill="CCECFF"/>
            <w:vAlign w:val="center"/>
            <w:hideMark/>
          </w:tcPr>
          <w:p w14:paraId="0F235B78"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5A78B7ED"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6434D4D0"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r>
      <w:tr w:rsidR="008638E7" w:rsidRPr="008638E7" w14:paraId="3ED1D3B7" w14:textId="77777777" w:rsidTr="00E1452F">
        <w:trPr>
          <w:trHeight w:val="340"/>
        </w:trPr>
        <w:tc>
          <w:tcPr>
            <w:tcW w:w="505" w:type="pct"/>
            <w:tcBorders>
              <w:top w:val="single" w:sz="4" w:space="0" w:color="auto"/>
              <w:left w:val="nil"/>
              <w:bottom w:val="single" w:sz="4" w:space="0" w:color="auto"/>
              <w:right w:val="nil"/>
            </w:tcBorders>
            <w:shd w:val="clear" w:color="000000" w:fill="FFFFFF"/>
            <w:vAlign w:val="center"/>
            <w:hideMark/>
          </w:tcPr>
          <w:p w14:paraId="616B5153"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182,284</w:t>
            </w:r>
          </w:p>
        </w:tc>
        <w:tc>
          <w:tcPr>
            <w:tcW w:w="423" w:type="pct"/>
            <w:tcBorders>
              <w:top w:val="single" w:sz="4" w:space="0" w:color="auto"/>
              <w:left w:val="nil"/>
              <w:bottom w:val="single" w:sz="4" w:space="0" w:color="auto"/>
              <w:right w:val="nil"/>
            </w:tcBorders>
            <w:shd w:val="clear" w:color="000000" w:fill="FFFFFF"/>
            <w:vAlign w:val="center"/>
            <w:hideMark/>
          </w:tcPr>
          <w:p w14:paraId="6D1BBD22"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000000"/>
                <w:sz w:val="16"/>
                <w:szCs w:val="16"/>
                <w:lang w:eastAsia="en-GB"/>
              </w:rPr>
              <w:t>(46,473)</w:t>
            </w:r>
          </w:p>
        </w:tc>
        <w:tc>
          <w:tcPr>
            <w:tcW w:w="505" w:type="pct"/>
            <w:tcBorders>
              <w:top w:val="single" w:sz="4" w:space="0" w:color="auto"/>
              <w:left w:val="nil"/>
              <w:bottom w:val="single" w:sz="4" w:space="0" w:color="auto"/>
              <w:right w:val="nil"/>
            </w:tcBorders>
            <w:shd w:val="clear" w:color="000000" w:fill="FFFFFF"/>
            <w:vAlign w:val="center"/>
            <w:hideMark/>
          </w:tcPr>
          <w:p w14:paraId="5C33B557"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135,811</w:t>
            </w:r>
          </w:p>
        </w:tc>
        <w:tc>
          <w:tcPr>
            <w:tcW w:w="2216" w:type="pct"/>
            <w:tcBorders>
              <w:top w:val="nil"/>
              <w:left w:val="nil"/>
              <w:bottom w:val="nil"/>
              <w:right w:val="nil"/>
            </w:tcBorders>
            <w:shd w:val="clear" w:color="000000" w:fill="FFFFFF"/>
            <w:noWrap/>
            <w:vAlign w:val="center"/>
            <w:hideMark/>
          </w:tcPr>
          <w:p w14:paraId="46C0AB56" w14:textId="77777777" w:rsidR="008638E7" w:rsidRPr="0040499F" w:rsidRDefault="008638E7" w:rsidP="00E1452F">
            <w:pPr>
              <w:spacing w:after="0" w:line="240" w:lineRule="auto"/>
              <w:jc w:val="left"/>
              <w:rPr>
                <w:rFonts w:eastAsia="Times New Roman" w:cs="Calibri"/>
                <w:b/>
                <w:bCs/>
                <w:color w:val="000000"/>
                <w:sz w:val="16"/>
                <w:szCs w:val="16"/>
                <w:lang w:eastAsia="en-GB"/>
              </w:rPr>
            </w:pPr>
            <w:r w:rsidRPr="0040499F">
              <w:rPr>
                <w:rFonts w:eastAsia="Times New Roman" w:cs="Calibri"/>
                <w:b/>
                <w:bCs/>
                <w:color w:val="000000"/>
                <w:sz w:val="16"/>
                <w:szCs w:val="16"/>
                <w:lang w:eastAsia="en-GB"/>
              </w:rPr>
              <w:t>Cost of Services</w:t>
            </w:r>
          </w:p>
        </w:tc>
        <w:tc>
          <w:tcPr>
            <w:tcW w:w="505" w:type="pct"/>
            <w:tcBorders>
              <w:top w:val="single" w:sz="4" w:space="0" w:color="auto"/>
              <w:left w:val="nil"/>
              <w:bottom w:val="single" w:sz="4" w:space="0" w:color="auto"/>
              <w:right w:val="nil"/>
            </w:tcBorders>
            <w:shd w:val="clear" w:color="000000" w:fill="CCECFF"/>
            <w:vAlign w:val="center"/>
            <w:hideMark/>
          </w:tcPr>
          <w:p w14:paraId="6879EF30"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197,141</w:t>
            </w:r>
          </w:p>
        </w:tc>
        <w:tc>
          <w:tcPr>
            <w:tcW w:w="423" w:type="pct"/>
            <w:tcBorders>
              <w:top w:val="single" w:sz="4" w:space="0" w:color="auto"/>
              <w:left w:val="nil"/>
              <w:bottom w:val="single" w:sz="4" w:space="0" w:color="auto"/>
              <w:right w:val="nil"/>
            </w:tcBorders>
            <w:shd w:val="clear" w:color="000000" w:fill="CCECFF"/>
            <w:vAlign w:val="center"/>
            <w:hideMark/>
          </w:tcPr>
          <w:p w14:paraId="28D9E253"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000000"/>
                <w:sz w:val="16"/>
                <w:szCs w:val="16"/>
                <w:lang w:eastAsia="en-GB"/>
              </w:rPr>
              <w:t>(44,810)</w:t>
            </w:r>
          </w:p>
        </w:tc>
        <w:tc>
          <w:tcPr>
            <w:tcW w:w="423" w:type="pct"/>
            <w:tcBorders>
              <w:top w:val="single" w:sz="4" w:space="0" w:color="auto"/>
              <w:left w:val="nil"/>
              <w:bottom w:val="single" w:sz="4" w:space="0" w:color="auto"/>
              <w:right w:val="nil"/>
            </w:tcBorders>
            <w:shd w:val="clear" w:color="000000" w:fill="CCECFF"/>
            <w:vAlign w:val="center"/>
            <w:hideMark/>
          </w:tcPr>
          <w:p w14:paraId="49CC547B"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152,331</w:t>
            </w:r>
          </w:p>
        </w:tc>
      </w:tr>
      <w:tr w:rsidR="008638E7" w:rsidRPr="008638E7" w14:paraId="6BF9A149" w14:textId="77777777" w:rsidTr="00E1452F">
        <w:trPr>
          <w:trHeight w:val="340"/>
        </w:trPr>
        <w:tc>
          <w:tcPr>
            <w:tcW w:w="505" w:type="pct"/>
            <w:tcBorders>
              <w:top w:val="nil"/>
              <w:left w:val="nil"/>
              <w:bottom w:val="nil"/>
              <w:right w:val="nil"/>
            </w:tcBorders>
            <w:shd w:val="clear" w:color="000000" w:fill="FFFFFF"/>
            <w:vAlign w:val="center"/>
            <w:hideMark/>
          </w:tcPr>
          <w:p w14:paraId="12B3F5F0"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FFFFFF"/>
            <w:vAlign w:val="center"/>
            <w:hideMark/>
          </w:tcPr>
          <w:p w14:paraId="1CEEC597"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(165,024)</w:t>
            </w:r>
          </w:p>
        </w:tc>
        <w:tc>
          <w:tcPr>
            <w:tcW w:w="505" w:type="pct"/>
            <w:tcBorders>
              <w:top w:val="nil"/>
              <w:left w:val="nil"/>
              <w:bottom w:val="nil"/>
              <w:right w:val="nil"/>
            </w:tcBorders>
            <w:shd w:val="clear" w:color="000000" w:fill="FFFFFF"/>
            <w:vAlign w:val="center"/>
            <w:hideMark/>
          </w:tcPr>
          <w:p w14:paraId="0F1EFDB0"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(165,024)</w:t>
            </w:r>
          </w:p>
        </w:tc>
        <w:tc>
          <w:tcPr>
            <w:tcW w:w="2216" w:type="pct"/>
            <w:tcBorders>
              <w:top w:val="nil"/>
              <w:left w:val="nil"/>
              <w:bottom w:val="nil"/>
              <w:right w:val="nil"/>
            </w:tcBorders>
            <w:shd w:val="clear" w:color="000000" w:fill="FFFFFF"/>
            <w:noWrap/>
            <w:vAlign w:val="center"/>
            <w:hideMark/>
          </w:tcPr>
          <w:p w14:paraId="32F6F585" w14:textId="77777777" w:rsidR="008638E7" w:rsidRPr="0040499F" w:rsidRDefault="008638E7" w:rsidP="00E1452F">
            <w:pPr>
              <w:spacing w:after="0" w:line="240" w:lineRule="auto"/>
              <w:jc w:val="left"/>
              <w:rPr>
                <w:rFonts w:eastAsia="Times New Roman" w:cs="Calibri"/>
                <w:color w:val="000000"/>
                <w:sz w:val="16"/>
                <w:szCs w:val="16"/>
                <w:lang w:eastAsia="en-GB"/>
              </w:rPr>
            </w:pPr>
            <w:r w:rsidRPr="0040499F">
              <w:rPr>
                <w:rFonts w:eastAsia="Times New Roman" w:cs="Calibri"/>
                <w:color w:val="000000"/>
                <w:sz w:val="16"/>
                <w:szCs w:val="16"/>
                <w:lang w:eastAsia="en-GB"/>
              </w:rPr>
              <w:t>Intra-Organisational Adjustment</w:t>
            </w:r>
          </w:p>
        </w:tc>
        <w:tc>
          <w:tcPr>
            <w:tcW w:w="505" w:type="pct"/>
            <w:tcBorders>
              <w:top w:val="nil"/>
              <w:left w:val="nil"/>
              <w:bottom w:val="nil"/>
              <w:right w:val="nil"/>
            </w:tcBorders>
            <w:shd w:val="clear" w:color="000000" w:fill="CCECFF"/>
            <w:vAlign w:val="center"/>
            <w:hideMark/>
          </w:tcPr>
          <w:p w14:paraId="4735CC14"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75E2F028"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(184,604)</w:t>
            </w:r>
          </w:p>
        </w:tc>
        <w:tc>
          <w:tcPr>
            <w:tcW w:w="423" w:type="pct"/>
            <w:tcBorders>
              <w:top w:val="nil"/>
              <w:left w:val="nil"/>
              <w:bottom w:val="nil"/>
              <w:right w:val="nil"/>
            </w:tcBorders>
            <w:shd w:val="clear" w:color="000000" w:fill="CCECFF"/>
            <w:vAlign w:val="center"/>
            <w:hideMark/>
          </w:tcPr>
          <w:p w14:paraId="1E242705"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(184,604)</w:t>
            </w:r>
          </w:p>
        </w:tc>
      </w:tr>
      <w:tr w:rsidR="008638E7" w:rsidRPr="008638E7" w14:paraId="58A35204" w14:textId="77777777" w:rsidTr="00E1452F">
        <w:trPr>
          <w:trHeight w:val="340"/>
        </w:trPr>
        <w:tc>
          <w:tcPr>
            <w:tcW w:w="505" w:type="pct"/>
            <w:tcBorders>
              <w:top w:val="nil"/>
              <w:left w:val="nil"/>
              <w:bottom w:val="nil"/>
              <w:right w:val="nil"/>
            </w:tcBorders>
            <w:shd w:val="clear" w:color="000000" w:fill="FFFFFF"/>
            <w:vAlign w:val="center"/>
            <w:hideMark/>
          </w:tcPr>
          <w:p w14:paraId="62AD6FBE"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FFFFFF"/>
            <w:vAlign w:val="center"/>
            <w:hideMark/>
          </w:tcPr>
          <w:p w14:paraId="32A4C08A"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505" w:type="pct"/>
            <w:tcBorders>
              <w:top w:val="nil"/>
              <w:left w:val="nil"/>
              <w:bottom w:val="nil"/>
              <w:right w:val="nil"/>
            </w:tcBorders>
            <w:shd w:val="clear" w:color="000000" w:fill="FFFFFF"/>
            <w:vAlign w:val="center"/>
            <w:hideMark/>
          </w:tcPr>
          <w:p w14:paraId="757B32EA"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2216" w:type="pct"/>
            <w:tcBorders>
              <w:top w:val="nil"/>
              <w:left w:val="nil"/>
              <w:bottom w:val="nil"/>
              <w:right w:val="nil"/>
            </w:tcBorders>
            <w:shd w:val="clear" w:color="000000" w:fill="FFFFFF"/>
            <w:noWrap/>
            <w:vAlign w:val="center"/>
            <w:hideMark/>
          </w:tcPr>
          <w:p w14:paraId="125D3179" w14:textId="77777777" w:rsidR="008638E7" w:rsidRPr="0040499F" w:rsidRDefault="008638E7" w:rsidP="00E1452F">
            <w:pPr>
              <w:spacing w:after="0" w:line="240" w:lineRule="auto"/>
              <w:jc w:val="left"/>
              <w:rPr>
                <w:rFonts w:eastAsia="Times New Roman" w:cs="Calibri"/>
                <w:color w:val="000000"/>
                <w:sz w:val="16"/>
                <w:szCs w:val="16"/>
                <w:lang w:eastAsia="en-GB"/>
              </w:rPr>
            </w:pPr>
            <w:r w:rsidRPr="0040499F">
              <w:rPr>
                <w:rFonts w:eastAsia="Times New Roman" w:cs="Calibri"/>
                <w:color w:val="000000"/>
                <w:sz w:val="16"/>
                <w:szCs w:val="16"/>
                <w:lang w:eastAsia="en-GB"/>
              </w:rPr>
              <w:t>Other Operating Expenditure (Note 7)</w:t>
            </w:r>
          </w:p>
        </w:tc>
        <w:tc>
          <w:tcPr>
            <w:tcW w:w="505" w:type="pct"/>
            <w:tcBorders>
              <w:top w:val="nil"/>
              <w:left w:val="nil"/>
              <w:bottom w:val="nil"/>
              <w:right w:val="nil"/>
            </w:tcBorders>
            <w:shd w:val="clear" w:color="000000" w:fill="CCECFF"/>
            <w:vAlign w:val="center"/>
            <w:hideMark/>
          </w:tcPr>
          <w:p w14:paraId="1C3FA92E"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514A025B"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1F494330"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r>
      <w:tr w:rsidR="008638E7" w:rsidRPr="008638E7" w14:paraId="24A7B0F3" w14:textId="77777777" w:rsidTr="00E1452F">
        <w:trPr>
          <w:trHeight w:val="340"/>
        </w:trPr>
        <w:tc>
          <w:tcPr>
            <w:tcW w:w="505" w:type="pct"/>
            <w:tcBorders>
              <w:top w:val="nil"/>
              <w:left w:val="nil"/>
              <w:bottom w:val="nil"/>
              <w:right w:val="nil"/>
            </w:tcBorders>
            <w:shd w:val="clear" w:color="000000" w:fill="FFFFFF"/>
            <w:vAlign w:val="center"/>
            <w:hideMark/>
          </w:tcPr>
          <w:p w14:paraId="0C8E4B88"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48,396</w:t>
            </w:r>
          </w:p>
        </w:tc>
        <w:tc>
          <w:tcPr>
            <w:tcW w:w="423" w:type="pct"/>
            <w:tcBorders>
              <w:top w:val="nil"/>
              <w:left w:val="nil"/>
              <w:bottom w:val="nil"/>
              <w:right w:val="nil"/>
            </w:tcBorders>
            <w:shd w:val="clear" w:color="000000" w:fill="FFFFFF"/>
            <w:vAlign w:val="center"/>
            <w:hideMark/>
          </w:tcPr>
          <w:p w14:paraId="49F45F59"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(856)</w:t>
            </w:r>
          </w:p>
        </w:tc>
        <w:tc>
          <w:tcPr>
            <w:tcW w:w="505" w:type="pct"/>
            <w:tcBorders>
              <w:top w:val="nil"/>
              <w:left w:val="nil"/>
              <w:bottom w:val="nil"/>
              <w:right w:val="nil"/>
            </w:tcBorders>
            <w:shd w:val="clear" w:color="000000" w:fill="FFFFFF"/>
            <w:vAlign w:val="center"/>
            <w:hideMark/>
          </w:tcPr>
          <w:p w14:paraId="3EFAA2FD"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47,540</w:t>
            </w:r>
          </w:p>
        </w:tc>
        <w:tc>
          <w:tcPr>
            <w:tcW w:w="2216" w:type="pct"/>
            <w:tcBorders>
              <w:top w:val="nil"/>
              <w:left w:val="nil"/>
              <w:bottom w:val="nil"/>
              <w:right w:val="nil"/>
            </w:tcBorders>
            <w:shd w:val="clear" w:color="000000" w:fill="FFFFFF"/>
            <w:noWrap/>
            <w:vAlign w:val="center"/>
            <w:hideMark/>
          </w:tcPr>
          <w:p w14:paraId="304B8C98" w14:textId="77777777" w:rsidR="008638E7" w:rsidRPr="0040499F" w:rsidRDefault="008638E7" w:rsidP="00E1452F">
            <w:pPr>
              <w:spacing w:after="0" w:line="240" w:lineRule="auto"/>
              <w:jc w:val="left"/>
              <w:rPr>
                <w:rFonts w:eastAsia="Times New Roman" w:cs="Calibri"/>
                <w:color w:val="000000"/>
                <w:sz w:val="16"/>
                <w:szCs w:val="16"/>
                <w:lang w:eastAsia="en-GB"/>
              </w:rPr>
            </w:pPr>
            <w:r w:rsidRPr="0040499F">
              <w:rPr>
                <w:rFonts w:eastAsia="Times New Roman" w:cs="Calibri"/>
                <w:color w:val="000000"/>
                <w:sz w:val="16"/>
                <w:szCs w:val="16"/>
                <w:lang w:eastAsia="en-GB"/>
              </w:rPr>
              <w:t>Financing and Investment Income and Expenditure (Note 8)</w:t>
            </w:r>
          </w:p>
        </w:tc>
        <w:tc>
          <w:tcPr>
            <w:tcW w:w="505" w:type="pct"/>
            <w:tcBorders>
              <w:top w:val="nil"/>
              <w:left w:val="nil"/>
              <w:bottom w:val="nil"/>
              <w:right w:val="nil"/>
            </w:tcBorders>
            <w:shd w:val="clear" w:color="000000" w:fill="CCECFF"/>
            <w:vAlign w:val="center"/>
            <w:hideMark/>
          </w:tcPr>
          <w:p w14:paraId="5D5D5E09"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52,917</w:t>
            </w:r>
          </w:p>
        </w:tc>
        <w:tc>
          <w:tcPr>
            <w:tcW w:w="423" w:type="pct"/>
            <w:tcBorders>
              <w:top w:val="nil"/>
              <w:left w:val="nil"/>
              <w:bottom w:val="nil"/>
              <w:right w:val="nil"/>
            </w:tcBorders>
            <w:shd w:val="clear" w:color="000000" w:fill="CCECFF"/>
            <w:vAlign w:val="center"/>
            <w:hideMark/>
          </w:tcPr>
          <w:p w14:paraId="61ED6FA9"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000000"/>
                <w:sz w:val="16"/>
                <w:szCs w:val="16"/>
                <w:lang w:eastAsia="en-GB"/>
              </w:rPr>
              <w:t>(865)</w:t>
            </w:r>
          </w:p>
        </w:tc>
        <w:tc>
          <w:tcPr>
            <w:tcW w:w="423" w:type="pct"/>
            <w:tcBorders>
              <w:top w:val="nil"/>
              <w:left w:val="nil"/>
              <w:bottom w:val="nil"/>
              <w:right w:val="nil"/>
            </w:tcBorders>
            <w:shd w:val="clear" w:color="000000" w:fill="CCECFF"/>
            <w:vAlign w:val="center"/>
            <w:hideMark/>
          </w:tcPr>
          <w:p w14:paraId="6CE191EA"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52,052</w:t>
            </w:r>
          </w:p>
        </w:tc>
      </w:tr>
      <w:tr w:rsidR="008638E7" w:rsidRPr="008638E7" w14:paraId="5AFAB5C7" w14:textId="77777777" w:rsidTr="00E1452F">
        <w:trPr>
          <w:trHeight w:val="340"/>
        </w:trPr>
        <w:tc>
          <w:tcPr>
            <w:tcW w:w="505" w:type="pct"/>
            <w:tcBorders>
              <w:top w:val="nil"/>
              <w:left w:val="nil"/>
              <w:bottom w:val="nil"/>
              <w:right w:val="nil"/>
            </w:tcBorders>
            <w:shd w:val="clear" w:color="000000" w:fill="FFFFFF"/>
            <w:vAlign w:val="center"/>
            <w:hideMark/>
          </w:tcPr>
          <w:p w14:paraId="503C2654"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 </w:t>
            </w:r>
          </w:p>
        </w:tc>
        <w:tc>
          <w:tcPr>
            <w:tcW w:w="423" w:type="pct"/>
            <w:tcBorders>
              <w:top w:val="nil"/>
              <w:left w:val="nil"/>
              <w:bottom w:val="nil"/>
              <w:right w:val="nil"/>
            </w:tcBorders>
            <w:shd w:val="clear" w:color="000000" w:fill="FFFFFF"/>
            <w:vAlign w:val="center"/>
            <w:hideMark/>
          </w:tcPr>
          <w:p w14:paraId="2E974C5E"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505" w:type="pct"/>
            <w:tcBorders>
              <w:top w:val="nil"/>
              <w:left w:val="nil"/>
              <w:bottom w:val="nil"/>
              <w:right w:val="nil"/>
            </w:tcBorders>
            <w:shd w:val="clear" w:color="000000" w:fill="FFFFFF"/>
            <w:vAlign w:val="center"/>
            <w:hideMark/>
          </w:tcPr>
          <w:p w14:paraId="7D59828B"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2216" w:type="pct"/>
            <w:tcBorders>
              <w:top w:val="nil"/>
              <w:left w:val="nil"/>
              <w:bottom w:val="nil"/>
              <w:right w:val="nil"/>
            </w:tcBorders>
            <w:shd w:val="clear" w:color="000000" w:fill="FFFFFF"/>
            <w:noWrap/>
            <w:vAlign w:val="center"/>
            <w:hideMark/>
          </w:tcPr>
          <w:p w14:paraId="6DF20AE0" w14:textId="77777777" w:rsidR="008638E7" w:rsidRPr="0040499F" w:rsidRDefault="008638E7" w:rsidP="00E1452F">
            <w:pPr>
              <w:spacing w:after="0" w:line="240" w:lineRule="auto"/>
              <w:jc w:val="left"/>
              <w:rPr>
                <w:rFonts w:eastAsia="Times New Roman" w:cs="Calibri"/>
                <w:color w:val="000000"/>
                <w:sz w:val="16"/>
                <w:szCs w:val="16"/>
                <w:lang w:eastAsia="en-GB"/>
              </w:rPr>
            </w:pPr>
            <w:r w:rsidRPr="0040499F">
              <w:rPr>
                <w:rFonts w:eastAsia="Times New Roman" w:cs="Calibri"/>
                <w:color w:val="000000"/>
                <w:sz w:val="16"/>
                <w:szCs w:val="16"/>
                <w:lang w:eastAsia="en-GB"/>
              </w:rPr>
              <w:t>Taxation and Non-Specific Grant Income (Note 9)</w:t>
            </w:r>
          </w:p>
        </w:tc>
        <w:tc>
          <w:tcPr>
            <w:tcW w:w="505" w:type="pct"/>
            <w:tcBorders>
              <w:top w:val="nil"/>
              <w:left w:val="nil"/>
              <w:bottom w:val="nil"/>
              <w:right w:val="nil"/>
            </w:tcBorders>
            <w:shd w:val="clear" w:color="000000" w:fill="CCECFF"/>
            <w:vAlign w:val="center"/>
            <w:hideMark/>
          </w:tcPr>
          <w:p w14:paraId="7998214B"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 </w:t>
            </w:r>
          </w:p>
        </w:tc>
        <w:tc>
          <w:tcPr>
            <w:tcW w:w="423" w:type="pct"/>
            <w:tcBorders>
              <w:top w:val="nil"/>
              <w:left w:val="nil"/>
              <w:bottom w:val="nil"/>
              <w:right w:val="nil"/>
            </w:tcBorders>
            <w:shd w:val="clear" w:color="000000" w:fill="CCECFF"/>
            <w:vAlign w:val="center"/>
            <w:hideMark/>
          </w:tcPr>
          <w:p w14:paraId="5C422611"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c>
          <w:tcPr>
            <w:tcW w:w="423" w:type="pct"/>
            <w:tcBorders>
              <w:top w:val="nil"/>
              <w:left w:val="nil"/>
              <w:bottom w:val="nil"/>
              <w:right w:val="nil"/>
            </w:tcBorders>
            <w:shd w:val="clear" w:color="000000" w:fill="CCECFF"/>
            <w:vAlign w:val="center"/>
            <w:hideMark/>
          </w:tcPr>
          <w:p w14:paraId="70BB42B3" w14:textId="77777777" w:rsidR="008638E7" w:rsidRPr="0040499F" w:rsidRDefault="008638E7" w:rsidP="00E1452F">
            <w:pPr>
              <w:spacing w:after="0" w:line="240" w:lineRule="auto"/>
              <w:jc w:val="right"/>
              <w:rPr>
                <w:rFonts w:eastAsia="Times New Roman" w:cs="Calibri"/>
                <w:color w:val="auto"/>
                <w:sz w:val="16"/>
                <w:szCs w:val="16"/>
                <w:lang w:eastAsia="en-GB"/>
              </w:rPr>
            </w:pPr>
            <w:r w:rsidRPr="0040499F">
              <w:rPr>
                <w:rFonts w:eastAsia="Times New Roman" w:cs="Calibri"/>
                <w:color w:val="auto"/>
                <w:sz w:val="16"/>
                <w:szCs w:val="16"/>
                <w:lang w:eastAsia="en-GB"/>
              </w:rPr>
              <w:t>-</w:t>
            </w:r>
          </w:p>
        </w:tc>
      </w:tr>
      <w:tr w:rsidR="008638E7" w:rsidRPr="008638E7" w14:paraId="0DFD01A9" w14:textId="77777777" w:rsidTr="00E1452F">
        <w:trPr>
          <w:trHeight w:val="340"/>
        </w:trPr>
        <w:tc>
          <w:tcPr>
            <w:tcW w:w="505" w:type="pct"/>
            <w:tcBorders>
              <w:top w:val="single" w:sz="4" w:space="0" w:color="auto"/>
              <w:left w:val="nil"/>
              <w:bottom w:val="single" w:sz="4" w:space="0" w:color="auto"/>
              <w:right w:val="nil"/>
            </w:tcBorders>
            <w:shd w:val="clear" w:color="000000" w:fill="FFFFFF"/>
            <w:vAlign w:val="center"/>
            <w:hideMark/>
          </w:tcPr>
          <w:p w14:paraId="5F1C6ABC"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230,680</w:t>
            </w:r>
          </w:p>
        </w:tc>
        <w:tc>
          <w:tcPr>
            <w:tcW w:w="423" w:type="pct"/>
            <w:tcBorders>
              <w:top w:val="single" w:sz="4" w:space="0" w:color="auto"/>
              <w:left w:val="nil"/>
              <w:bottom w:val="single" w:sz="4" w:space="0" w:color="auto"/>
              <w:right w:val="nil"/>
            </w:tcBorders>
            <w:shd w:val="clear" w:color="000000" w:fill="FFFFFF"/>
            <w:vAlign w:val="center"/>
            <w:hideMark/>
          </w:tcPr>
          <w:p w14:paraId="60378729"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000000"/>
                <w:sz w:val="16"/>
                <w:szCs w:val="16"/>
                <w:lang w:eastAsia="en-GB"/>
              </w:rPr>
              <w:t>(212,353)</w:t>
            </w:r>
          </w:p>
        </w:tc>
        <w:tc>
          <w:tcPr>
            <w:tcW w:w="505" w:type="pct"/>
            <w:tcBorders>
              <w:top w:val="single" w:sz="4" w:space="0" w:color="auto"/>
              <w:left w:val="nil"/>
              <w:bottom w:val="single" w:sz="4" w:space="0" w:color="auto"/>
              <w:right w:val="nil"/>
            </w:tcBorders>
            <w:shd w:val="clear" w:color="000000" w:fill="FFFFFF"/>
            <w:vAlign w:val="center"/>
            <w:hideMark/>
          </w:tcPr>
          <w:p w14:paraId="4D491A11"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18,327</w:t>
            </w:r>
          </w:p>
        </w:tc>
        <w:tc>
          <w:tcPr>
            <w:tcW w:w="2216" w:type="pct"/>
            <w:tcBorders>
              <w:top w:val="nil"/>
              <w:left w:val="nil"/>
              <w:bottom w:val="nil"/>
              <w:right w:val="nil"/>
            </w:tcBorders>
            <w:shd w:val="clear" w:color="000000" w:fill="FFFFFF"/>
            <w:vAlign w:val="center"/>
            <w:hideMark/>
          </w:tcPr>
          <w:p w14:paraId="0879E6C8" w14:textId="77777777" w:rsidR="008638E7" w:rsidRPr="0040499F" w:rsidRDefault="008638E7" w:rsidP="00E1452F">
            <w:pPr>
              <w:spacing w:after="0" w:line="240" w:lineRule="auto"/>
              <w:jc w:val="left"/>
              <w:rPr>
                <w:rFonts w:eastAsia="Times New Roman" w:cs="Calibri"/>
                <w:b/>
                <w:bCs/>
                <w:color w:val="auto"/>
                <w:sz w:val="16"/>
                <w:szCs w:val="16"/>
                <w:lang w:eastAsia="en-GB"/>
              </w:rPr>
            </w:pPr>
            <w:r w:rsidRPr="0040499F">
              <w:rPr>
                <w:rFonts w:eastAsia="Times New Roman" w:cs="Calibri"/>
                <w:b/>
                <w:bCs/>
                <w:color w:val="auto"/>
                <w:sz w:val="16"/>
                <w:szCs w:val="16"/>
                <w:lang w:eastAsia="en-GB"/>
              </w:rPr>
              <w:t>(Surplus)/Deficit on Provision of Services</w:t>
            </w:r>
          </w:p>
        </w:tc>
        <w:tc>
          <w:tcPr>
            <w:tcW w:w="505" w:type="pct"/>
            <w:tcBorders>
              <w:top w:val="single" w:sz="4" w:space="0" w:color="auto"/>
              <w:left w:val="nil"/>
              <w:bottom w:val="single" w:sz="4" w:space="0" w:color="auto"/>
              <w:right w:val="nil"/>
            </w:tcBorders>
            <w:shd w:val="clear" w:color="000000" w:fill="CCECFF"/>
            <w:vAlign w:val="center"/>
            <w:hideMark/>
          </w:tcPr>
          <w:p w14:paraId="479729A6"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250,058</w:t>
            </w:r>
          </w:p>
        </w:tc>
        <w:tc>
          <w:tcPr>
            <w:tcW w:w="423" w:type="pct"/>
            <w:tcBorders>
              <w:top w:val="single" w:sz="4" w:space="0" w:color="auto"/>
              <w:left w:val="nil"/>
              <w:bottom w:val="single" w:sz="4" w:space="0" w:color="auto"/>
              <w:right w:val="nil"/>
            </w:tcBorders>
            <w:shd w:val="clear" w:color="000000" w:fill="CCECFF"/>
            <w:vAlign w:val="center"/>
            <w:hideMark/>
          </w:tcPr>
          <w:p w14:paraId="0D25987B"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000000"/>
                <w:sz w:val="16"/>
                <w:szCs w:val="16"/>
                <w:lang w:eastAsia="en-GB"/>
              </w:rPr>
              <w:t>(230,279)</w:t>
            </w:r>
          </w:p>
        </w:tc>
        <w:tc>
          <w:tcPr>
            <w:tcW w:w="423" w:type="pct"/>
            <w:tcBorders>
              <w:top w:val="single" w:sz="4" w:space="0" w:color="auto"/>
              <w:left w:val="nil"/>
              <w:bottom w:val="single" w:sz="4" w:space="0" w:color="auto"/>
              <w:right w:val="nil"/>
            </w:tcBorders>
            <w:shd w:val="clear" w:color="000000" w:fill="CCECFF"/>
            <w:vAlign w:val="center"/>
            <w:hideMark/>
          </w:tcPr>
          <w:p w14:paraId="76574B9F" w14:textId="77777777" w:rsidR="008638E7" w:rsidRPr="0040499F" w:rsidRDefault="008638E7" w:rsidP="00E1452F">
            <w:pPr>
              <w:spacing w:after="0" w:line="240" w:lineRule="auto"/>
              <w:jc w:val="right"/>
              <w:rPr>
                <w:rFonts w:eastAsia="Times New Roman" w:cs="Calibri"/>
                <w:b/>
                <w:bCs/>
                <w:color w:val="auto"/>
                <w:sz w:val="16"/>
                <w:szCs w:val="16"/>
                <w:lang w:eastAsia="en-GB"/>
              </w:rPr>
            </w:pPr>
            <w:r w:rsidRPr="0040499F">
              <w:rPr>
                <w:rFonts w:eastAsia="Times New Roman" w:cs="Calibri"/>
                <w:b/>
                <w:bCs/>
                <w:color w:val="auto"/>
                <w:sz w:val="16"/>
                <w:szCs w:val="16"/>
                <w:lang w:eastAsia="en-GB"/>
              </w:rPr>
              <w:t>19,779</w:t>
            </w:r>
          </w:p>
        </w:tc>
      </w:tr>
      <w:tr w:rsidR="008638E7" w:rsidRPr="008638E7" w14:paraId="47457E35" w14:textId="77777777" w:rsidTr="00E1452F">
        <w:trPr>
          <w:trHeight w:val="340"/>
        </w:trPr>
        <w:tc>
          <w:tcPr>
            <w:tcW w:w="505" w:type="pct"/>
            <w:tcBorders>
              <w:top w:val="nil"/>
              <w:left w:val="nil"/>
              <w:bottom w:val="nil"/>
              <w:right w:val="nil"/>
            </w:tcBorders>
            <w:shd w:val="clear" w:color="000000" w:fill="FFFFFF"/>
            <w:vAlign w:val="center"/>
            <w:hideMark/>
          </w:tcPr>
          <w:p w14:paraId="3E355D47"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423" w:type="pct"/>
            <w:tcBorders>
              <w:top w:val="nil"/>
              <w:left w:val="nil"/>
              <w:bottom w:val="nil"/>
              <w:right w:val="nil"/>
            </w:tcBorders>
            <w:shd w:val="clear" w:color="000000" w:fill="FFFFFF"/>
            <w:vAlign w:val="center"/>
            <w:hideMark/>
          </w:tcPr>
          <w:p w14:paraId="20483F11"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505" w:type="pct"/>
            <w:tcBorders>
              <w:top w:val="nil"/>
              <w:left w:val="nil"/>
              <w:bottom w:val="nil"/>
              <w:right w:val="nil"/>
            </w:tcBorders>
            <w:shd w:val="clear" w:color="000000" w:fill="FFFFFF"/>
            <w:vAlign w:val="center"/>
            <w:hideMark/>
          </w:tcPr>
          <w:p w14:paraId="0EA83397"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w:t>
            </w:r>
          </w:p>
        </w:tc>
        <w:tc>
          <w:tcPr>
            <w:tcW w:w="2216" w:type="pct"/>
            <w:tcBorders>
              <w:top w:val="nil"/>
              <w:left w:val="nil"/>
              <w:bottom w:val="nil"/>
              <w:right w:val="nil"/>
            </w:tcBorders>
            <w:shd w:val="clear" w:color="000000" w:fill="FFFFFF"/>
            <w:noWrap/>
            <w:vAlign w:val="center"/>
            <w:hideMark/>
          </w:tcPr>
          <w:p w14:paraId="65CFD51C" w14:textId="77777777" w:rsidR="008638E7" w:rsidRPr="008638E7" w:rsidRDefault="008638E7" w:rsidP="00E1452F">
            <w:pPr>
              <w:spacing w:after="0" w:line="240" w:lineRule="auto"/>
              <w:jc w:val="left"/>
              <w:rPr>
                <w:rFonts w:eastAsia="Times New Roman" w:cs="Calibri"/>
                <w:color w:val="auto"/>
                <w:sz w:val="16"/>
                <w:szCs w:val="16"/>
                <w:lang w:eastAsia="en-GB"/>
              </w:rPr>
            </w:pPr>
            <w:r w:rsidRPr="008638E7">
              <w:rPr>
                <w:rFonts w:eastAsia="Times New Roman" w:cs="Calibri"/>
                <w:color w:val="auto"/>
                <w:sz w:val="16"/>
                <w:szCs w:val="16"/>
                <w:lang w:eastAsia="en-GB"/>
              </w:rPr>
              <w:t>(Surplus)/Deficit on Revaluation of Non-Current Assets</w:t>
            </w:r>
          </w:p>
        </w:tc>
        <w:tc>
          <w:tcPr>
            <w:tcW w:w="505" w:type="pct"/>
            <w:tcBorders>
              <w:top w:val="nil"/>
              <w:left w:val="nil"/>
              <w:bottom w:val="nil"/>
              <w:right w:val="nil"/>
            </w:tcBorders>
            <w:shd w:val="clear" w:color="000000" w:fill="FFFFFF"/>
            <w:vAlign w:val="center"/>
            <w:hideMark/>
          </w:tcPr>
          <w:p w14:paraId="712F8848"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423" w:type="pct"/>
            <w:tcBorders>
              <w:top w:val="nil"/>
              <w:left w:val="nil"/>
              <w:bottom w:val="nil"/>
              <w:right w:val="nil"/>
            </w:tcBorders>
            <w:shd w:val="clear" w:color="000000" w:fill="FFFFFF"/>
            <w:vAlign w:val="center"/>
            <w:hideMark/>
          </w:tcPr>
          <w:p w14:paraId="478C2EB0"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423" w:type="pct"/>
            <w:tcBorders>
              <w:top w:val="nil"/>
              <w:left w:val="nil"/>
              <w:bottom w:val="nil"/>
              <w:right w:val="nil"/>
            </w:tcBorders>
            <w:shd w:val="clear" w:color="000000" w:fill="CCECFF"/>
            <w:vAlign w:val="center"/>
            <w:hideMark/>
          </w:tcPr>
          <w:p w14:paraId="67E7EB94"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w:t>
            </w:r>
          </w:p>
        </w:tc>
      </w:tr>
      <w:tr w:rsidR="008638E7" w:rsidRPr="008638E7" w14:paraId="3A74D639" w14:textId="77777777" w:rsidTr="00E1452F">
        <w:trPr>
          <w:trHeight w:val="340"/>
        </w:trPr>
        <w:tc>
          <w:tcPr>
            <w:tcW w:w="505" w:type="pct"/>
            <w:tcBorders>
              <w:top w:val="nil"/>
              <w:left w:val="nil"/>
              <w:bottom w:val="nil"/>
              <w:right w:val="nil"/>
            </w:tcBorders>
            <w:shd w:val="clear" w:color="000000" w:fill="FFFFFF"/>
            <w:vAlign w:val="center"/>
            <w:hideMark/>
          </w:tcPr>
          <w:p w14:paraId="5007913E"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423" w:type="pct"/>
            <w:tcBorders>
              <w:top w:val="nil"/>
              <w:left w:val="nil"/>
              <w:bottom w:val="nil"/>
              <w:right w:val="nil"/>
            </w:tcBorders>
            <w:shd w:val="clear" w:color="000000" w:fill="FFFFFF"/>
            <w:vAlign w:val="center"/>
            <w:hideMark/>
          </w:tcPr>
          <w:p w14:paraId="4D5BD722"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505" w:type="pct"/>
            <w:tcBorders>
              <w:top w:val="nil"/>
              <w:left w:val="nil"/>
              <w:bottom w:val="nil"/>
              <w:right w:val="nil"/>
            </w:tcBorders>
            <w:shd w:val="clear" w:color="000000" w:fill="FFFFFF"/>
            <w:vAlign w:val="center"/>
            <w:hideMark/>
          </w:tcPr>
          <w:p w14:paraId="5759047F"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000000"/>
                <w:sz w:val="16"/>
                <w:szCs w:val="16"/>
                <w:lang w:eastAsia="en-GB"/>
              </w:rPr>
              <w:t>(121,032)</w:t>
            </w:r>
          </w:p>
        </w:tc>
        <w:tc>
          <w:tcPr>
            <w:tcW w:w="2216" w:type="pct"/>
            <w:tcBorders>
              <w:top w:val="nil"/>
              <w:left w:val="nil"/>
              <w:bottom w:val="nil"/>
              <w:right w:val="nil"/>
            </w:tcBorders>
            <w:shd w:val="clear" w:color="000000" w:fill="FFFFFF"/>
            <w:noWrap/>
            <w:vAlign w:val="center"/>
            <w:hideMark/>
          </w:tcPr>
          <w:p w14:paraId="0D0E717A" w14:textId="77777777" w:rsidR="008638E7" w:rsidRPr="008638E7" w:rsidRDefault="008638E7" w:rsidP="00E1452F">
            <w:pPr>
              <w:spacing w:after="0" w:line="240" w:lineRule="auto"/>
              <w:jc w:val="left"/>
              <w:rPr>
                <w:rFonts w:eastAsia="Times New Roman" w:cs="Calibri"/>
                <w:color w:val="auto"/>
                <w:sz w:val="16"/>
                <w:szCs w:val="16"/>
                <w:lang w:eastAsia="en-GB"/>
              </w:rPr>
            </w:pPr>
            <w:r w:rsidRPr="008638E7">
              <w:rPr>
                <w:rFonts w:eastAsia="Times New Roman" w:cs="Calibri"/>
                <w:color w:val="auto"/>
                <w:sz w:val="16"/>
                <w:szCs w:val="16"/>
                <w:lang w:eastAsia="en-GB"/>
              </w:rPr>
              <w:t>Actuarial (Gains)/Losses on Pension Schemes</w:t>
            </w:r>
          </w:p>
        </w:tc>
        <w:tc>
          <w:tcPr>
            <w:tcW w:w="505" w:type="pct"/>
            <w:tcBorders>
              <w:top w:val="nil"/>
              <w:left w:val="nil"/>
              <w:bottom w:val="nil"/>
              <w:right w:val="nil"/>
            </w:tcBorders>
            <w:shd w:val="clear" w:color="000000" w:fill="FFFFFF"/>
            <w:vAlign w:val="center"/>
            <w:hideMark/>
          </w:tcPr>
          <w:p w14:paraId="7E241A07"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423" w:type="pct"/>
            <w:tcBorders>
              <w:top w:val="nil"/>
              <w:left w:val="nil"/>
              <w:bottom w:val="nil"/>
              <w:right w:val="nil"/>
            </w:tcBorders>
            <w:shd w:val="clear" w:color="000000" w:fill="FFFFFF"/>
            <w:vAlign w:val="center"/>
            <w:hideMark/>
          </w:tcPr>
          <w:p w14:paraId="4A076E09"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423" w:type="pct"/>
            <w:tcBorders>
              <w:top w:val="nil"/>
              <w:left w:val="nil"/>
              <w:bottom w:val="nil"/>
              <w:right w:val="nil"/>
            </w:tcBorders>
            <w:shd w:val="clear" w:color="000000" w:fill="CCECFF"/>
            <w:vAlign w:val="center"/>
            <w:hideMark/>
          </w:tcPr>
          <w:p w14:paraId="1A1533E7"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000000"/>
                <w:sz w:val="16"/>
                <w:szCs w:val="16"/>
                <w:lang w:eastAsia="en-GB"/>
              </w:rPr>
              <w:t>(39,836)</w:t>
            </w:r>
          </w:p>
        </w:tc>
      </w:tr>
      <w:tr w:rsidR="008638E7" w:rsidRPr="008638E7" w14:paraId="05A03362" w14:textId="77777777" w:rsidTr="00E1452F">
        <w:trPr>
          <w:trHeight w:val="340"/>
        </w:trPr>
        <w:tc>
          <w:tcPr>
            <w:tcW w:w="505" w:type="pct"/>
            <w:tcBorders>
              <w:top w:val="nil"/>
              <w:left w:val="nil"/>
              <w:bottom w:val="nil"/>
              <w:right w:val="nil"/>
            </w:tcBorders>
            <w:shd w:val="clear" w:color="000000" w:fill="FFFFFF"/>
            <w:vAlign w:val="center"/>
            <w:hideMark/>
          </w:tcPr>
          <w:p w14:paraId="2F4B101D"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nil"/>
              <w:right w:val="nil"/>
            </w:tcBorders>
            <w:shd w:val="clear" w:color="000000" w:fill="FFFFFF"/>
            <w:vAlign w:val="center"/>
            <w:hideMark/>
          </w:tcPr>
          <w:p w14:paraId="6DB60658"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505" w:type="pct"/>
            <w:tcBorders>
              <w:top w:val="single" w:sz="4" w:space="0" w:color="auto"/>
              <w:left w:val="nil"/>
              <w:bottom w:val="single" w:sz="4" w:space="0" w:color="auto"/>
              <w:right w:val="nil"/>
            </w:tcBorders>
            <w:shd w:val="clear" w:color="000000" w:fill="FFFFFF"/>
            <w:vAlign w:val="center"/>
            <w:hideMark/>
          </w:tcPr>
          <w:p w14:paraId="7B1E47B0"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000000"/>
                <w:sz w:val="16"/>
                <w:szCs w:val="16"/>
                <w:lang w:eastAsia="en-GB"/>
              </w:rPr>
              <w:t>(121,032)</w:t>
            </w:r>
          </w:p>
        </w:tc>
        <w:tc>
          <w:tcPr>
            <w:tcW w:w="2216" w:type="pct"/>
            <w:tcBorders>
              <w:top w:val="nil"/>
              <w:left w:val="nil"/>
              <w:bottom w:val="nil"/>
              <w:right w:val="nil"/>
            </w:tcBorders>
            <w:shd w:val="clear" w:color="000000" w:fill="FFFFFF"/>
            <w:vAlign w:val="center"/>
            <w:hideMark/>
          </w:tcPr>
          <w:p w14:paraId="53B13687" w14:textId="77777777" w:rsidR="008638E7" w:rsidRPr="008638E7" w:rsidRDefault="008638E7" w:rsidP="00E1452F">
            <w:pPr>
              <w:spacing w:after="0" w:line="240" w:lineRule="auto"/>
              <w:jc w:val="left"/>
              <w:rPr>
                <w:rFonts w:eastAsia="Times New Roman" w:cs="Calibri"/>
                <w:b/>
                <w:bCs/>
                <w:color w:val="auto"/>
                <w:sz w:val="16"/>
                <w:szCs w:val="16"/>
                <w:lang w:eastAsia="en-GB"/>
              </w:rPr>
            </w:pPr>
            <w:r w:rsidRPr="008638E7">
              <w:rPr>
                <w:rFonts w:eastAsia="Times New Roman" w:cs="Calibri"/>
                <w:b/>
                <w:bCs/>
                <w:color w:val="auto"/>
                <w:sz w:val="16"/>
                <w:szCs w:val="16"/>
                <w:lang w:eastAsia="en-GB"/>
              </w:rPr>
              <w:t>Other Comprehensive (Income) and Expenditure</w:t>
            </w:r>
          </w:p>
        </w:tc>
        <w:tc>
          <w:tcPr>
            <w:tcW w:w="505" w:type="pct"/>
            <w:tcBorders>
              <w:top w:val="nil"/>
              <w:left w:val="nil"/>
              <w:bottom w:val="nil"/>
              <w:right w:val="nil"/>
            </w:tcBorders>
            <w:shd w:val="clear" w:color="000000" w:fill="FFFFFF"/>
            <w:vAlign w:val="center"/>
            <w:hideMark/>
          </w:tcPr>
          <w:p w14:paraId="5085C22B"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nil"/>
              <w:right w:val="nil"/>
            </w:tcBorders>
            <w:shd w:val="clear" w:color="000000" w:fill="FFFFFF"/>
            <w:vAlign w:val="center"/>
            <w:hideMark/>
          </w:tcPr>
          <w:p w14:paraId="3676BF64"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single" w:sz="4" w:space="0" w:color="auto"/>
              <w:left w:val="nil"/>
              <w:bottom w:val="single" w:sz="4" w:space="0" w:color="auto"/>
              <w:right w:val="nil"/>
            </w:tcBorders>
            <w:shd w:val="clear" w:color="000000" w:fill="CCECFF"/>
            <w:vAlign w:val="center"/>
            <w:hideMark/>
          </w:tcPr>
          <w:p w14:paraId="04993C05"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000000"/>
                <w:sz w:val="16"/>
                <w:szCs w:val="16"/>
                <w:lang w:eastAsia="en-GB"/>
              </w:rPr>
              <w:t>(39,836)</w:t>
            </w:r>
          </w:p>
        </w:tc>
      </w:tr>
      <w:tr w:rsidR="008638E7" w:rsidRPr="008638E7" w14:paraId="3266A68D" w14:textId="77777777" w:rsidTr="00E1452F">
        <w:trPr>
          <w:trHeight w:val="340"/>
        </w:trPr>
        <w:tc>
          <w:tcPr>
            <w:tcW w:w="505" w:type="pct"/>
            <w:tcBorders>
              <w:top w:val="nil"/>
              <w:left w:val="nil"/>
              <w:bottom w:val="nil"/>
              <w:right w:val="nil"/>
            </w:tcBorders>
            <w:shd w:val="clear" w:color="000000" w:fill="FFFFFF"/>
            <w:vAlign w:val="center"/>
            <w:hideMark/>
          </w:tcPr>
          <w:p w14:paraId="6DDFE67A"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nil"/>
              <w:right w:val="nil"/>
            </w:tcBorders>
            <w:shd w:val="clear" w:color="000000" w:fill="FFFFFF"/>
            <w:vAlign w:val="center"/>
            <w:hideMark/>
          </w:tcPr>
          <w:p w14:paraId="4199D925"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505" w:type="pct"/>
            <w:tcBorders>
              <w:top w:val="nil"/>
              <w:left w:val="nil"/>
              <w:bottom w:val="nil"/>
              <w:right w:val="nil"/>
            </w:tcBorders>
            <w:shd w:val="clear" w:color="000000" w:fill="FFFFFF"/>
            <w:vAlign w:val="center"/>
            <w:hideMark/>
          </w:tcPr>
          <w:p w14:paraId="462C3FFA"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2216" w:type="pct"/>
            <w:tcBorders>
              <w:top w:val="nil"/>
              <w:left w:val="nil"/>
              <w:bottom w:val="nil"/>
              <w:right w:val="nil"/>
            </w:tcBorders>
            <w:shd w:val="clear" w:color="000000" w:fill="FFFFFF"/>
            <w:noWrap/>
            <w:vAlign w:val="center"/>
            <w:hideMark/>
          </w:tcPr>
          <w:p w14:paraId="2A9F2400" w14:textId="77777777" w:rsidR="008638E7" w:rsidRPr="008638E7" w:rsidRDefault="008638E7" w:rsidP="00E1452F">
            <w:pPr>
              <w:spacing w:after="0" w:line="240" w:lineRule="auto"/>
              <w:jc w:val="left"/>
              <w:rPr>
                <w:rFonts w:eastAsia="Times New Roman" w:cs="Calibri"/>
                <w:color w:val="auto"/>
                <w:sz w:val="16"/>
                <w:szCs w:val="16"/>
                <w:lang w:eastAsia="en-GB"/>
              </w:rPr>
            </w:pPr>
            <w:r w:rsidRPr="008638E7">
              <w:rPr>
                <w:rFonts w:eastAsia="Times New Roman" w:cs="Calibri"/>
                <w:color w:val="auto"/>
                <w:sz w:val="16"/>
                <w:szCs w:val="16"/>
                <w:lang w:eastAsia="en-GB"/>
              </w:rPr>
              <w:t> </w:t>
            </w:r>
          </w:p>
        </w:tc>
        <w:tc>
          <w:tcPr>
            <w:tcW w:w="505" w:type="pct"/>
            <w:tcBorders>
              <w:top w:val="nil"/>
              <w:left w:val="nil"/>
              <w:bottom w:val="nil"/>
              <w:right w:val="nil"/>
            </w:tcBorders>
            <w:shd w:val="clear" w:color="000000" w:fill="FFFFFF"/>
            <w:vAlign w:val="center"/>
            <w:hideMark/>
          </w:tcPr>
          <w:p w14:paraId="3634E719"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nil"/>
              <w:right w:val="nil"/>
            </w:tcBorders>
            <w:shd w:val="clear" w:color="000000" w:fill="FFFFFF"/>
            <w:vAlign w:val="center"/>
            <w:hideMark/>
          </w:tcPr>
          <w:p w14:paraId="26926E6B"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single" w:sz="4" w:space="0" w:color="auto"/>
              <w:right w:val="nil"/>
            </w:tcBorders>
            <w:shd w:val="clear" w:color="000000" w:fill="CCECFF"/>
            <w:vAlign w:val="center"/>
            <w:hideMark/>
          </w:tcPr>
          <w:p w14:paraId="5AA2CB85" w14:textId="77777777" w:rsidR="008638E7" w:rsidRPr="008638E7" w:rsidRDefault="008638E7" w:rsidP="00E1452F">
            <w:pPr>
              <w:spacing w:after="0" w:line="240" w:lineRule="auto"/>
              <w:jc w:val="right"/>
              <w:rPr>
                <w:rFonts w:eastAsia="Times New Roman" w:cs="Calibri"/>
                <w:color w:val="auto"/>
                <w:sz w:val="16"/>
                <w:szCs w:val="16"/>
                <w:lang w:eastAsia="en-GB"/>
              </w:rPr>
            </w:pPr>
            <w:r w:rsidRPr="008638E7">
              <w:rPr>
                <w:rFonts w:eastAsia="Times New Roman" w:cs="Calibri"/>
                <w:color w:val="auto"/>
                <w:sz w:val="16"/>
                <w:szCs w:val="16"/>
                <w:lang w:eastAsia="en-GB"/>
              </w:rPr>
              <w:t> </w:t>
            </w:r>
          </w:p>
        </w:tc>
      </w:tr>
      <w:tr w:rsidR="008638E7" w:rsidRPr="008638E7" w14:paraId="5783A1F2" w14:textId="77777777" w:rsidTr="00E1452F">
        <w:trPr>
          <w:trHeight w:val="340"/>
        </w:trPr>
        <w:tc>
          <w:tcPr>
            <w:tcW w:w="505" w:type="pct"/>
            <w:tcBorders>
              <w:top w:val="nil"/>
              <w:left w:val="nil"/>
              <w:bottom w:val="nil"/>
              <w:right w:val="nil"/>
            </w:tcBorders>
            <w:shd w:val="clear" w:color="000000" w:fill="FFFFFF"/>
            <w:vAlign w:val="center"/>
            <w:hideMark/>
          </w:tcPr>
          <w:p w14:paraId="27104504"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nil"/>
              <w:right w:val="nil"/>
            </w:tcBorders>
            <w:shd w:val="clear" w:color="000000" w:fill="FFFFFF"/>
            <w:vAlign w:val="center"/>
            <w:hideMark/>
          </w:tcPr>
          <w:p w14:paraId="36348378"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505" w:type="pct"/>
            <w:tcBorders>
              <w:top w:val="single" w:sz="4" w:space="0" w:color="auto"/>
              <w:left w:val="nil"/>
              <w:bottom w:val="single" w:sz="4" w:space="0" w:color="auto"/>
              <w:right w:val="nil"/>
            </w:tcBorders>
            <w:shd w:val="clear" w:color="000000" w:fill="FFFFFF"/>
            <w:vAlign w:val="center"/>
            <w:hideMark/>
          </w:tcPr>
          <w:p w14:paraId="17A46458"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000000"/>
                <w:sz w:val="16"/>
                <w:szCs w:val="16"/>
                <w:lang w:eastAsia="en-GB"/>
              </w:rPr>
              <w:t>(102,705)</w:t>
            </w:r>
          </w:p>
        </w:tc>
        <w:tc>
          <w:tcPr>
            <w:tcW w:w="2216" w:type="pct"/>
            <w:tcBorders>
              <w:top w:val="nil"/>
              <w:left w:val="nil"/>
              <w:bottom w:val="nil"/>
              <w:right w:val="nil"/>
            </w:tcBorders>
            <w:shd w:val="clear" w:color="000000" w:fill="FFFFFF"/>
            <w:noWrap/>
            <w:vAlign w:val="center"/>
            <w:hideMark/>
          </w:tcPr>
          <w:p w14:paraId="18AA3DF7" w14:textId="77777777" w:rsidR="008638E7" w:rsidRPr="008638E7" w:rsidRDefault="008638E7" w:rsidP="00E1452F">
            <w:pPr>
              <w:spacing w:after="0" w:line="240" w:lineRule="auto"/>
              <w:jc w:val="left"/>
              <w:rPr>
                <w:rFonts w:eastAsia="Times New Roman" w:cs="Calibri"/>
                <w:b/>
                <w:bCs/>
                <w:color w:val="auto"/>
                <w:sz w:val="16"/>
                <w:szCs w:val="16"/>
                <w:lang w:eastAsia="en-GB"/>
              </w:rPr>
            </w:pPr>
            <w:r w:rsidRPr="008638E7">
              <w:rPr>
                <w:rFonts w:eastAsia="Times New Roman" w:cs="Calibri"/>
                <w:b/>
                <w:bCs/>
                <w:color w:val="auto"/>
                <w:sz w:val="16"/>
                <w:szCs w:val="16"/>
                <w:lang w:eastAsia="en-GB"/>
              </w:rPr>
              <w:t>Total Comprehensive (Income) and Expenditure</w:t>
            </w:r>
          </w:p>
        </w:tc>
        <w:tc>
          <w:tcPr>
            <w:tcW w:w="505" w:type="pct"/>
            <w:tcBorders>
              <w:top w:val="nil"/>
              <w:left w:val="nil"/>
              <w:bottom w:val="nil"/>
              <w:right w:val="nil"/>
            </w:tcBorders>
            <w:shd w:val="clear" w:color="000000" w:fill="FFFFFF"/>
            <w:vAlign w:val="center"/>
            <w:hideMark/>
          </w:tcPr>
          <w:p w14:paraId="5617F6D5"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nil"/>
              <w:right w:val="nil"/>
            </w:tcBorders>
            <w:shd w:val="clear" w:color="000000" w:fill="FFFFFF"/>
            <w:vAlign w:val="center"/>
            <w:hideMark/>
          </w:tcPr>
          <w:p w14:paraId="70653BDE"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auto"/>
                <w:sz w:val="16"/>
                <w:szCs w:val="16"/>
                <w:lang w:eastAsia="en-GB"/>
              </w:rPr>
              <w:t> </w:t>
            </w:r>
          </w:p>
        </w:tc>
        <w:tc>
          <w:tcPr>
            <w:tcW w:w="423" w:type="pct"/>
            <w:tcBorders>
              <w:top w:val="nil"/>
              <w:left w:val="nil"/>
              <w:bottom w:val="single" w:sz="4" w:space="0" w:color="auto"/>
              <w:right w:val="nil"/>
            </w:tcBorders>
            <w:shd w:val="clear" w:color="000000" w:fill="CCECFF"/>
            <w:vAlign w:val="center"/>
            <w:hideMark/>
          </w:tcPr>
          <w:p w14:paraId="76B6A277" w14:textId="77777777" w:rsidR="008638E7" w:rsidRPr="008638E7" w:rsidRDefault="008638E7" w:rsidP="00E1452F">
            <w:pPr>
              <w:spacing w:after="0" w:line="240" w:lineRule="auto"/>
              <w:jc w:val="right"/>
              <w:rPr>
                <w:rFonts w:eastAsia="Times New Roman" w:cs="Calibri"/>
                <w:b/>
                <w:bCs/>
                <w:color w:val="auto"/>
                <w:sz w:val="16"/>
                <w:szCs w:val="16"/>
                <w:lang w:eastAsia="en-GB"/>
              </w:rPr>
            </w:pPr>
            <w:r w:rsidRPr="008638E7">
              <w:rPr>
                <w:rFonts w:eastAsia="Times New Roman" w:cs="Calibri"/>
                <w:b/>
                <w:bCs/>
                <w:color w:val="000000"/>
                <w:sz w:val="16"/>
                <w:szCs w:val="16"/>
                <w:lang w:eastAsia="en-GB"/>
              </w:rPr>
              <w:t>(20,057)</w:t>
            </w:r>
          </w:p>
        </w:tc>
      </w:tr>
    </w:tbl>
    <w:p w14:paraId="6E2AECBB" w14:textId="4D4DCD81" w:rsidR="00020078" w:rsidRDefault="00020078" w:rsidP="003356AE">
      <w:pPr>
        <w:spacing w:line="240" w:lineRule="auto"/>
        <w:jc w:val="left"/>
        <w:rPr>
          <w:rFonts w:asciiTheme="minorHAnsi" w:hAnsiTheme="minorHAnsi"/>
          <w:color w:val="auto"/>
          <w:sz w:val="24"/>
          <w:lang w:val="en-US"/>
        </w:rPr>
      </w:pPr>
    </w:p>
    <w:p w14:paraId="7FA05742" w14:textId="7EEFB709" w:rsidR="00640405" w:rsidRPr="004E15D4" w:rsidRDefault="00640405" w:rsidP="003356AE">
      <w:pPr>
        <w:spacing w:line="240" w:lineRule="auto"/>
        <w:jc w:val="left"/>
        <w:rPr>
          <w:sz w:val="18"/>
          <w:szCs w:val="18"/>
          <w:lang w:val="pt-BR"/>
        </w:rPr>
      </w:pPr>
    </w:p>
    <w:p w14:paraId="3F0FA2D0" w14:textId="77777777" w:rsidR="009909DC" w:rsidRDefault="009909DC" w:rsidP="003356AE">
      <w:pPr>
        <w:spacing w:line="240" w:lineRule="auto"/>
        <w:rPr>
          <w:lang w:val="pt-BR"/>
        </w:rPr>
      </w:pPr>
    </w:p>
    <w:p w14:paraId="69947EE6" w14:textId="77777777" w:rsidR="009909DC" w:rsidRDefault="009909DC" w:rsidP="003356AE">
      <w:pPr>
        <w:spacing w:line="240" w:lineRule="auto"/>
        <w:rPr>
          <w:lang w:val="pt-BR"/>
        </w:rPr>
      </w:pPr>
    </w:p>
    <w:p w14:paraId="0EE5D634" w14:textId="77777777" w:rsidR="009909DC" w:rsidRDefault="009909DC" w:rsidP="003356AE">
      <w:pPr>
        <w:spacing w:line="240" w:lineRule="auto"/>
        <w:jc w:val="left"/>
        <w:rPr>
          <w:rFonts w:asciiTheme="minorHAnsi" w:eastAsia="Times New Roman" w:hAnsiTheme="minorHAnsi" w:cs="Times New Roman"/>
          <w:b/>
          <w:bCs/>
          <w:smallCaps/>
          <w:color w:val="25316C"/>
          <w:sz w:val="36"/>
          <w:lang w:val="pt-BR"/>
        </w:rPr>
      </w:pPr>
      <w:r>
        <w:rPr>
          <w:lang w:val="pt-BR"/>
        </w:rPr>
        <w:br w:type="page"/>
      </w:r>
    </w:p>
    <w:p w14:paraId="3BE07832" w14:textId="3A5EDAB4" w:rsidR="002522D4" w:rsidRPr="00F5122B" w:rsidRDefault="002522D4" w:rsidP="003356AE">
      <w:pPr>
        <w:pStyle w:val="ChapterHeading"/>
        <w:spacing w:line="240" w:lineRule="auto"/>
        <w:rPr>
          <w:lang w:val="pt-BR"/>
        </w:rPr>
      </w:pPr>
      <w:bookmarkStart w:id="54" w:name="_Toc231975673"/>
      <w:r w:rsidRPr="00F5122B">
        <w:rPr>
          <w:lang w:val="pt-BR"/>
        </w:rPr>
        <w:lastRenderedPageBreak/>
        <w:t>Balance Sheet</w:t>
      </w:r>
      <w:bookmarkEnd w:id="53"/>
      <w:bookmarkEnd w:id="54"/>
    </w:p>
    <w:p w14:paraId="2D6FDB8D" w14:textId="77777777" w:rsidR="002522D4" w:rsidRPr="00F5122B" w:rsidRDefault="002522D4" w:rsidP="003356AE">
      <w:pPr>
        <w:spacing w:line="240" w:lineRule="auto"/>
        <w:rPr>
          <w:lang w:val="pt-BR"/>
        </w:rPr>
      </w:pPr>
    </w:p>
    <w:p w14:paraId="788F2163" w14:textId="4B1EB877" w:rsidR="004C739A" w:rsidRDefault="002522D4" w:rsidP="003356AE">
      <w:pPr>
        <w:spacing w:line="240" w:lineRule="auto"/>
        <w:rPr>
          <w:lang w:val="pt-BR"/>
        </w:rPr>
      </w:pPr>
      <w:r w:rsidRPr="00F5122B">
        <w:rPr>
          <w:lang w:val="pt-BR"/>
        </w:rPr>
        <w:t xml:space="preserve">This account shows the overall financial position of the </w:t>
      </w:r>
      <w:r w:rsidR="006A5AA6" w:rsidRPr="00F5122B">
        <w:rPr>
          <w:lang w:val="pt-BR"/>
        </w:rPr>
        <w:t>OCC</w:t>
      </w:r>
      <w:r w:rsidR="00A14CAC" w:rsidRPr="00F5122B">
        <w:rPr>
          <w:lang w:val="pt-BR"/>
        </w:rPr>
        <w:t xml:space="preserve"> </w:t>
      </w:r>
      <w:r w:rsidR="00A25C40">
        <w:rPr>
          <w:lang w:eastAsia="en-GB"/>
        </w:rPr>
        <w:t>at 31 March 202</w:t>
      </w:r>
      <w:r w:rsidR="00F92F58">
        <w:rPr>
          <w:lang w:eastAsia="en-GB"/>
        </w:rPr>
        <w:t>6</w:t>
      </w:r>
      <w:r w:rsidRPr="00F5122B">
        <w:rPr>
          <w:lang w:val="pt-BR"/>
        </w:rPr>
        <w:t xml:space="preserve">.  It therefore differs from the other financial accounts shown in this statement in that it deals with the position of the </w:t>
      </w:r>
      <w:r w:rsidR="00423B5F">
        <w:rPr>
          <w:lang w:val="pt-BR"/>
        </w:rPr>
        <w:t>O</w:t>
      </w:r>
      <w:r w:rsidR="00C75713" w:rsidRPr="00F5122B">
        <w:rPr>
          <w:lang w:val="pt-BR"/>
        </w:rPr>
        <w:t>CC</w:t>
      </w:r>
      <w:r w:rsidRPr="00F5122B">
        <w:rPr>
          <w:lang w:val="pt-BR"/>
        </w:rPr>
        <w:t xml:space="preserve"> at the end of the financial year instead of dealing with day-to-day transactions within that financial year.</w:t>
      </w:r>
    </w:p>
    <w:p w14:paraId="397D75A8" w14:textId="77777777" w:rsidR="00230240" w:rsidRDefault="00230240"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894"/>
        <w:gridCol w:w="3591"/>
        <w:gridCol w:w="2188"/>
        <w:gridCol w:w="1966"/>
      </w:tblGrid>
      <w:tr w:rsidR="00DE21B7" w:rsidRPr="00DE21B7" w14:paraId="38B21FB1" w14:textId="77777777" w:rsidTr="00DE21B7">
        <w:trPr>
          <w:trHeight w:val="227"/>
        </w:trPr>
        <w:tc>
          <w:tcPr>
            <w:tcW w:w="982" w:type="pct"/>
            <w:tcBorders>
              <w:top w:val="nil"/>
              <w:left w:val="nil"/>
              <w:bottom w:val="nil"/>
              <w:right w:val="nil"/>
            </w:tcBorders>
            <w:shd w:val="clear" w:color="000000" w:fill="000099"/>
            <w:vAlign w:val="bottom"/>
            <w:hideMark/>
          </w:tcPr>
          <w:p w14:paraId="28D2BB35"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CC</w:t>
            </w:r>
          </w:p>
        </w:tc>
        <w:tc>
          <w:tcPr>
            <w:tcW w:w="1862" w:type="pct"/>
            <w:vMerge w:val="restart"/>
            <w:tcBorders>
              <w:top w:val="nil"/>
              <w:left w:val="nil"/>
              <w:bottom w:val="nil"/>
              <w:right w:val="nil"/>
            </w:tcBorders>
            <w:shd w:val="clear" w:color="000000" w:fill="000099"/>
            <w:vAlign w:val="center"/>
            <w:hideMark/>
          </w:tcPr>
          <w:p w14:paraId="3764BAB1"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 </w:t>
            </w:r>
          </w:p>
        </w:tc>
        <w:tc>
          <w:tcPr>
            <w:tcW w:w="1135" w:type="pct"/>
            <w:tcBorders>
              <w:top w:val="nil"/>
              <w:left w:val="nil"/>
              <w:bottom w:val="nil"/>
              <w:right w:val="nil"/>
            </w:tcBorders>
            <w:shd w:val="clear" w:color="000000" w:fill="000099"/>
            <w:vAlign w:val="bottom"/>
            <w:hideMark/>
          </w:tcPr>
          <w:p w14:paraId="2E5AFB5B"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 </w:t>
            </w:r>
          </w:p>
        </w:tc>
        <w:tc>
          <w:tcPr>
            <w:tcW w:w="1020" w:type="pct"/>
            <w:tcBorders>
              <w:top w:val="nil"/>
              <w:left w:val="nil"/>
              <w:bottom w:val="nil"/>
              <w:right w:val="nil"/>
            </w:tcBorders>
            <w:shd w:val="clear" w:color="000000" w:fill="000099"/>
            <w:vAlign w:val="bottom"/>
            <w:hideMark/>
          </w:tcPr>
          <w:p w14:paraId="7369B0D7"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CC</w:t>
            </w:r>
          </w:p>
        </w:tc>
      </w:tr>
      <w:tr w:rsidR="00DE21B7" w:rsidRPr="00DE21B7" w14:paraId="1EAA1BC6" w14:textId="77777777" w:rsidTr="00DE21B7">
        <w:trPr>
          <w:trHeight w:val="227"/>
        </w:trPr>
        <w:tc>
          <w:tcPr>
            <w:tcW w:w="982" w:type="pct"/>
            <w:tcBorders>
              <w:top w:val="nil"/>
              <w:left w:val="nil"/>
              <w:bottom w:val="nil"/>
              <w:right w:val="nil"/>
            </w:tcBorders>
            <w:shd w:val="clear" w:color="000000" w:fill="000099"/>
            <w:vAlign w:val="bottom"/>
            <w:hideMark/>
          </w:tcPr>
          <w:p w14:paraId="24769F3F"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31/03/2025</w:t>
            </w:r>
          </w:p>
        </w:tc>
        <w:tc>
          <w:tcPr>
            <w:tcW w:w="1862" w:type="pct"/>
            <w:vMerge/>
            <w:tcBorders>
              <w:top w:val="nil"/>
              <w:left w:val="nil"/>
              <w:bottom w:val="nil"/>
              <w:right w:val="nil"/>
            </w:tcBorders>
            <w:vAlign w:val="center"/>
            <w:hideMark/>
          </w:tcPr>
          <w:p w14:paraId="75C7F479" w14:textId="77777777" w:rsidR="00DE21B7" w:rsidRPr="00DE21B7" w:rsidRDefault="00DE21B7" w:rsidP="003356AE">
            <w:pPr>
              <w:spacing w:after="0" w:line="240" w:lineRule="auto"/>
              <w:jc w:val="left"/>
              <w:rPr>
                <w:rFonts w:eastAsia="Times New Roman" w:cs="Calibri"/>
                <w:b/>
                <w:bCs/>
                <w:color w:val="FFFFFF"/>
                <w:sz w:val="16"/>
                <w:szCs w:val="16"/>
                <w:lang w:eastAsia="en-GB"/>
              </w:rPr>
            </w:pPr>
          </w:p>
        </w:tc>
        <w:tc>
          <w:tcPr>
            <w:tcW w:w="1135" w:type="pct"/>
            <w:tcBorders>
              <w:top w:val="nil"/>
              <w:left w:val="nil"/>
              <w:bottom w:val="nil"/>
              <w:right w:val="nil"/>
            </w:tcBorders>
            <w:shd w:val="clear" w:color="000000" w:fill="000099"/>
            <w:vAlign w:val="bottom"/>
            <w:hideMark/>
          </w:tcPr>
          <w:p w14:paraId="12FAB5D4"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 </w:t>
            </w:r>
          </w:p>
        </w:tc>
        <w:tc>
          <w:tcPr>
            <w:tcW w:w="1020" w:type="pct"/>
            <w:tcBorders>
              <w:top w:val="nil"/>
              <w:left w:val="nil"/>
              <w:bottom w:val="nil"/>
              <w:right w:val="nil"/>
            </w:tcBorders>
            <w:shd w:val="clear" w:color="000000" w:fill="000099"/>
            <w:vAlign w:val="bottom"/>
            <w:hideMark/>
          </w:tcPr>
          <w:p w14:paraId="371E40D6"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31/03/2026</w:t>
            </w:r>
          </w:p>
        </w:tc>
      </w:tr>
      <w:tr w:rsidR="00DE21B7" w:rsidRPr="00DE21B7" w14:paraId="5D716878" w14:textId="77777777" w:rsidTr="00DE21B7">
        <w:trPr>
          <w:trHeight w:val="227"/>
        </w:trPr>
        <w:tc>
          <w:tcPr>
            <w:tcW w:w="982" w:type="pct"/>
            <w:tcBorders>
              <w:top w:val="nil"/>
              <w:left w:val="nil"/>
              <w:bottom w:val="nil"/>
              <w:right w:val="nil"/>
            </w:tcBorders>
            <w:shd w:val="clear" w:color="000000" w:fill="000099"/>
            <w:vAlign w:val="bottom"/>
            <w:hideMark/>
          </w:tcPr>
          <w:p w14:paraId="7EF84016"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£000</w:t>
            </w:r>
          </w:p>
        </w:tc>
        <w:tc>
          <w:tcPr>
            <w:tcW w:w="1862" w:type="pct"/>
            <w:vMerge/>
            <w:tcBorders>
              <w:top w:val="nil"/>
              <w:left w:val="nil"/>
              <w:bottom w:val="nil"/>
              <w:right w:val="nil"/>
            </w:tcBorders>
            <w:vAlign w:val="center"/>
            <w:hideMark/>
          </w:tcPr>
          <w:p w14:paraId="14BF7EEF" w14:textId="77777777" w:rsidR="00DE21B7" w:rsidRPr="00DE21B7" w:rsidRDefault="00DE21B7" w:rsidP="003356AE">
            <w:pPr>
              <w:spacing w:after="0" w:line="240" w:lineRule="auto"/>
              <w:jc w:val="left"/>
              <w:rPr>
                <w:rFonts w:eastAsia="Times New Roman" w:cs="Calibri"/>
                <w:b/>
                <w:bCs/>
                <w:color w:val="FFFFFF"/>
                <w:sz w:val="16"/>
                <w:szCs w:val="16"/>
                <w:lang w:eastAsia="en-GB"/>
              </w:rPr>
            </w:pPr>
          </w:p>
        </w:tc>
        <w:tc>
          <w:tcPr>
            <w:tcW w:w="1135" w:type="pct"/>
            <w:tcBorders>
              <w:top w:val="nil"/>
              <w:left w:val="nil"/>
              <w:bottom w:val="nil"/>
              <w:right w:val="nil"/>
            </w:tcBorders>
            <w:shd w:val="clear" w:color="000000" w:fill="000099"/>
            <w:vAlign w:val="bottom"/>
            <w:hideMark/>
          </w:tcPr>
          <w:p w14:paraId="117562E1"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Note</w:t>
            </w:r>
          </w:p>
        </w:tc>
        <w:tc>
          <w:tcPr>
            <w:tcW w:w="1020" w:type="pct"/>
            <w:tcBorders>
              <w:top w:val="nil"/>
              <w:left w:val="nil"/>
              <w:bottom w:val="nil"/>
              <w:right w:val="nil"/>
            </w:tcBorders>
            <w:shd w:val="clear" w:color="000000" w:fill="000099"/>
            <w:vAlign w:val="bottom"/>
            <w:hideMark/>
          </w:tcPr>
          <w:p w14:paraId="5F5F1339" w14:textId="77777777" w:rsidR="00DE21B7" w:rsidRPr="00DE21B7" w:rsidRDefault="00DE21B7" w:rsidP="003356AE">
            <w:pPr>
              <w:spacing w:after="0" w:line="240" w:lineRule="auto"/>
              <w:jc w:val="center"/>
              <w:rPr>
                <w:rFonts w:eastAsia="Times New Roman" w:cs="Calibri"/>
                <w:b/>
                <w:bCs/>
                <w:color w:val="FFFFFF"/>
                <w:sz w:val="16"/>
                <w:szCs w:val="16"/>
                <w:lang w:eastAsia="en-GB"/>
              </w:rPr>
            </w:pPr>
            <w:r w:rsidRPr="00DE21B7">
              <w:rPr>
                <w:rFonts w:eastAsia="Times New Roman" w:cs="Calibri"/>
                <w:b/>
                <w:bCs/>
                <w:color w:val="FFFFFF"/>
                <w:sz w:val="16"/>
                <w:szCs w:val="16"/>
                <w:lang w:eastAsia="en-GB"/>
              </w:rPr>
              <w:t>£000</w:t>
            </w:r>
          </w:p>
        </w:tc>
      </w:tr>
      <w:tr w:rsidR="00DE21B7" w:rsidRPr="00DE21B7" w14:paraId="22129794" w14:textId="77777777" w:rsidTr="00DE21B7">
        <w:trPr>
          <w:trHeight w:val="227"/>
        </w:trPr>
        <w:tc>
          <w:tcPr>
            <w:tcW w:w="982" w:type="pct"/>
            <w:tcBorders>
              <w:top w:val="nil"/>
              <w:left w:val="nil"/>
              <w:bottom w:val="nil"/>
              <w:right w:val="nil"/>
            </w:tcBorders>
            <w:shd w:val="clear" w:color="000000" w:fill="FFFFFF"/>
            <w:vAlign w:val="bottom"/>
            <w:hideMark/>
          </w:tcPr>
          <w:p w14:paraId="62C1999C"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382EE398"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Property, Plant and Equipment</w:t>
            </w:r>
          </w:p>
        </w:tc>
        <w:tc>
          <w:tcPr>
            <w:tcW w:w="1135" w:type="pct"/>
            <w:tcBorders>
              <w:top w:val="nil"/>
              <w:left w:val="nil"/>
              <w:bottom w:val="nil"/>
              <w:right w:val="nil"/>
            </w:tcBorders>
            <w:shd w:val="clear" w:color="000000" w:fill="FFFFFF"/>
            <w:vAlign w:val="bottom"/>
            <w:hideMark/>
          </w:tcPr>
          <w:p w14:paraId="79DE0399"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18</w:t>
            </w:r>
          </w:p>
        </w:tc>
        <w:tc>
          <w:tcPr>
            <w:tcW w:w="1020" w:type="pct"/>
            <w:tcBorders>
              <w:top w:val="nil"/>
              <w:left w:val="nil"/>
              <w:bottom w:val="nil"/>
              <w:right w:val="nil"/>
            </w:tcBorders>
            <w:shd w:val="clear" w:color="000000" w:fill="CCECFF"/>
            <w:vAlign w:val="bottom"/>
            <w:hideMark/>
          </w:tcPr>
          <w:p w14:paraId="553D0C6D"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0DC3A28A" w14:textId="77777777" w:rsidTr="00DE21B7">
        <w:trPr>
          <w:trHeight w:val="227"/>
        </w:trPr>
        <w:tc>
          <w:tcPr>
            <w:tcW w:w="982" w:type="pct"/>
            <w:tcBorders>
              <w:top w:val="nil"/>
              <w:left w:val="nil"/>
              <w:bottom w:val="nil"/>
              <w:right w:val="nil"/>
            </w:tcBorders>
            <w:shd w:val="clear" w:color="000000" w:fill="FFFFFF"/>
            <w:vAlign w:val="bottom"/>
            <w:hideMark/>
          </w:tcPr>
          <w:p w14:paraId="3E4DC469"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4874BA19"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Intangible Assets</w:t>
            </w:r>
          </w:p>
        </w:tc>
        <w:tc>
          <w:tcPr>
            <w:tcW w:w="1135" w:type="pct"/>
            <w:tcBorders>
              <w:top w:val="nil"/>
              <w:left w:val="nil"/>
              <w:bottom w:val="nil"/>
              <w:right w:val="nil"/>
            </w:tcBorders>
            <w:shd w:val="clear" w:color="000000" w:fill="FFFFFF"/>
            <w:vAlign w:val="bottom"/>
            <w:hideMark/>
          </w:tcPr>
          <w:p w14:paraId="411435A3"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23</w:t>
            </w:r>
          </w:p>
        </w:tc>
        <w:tc>
          <w:tcPr>
            <w:tcW w:w="1020" w:type="pct"/>
            <w:tcBorders>
              <w:top w:val="nil"/>
              <w:left w:val="nil"/>
              <w:bottom w:val="nil"/>
              <w:right w:val="nil"/>
            </w:tcBorders>
            <w:shd w:val="clear" w:color="000000" w:fill="CCECFF"/>
            <w:vAlign w:val="bottom"/>
            <w:hideMark/>
          </w:tcPr>
          <w:p w14:paraId="3F5A7EEA"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19981EC6" w14:textId="77777777" w:rsidTr="00DE21B7">
        <w:trPr>
          <w:trHeight w:val="227"/>
        </w:trPr>
        <w:tc>
          <w:tcPr>
            <w:tcW w:w="982" w:type="pct"/>
            <w:tcBorders>
              <w:top w:val="nil"/>
              <w:left w:val="nil"/>
              <w:bottom w:val="nil"/>
              <w:right w:val="nil"/>
            </w:tcBorders>
            <w:shd w:val="clear" w:color="000000" w:fill="FFFFFF"/>
            <w:vAlign w:val="bottom"/>
            <w:hideMark/>
          </w:tcPr>
          <w:p w14:paraId="253F3F35"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06689B24"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Right of Use Assets</w:t>
            </w:r>
          </w:p>
        </w:tc>
        <w:tc>
          <w:tcPr>
            <w:tcW w:w="1135" w:type="pct"/>
            <w:tcBorders>
              <w:top w:val="nil"/>
              <w:left w:val="nil"/>
              <w:bottom w:val="nil"/>
              <w:right w:val="nil"/>
            </w:tcBorders>
            <w:shd w:val="clear" w:color="000000" w:fill="FFFFFF"/>
            <w:vAlign w:val="bottom"/>
            <w:hideMark/>
          </w:tcPr>
          <w:p w14:paraId="7614611B"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22</w:t>
            </w:r>
          </w:p>
        </w:tc>
        <w:tc>
          <w:tcPr>
            <w:tcW w:w="1020" w:type="pct"/>
            <w:tcBorders>
              <w:top w:val="nil"/>
              <w:left w:val="nil"/>
              <w:bottom w:val="nil"/>
              <w:right w:val="nil"/>
            </w:tcBorders>
            <w:shd w:val="clear" w:color="000000" w:fill="CCECFF"/>
            <w:vAlign w:val="bottom"/>
            <w:hideMark/>
          </w:tcPr>
          <w:p w14:paraId="06DE4F62"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1193D090" w14:textId="77777777" w:rsidTr="00DE21B7">
        <w:trPr>
          <w:trHeight w:val="227"/>
        </w:trPr>
        <w:tc>
          <w:tcPr>
            <w:tcW w:w="982" w:type="pct"/>
            <w:tcBorders>
              <w:top w:val="nil"/>
              <w:left w:val="nil"/>
              <w:bottom w:val="nil"/>
              <w:right w:val="nil"/>
            </w:tcBorders>
            <w:shd w:val="clear" w:color="000000" w:fill="FFFFFF"/>
            <w:vAlign w:val="bottom"/>
            <w:hideMark/>
          </w:tcPr>
          <w:p w14:paraId="7BE13FEF"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0B5EA1E6"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Long Term Investments</w:t>
            </w:r>
          </w:p>
        </w:tc>
        <w:tc>
          <w:tcPr>
            <w:tcW w:w="1135" w:type="pct"/>
            <w:tcBorders>
              <w:top w:val="nil"/>
              <w:left w:val="nil"/>
              <w:bottom w:val="nil"/>
              <w:right w:val="nil"/>
            </w:tcBorders>
            <w:shd w:val="clear" w:color="000000" w:fill="FFFFFF"/>
            <w:vAlign w:val="bottom"/>
            <w:hideMark/>
          </w:tcPr>
          <w:p w14:paraId="4875A196"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63C4D7B3"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1D73C091" w14:textId="77777777" w:rsidTr="00DE21B7">
        <w:trPr>
          <w:trHeight w:val="227"/>
        </w:trPr>
        <w:tc>
          <w:tcPr>
            <w:tcW w:w="982" w:type="pct"/>
            <w:tcBorders>
              <w:top w:val="single" w:sz="4" w:space="0" w:color="auto"/>
              <w:left w:val="nil"/>
              <w:bottom w:val="single" w:sz="4" w:space="0" w:color="auto"/>
              <w:right w:val="nil"/>
            </w:tcBorders>
            <w:shd w:val="clear" w:color="000000" w:fill="FFFFFF"/>
            <w:vAlign w:val="bottom"/>
            <w:hideMark/>
          </w:tcPr>
          <w:p w14:paraId="6EB4D251" w14:textId="77777777" w:rsidR="00DE21B7" w:rsidRPr="00DE21B7" w:rsidRDefault="00DE21B7" w:rsidP="003356AE">
            <w:pPr>
              <w:spacing w:after="0" w:line="240" w:lineRule="auto"/>
              <w:jc w:val="right"/>
              <w:rPr>
                <w:rFonts w:eastAsia="Times New Roman" w:cs="Calibri"/>
                <w:b/>
                <w:bCs/>
                <w:color w:val="auto"/>
                <w:sz w:val="16"/>
                <w:szCs w:val="16"/>
                <w:lang w:eastAsia="en-GB"/>
              </w:rPr>
            </w:pPr>
            <w:r w:rsidRPr="00DE21B7">
              <w:rPr>
                <w:rFonts w:eastAsia="Times New Roman" w:cs="Calibri"/>
                <w:b/>
                <w:bCs/>
                <w:color w:val="auto"/>
                <w:sz w:val="16"/>
                <w:szCs w:val="16"/>
                <w:lang w:eastAsia="en-GB"/>
              </w:rPr>
              <w:t>-</w:t>
            </w:r>
          </w:p>
        </w:tc>
        <w:tc>
          <w:tcPr>
            <w:tcW w:w="1862" w:type="pct"/>
            <w:tcBorders>
              <w:top w:val="single" w:sz="4" w:space="0" w:color="auto"/>
              <w:left w:val="nil"/>
              <w:bottom w:val="single" w:sz="4" w:space="0" w:color="auto"/>
              <w:right w:val="nil"/>
            </w:tcBorders>
            <w:shd w:val="clear" w:color="000000" w:fill="FFFFFF"/>
            <w:noWrap/>
            <w:vAlign w:val="bottom"/>
            <w:hideMark/>
          </w:tcPr>
          <w:p w14:paraId="29F55B7F" w14:textId="77777777" w:rsidR="00DE21B7" w:rsidRPr="00DE21B7" w:rsidRDefault="00DE21B7" w:rsidP="003356AE">
            <w:pPr>
              <w:spacing w:after="0" w:line="240" w:lineRule="auto"/>
              <w:jc w:val="left"/>
              <w:rPr>
                <w:rFonts w:eastAsia="Times New Roman" w:cs="Calibri"/>
                <w:b/>
                <w:bCs/>
                <w:color w:val="auto"/>
                <w:sz w:val="16"/>
                <w:szCs w:val="16"/>
                <w:lang w:eastAsia="en-GB"/>
              </w:rPr>
            </w:pPr>
            <w:r w:rsidRPr="00DE21B7">
              <w:rPr>
                <w:rFonts w:eastAsia="Times New Roman" w:cs="Calibri"/>
                <w:b/>
                <w:bCs/>
                <w:color w:val="auto"/>
                <w:sz w:val="16"/>
                <w:szCs w:val="16"/>
                <w:lang w:eastAsia="en-GB"/>
              </w:rPr>
              <w:t>Long Term Assets</w:t>
            </w:r>
          </w:p>
        </w:tc>
        <w:tc>
          <w:tcPr>
            <w:tcW w:w="1135" w:type="pct"/>
            <w:tcBorders>
              <w:top w:val="single" w:sz="4" w:space="0" w:color="auto"/>
              <w:left w:val="nil"/>
              <w:bottom w:val="single" w:sz="4" w:space="0" w:color="auto"/>
              <w:right w:val="nil"/>
            </w:tcBorders>
            <w:shd w:val="clear" w:color="000000" w:fill="FFFFFF"/>
            <w:vAlign w:val="bottom"/>
            <w:hideMark/>
          </w:tcPr>
          <w:p w14:paraId="44C3EA88" w14:textId="77777777" w:rsidR="00DE21B7" w:rsidRPr="00DE21B7" w:rsidRDefault="00DE21B7" w:rsidP="003356AE">
            <w:pPr>
              <w:spacing w:after="0" w:line="240" w:lineRule="auto"/>
              <w:jc w:val="center"/>
              <w:rPr>
                <w:rFonts w:eastAsia="Times New Roman" w:cs="Calibri"/>
                <w:b/>
                <w:bCs/>
                <w:color w:val="auto"/>
                <w:sz w:val="16"/>
                <w:szCs w:val="16"/>
                <w:lang w:eastAsia="en-GB"/>
              </w:rPr>
            </w:pPr>
            <w:r w:rsidRPr="00DE21B7">
              <w:rPr>
                <w:rFonts w:eastAsia="Times New Roman" w:cs="Calibri"/>
                <w:b/>
                <w:bCs/>
                <w:color w:val="auto"/>
                <w:sz w:val="16"/>
                <w:szCs w:val="16"/>
                <w:lang w:eastAsia="en-GB"/>
              </w:rPr>
              <w:t> </w:t>
            </w:r>
          </w:p>
        </w:tc>
        <w:tc>
          <w:tcPr>
            <w:tcW w:w="1020" w:type="pct"/>
            <w:tcBorders>
              <w:top w:val="single" w:sz="4" w:space="0" w:color="auto"/>
              <w:left w:val="nil"/>
              <w:bottom w:val="single" w:sz="4" w:space="0" w:color="auto"/>
              <w:right w:val="nil"/>
            </w:tcBorders>
            <w:shd w:val="clear" w:color="000000" w:fill="CCECFF"/>
            <w:vAlign w:val="bottom"/>
            <w:hideMark/>
          </w:tcPr>
          <w:p w14:paraId="2B09439E" w14:textId="77777777" w:rsidR="00DE21B7" w:rsidRPr="00DE21B7" w:rsidRDefault="00DE21B7" w:rsidP="003356AE">
            <w:pPr>
              <w:spacing w:after="0" w:line="240" w:lineRule="auto"/>
              <w:jc w:val="right"/>
              <w:rPr>
                <w:rFonts w:eastAsia="Times New Roman" w:cs="Calibri"/>
                <w:b/>
                <w:bCs/>
                <w:color w:val="auto"/>
                <w:sz w:val="16"/>
                <w:szCs w:val="16"/>
                <w:lang w:eastAsia="en-GB"/>
              </w:rPr>
            </w:pPr>
            <w:r w:rsidRPr="00DE21B7">
              <w:rPr>
                <w:rFonts w:eastAsia="Times New Roman" w:cs="Calibri"/>
                <w:b/>
                <w:bCs/>
                <w:color w:val="auto"/>
                <w:sz w:val="16"/>
                <w:szCs w:val="16"/>
                <w:lang w:eastAsia="en-GB"/>
              </w:rPr>
              <w:t>-</w:t>
            </w:r>
          </w:p>
        </w:tc>
      </w:tr>
      <w:tr w:rsidR="00DE21B7" w:rsidRPr="00DE21B7" w14:paraId="33654A4A" w14:textId="77777777" w:rsidTr="00DE21B7">
        <w:trPr>
          <w:trHeight w:val="227"/>
        </w:trPr>
        <w:tc>
          <w:tcPr>
            <w:tcW w:w="982" w:type="pct"/>
            <w:tcBorders>
              <w:top w:val="nil"/>
              <w:left w:val="nil"/>
              <w:bottom w:val="nil"/>
              <w:right w:val="nil"/>
            </w:tcBorders>
            <w:shd w:val="clear" w:color="000000" w:fill="FFFFFF"/>
            <w:vAlign w:val="bottom"/>
            <w:hideMark/>
          </w:tcPr>
          <w:p w14:paraId="7CAF4F0B"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 </w:t>
            </w:r>
          </w:p>
        </w:tc>
        <w:tc>
          <w:tcPr>
            <w:tcW w:w="1862" w:type="pct"/>
            <w:tcBorders>
              <w:top w:val="nil"/>
              <w:left w:val="nil"/>
              <w:bottom w:val="nil"/>
              <w:right w:val="nil"/>
            </w:tcBorders>
            <w:shd w:val="clear" w:color="000000" w:fill="FFFFFF"/>
            <w:noWrap/>
            <w:vAlign w:val="bottom"/>
            <w:hideMark/>
          </w:tcPr>
          <w:p w14:paraId="6C784710"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 xml:space="preserve"> </w:t>
            </w:r>
          </w:p>
        </w:tc>
        <w:tc>
          <w:tcPr>
            <w:tcW w:w="1135" w:type="pct"/>
            <w:tcBorders>
              <w:top w:val="nil"/>
              <w:left w:val="nil"/>
              <w:bottom w:val="nil"/>
              <w:right w:val="nil"/>
            </w:tcBorders>
            <w:shd w:val="clear" w:color="000000" w:fill="FFFFFF"/>
            <w:vAlign w:val="bottom"/>
            <w:hideMark/>
          </w:tcPr>
          <w:p w14:paraId="5D4B2A92"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27AD0353"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 </w:t>
            </w:r>
          </w:p>
        </w:tc>
      </w:tr>
      <w:tr w:rsidR="00DE21B7" w:rsidRPr="00DE21B7" w14:paraId="1F0C1781" w14:textId="77777777" w:rsidTr="00DE21B7">
        <w:trPr>
          <w:trHeight w:val="227"/>
        </w:trPr>
        <w:tc>
          <w:tcPr>
            <w:tcW w:w="982" w:type="pct"/>
            <w:tcBorders>
              <w:top w:val="nil"/>
              <w:left w:val="nil"/>
              <w:bottom w:val="nil"/>
              <w:right w:val="nil"/>
            </w:tcBorders>
            <w:shd w:val="clear" w:color="000000" w:fill="FFFFFF"/>
            <w:vAlign w:val="bottom"/>
            <w:hideMark/>
          </w:tcPr>
          <w:p w14:paraId="4FDFC921"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5733E56E"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Short Term Investments</w:t>
            </w:r>
          </w:p>
        </w:tc>
        <w:tc>
          <w:tcPr>
            <w:tcW w:w="1135" w:type="pct"/>
            <w:tcBorders>
              <w:top w:val="nil"/>
              <w:left w:val="nil"/>
              <w:bottom w:val="nil"/>
              <w:right w:val="nil"/>
            </w:tcBorders>
            <w:shd w:val="clear" w:color="000000" w:fill="FFFFFF"/>
            <w:vAlign w:val="bottom"/>
            <w:hideMark/>
          </w:tcPr>
          <w:p w14:paraId="7CF5A31F"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767FC742"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75F3AB85" w14:textId="77777777" w:rsidTr="00DE21B7">
        <w:trPr>
          <w:trHeight w:val="227"/>
        </w:trPr>
        <w:tc>
          <w:tcPr>
            <w:tcW w:w="982" w:type="pct"/>
            <w:tcBorders>
              <w:top w:val="nil"/>
              <w:left w:val="nil"/>
              <w:bottom w:val="nil"/>
              <w:right w:val="nil"/>
            </w:tcBorders>
            <w:shd w:val="clear" w:color="000000" w:fill="FFFFFF"/>
            <w:vAlign w:val="bottom"/>
            <w:hideMark/>
          </w:tcPr>
          <w:p w14:paraId="2DEE7253"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2FA4B86A"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Assets Held for Sale</w:t>
            </w:r>
          </w:p>
        </w:tc>
        <w:tc>
          <w:tcPr>
            <w:tcW w:w="1135" w:type="pct"/>
            <w:tcBorders>
              <w:top w:val="nil"/>
              <w:left w:val="nil"/>
              <w:bottom w:val="nil"/>
              <w:right w:val="nil"/>
            </w:tcBorders>
            <w:shd w:val="clear" w:color="000000" w:fill="FFFFFF"/>
            <w:vAlign w:val="bottom"/>
            <w:hideMark/>
          </w:tcPr>
          <w:p w14:paraId="5D438150"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20</w:t>
            </w:r>
          </w:p>
        </w:tc>
        <w:tc>
          <w:tcPr>
            <w:tcW w:w="1020" w:type="pct"/>
            <w:tcBorders>
              <w:top w:val="nil"/>
              <w:left w:val="nil"/>
              <w:bottom w:val="nil"/>
              <w:right w:val="nil"/>
            </w:tcBorders>
            <w:shd w:val="clear" w:color="000000" w:fill="CCECFF"/>
            <w:vAlign w:val="bottom"/>
            <w:hideMark/>
          </w:tcPr>
          <w:p w14:paraId="01C4CCDB"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4705BBC4" w14:textId="77777777" w:rsidTr="00DE21B7">
        <w:trPr>
          <w:trHeight w:val="227"/>
        </w:trPr>
        <w:tc>
          <w:tcPr>
            <w:tcW w:w="982" w:type="pct"/>
            <w:tcBorders>
              <w:top w:val="nil"/>
              <w:left w:val="nil"/>
              <w:bottom w:val="nil"/>
              <w:right w:val="nil"/>
            </w:tcBorders>
            <w:shd w:val="clear" w:color="000000" w:fill="FFFFFF"/>
            <w:vAlign w:val="bottom"/>
            <w:hideMark/>
          </w:tcPr>
          <w:p w14:paraId="200815D7"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713AA1B5"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Inventories</w:t>
            </w:r>
          </w:p>
        </w:tc>
        <w:tc>
          <w:tcPr>
            <w:tcW w:w="1135" w:type="pct"/>
            <w:tcBorders>
              <w:top w:val="nil"/>
              <w:left w:val="nil"/>
              <w:bottom w:val="nil"/>
              <w:right w:val="nil"/>
            </w:tcBorders>
            <w:shd w:val="clear" w:color="000000" w:fill="FFFFFF"/>
            <w:vAlign w:val="bottom"/>
            <w:hideMark/>
          </w:tcPr>
          <w:p w14:paraId="715A9D54"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27</w:t>
            </w:r>
          </w:p>
        </w:tc>
        <w:tc>
          <w:tcPr>
            <w:tcW w:w="1020" w:type="pct"/>
            <w:tcBorders>
              <w:top w:val="nil"/>
              <w:left w:val="nil"/>
              <w:bottom w:val="nil"/>
              <w:right w:val="nil"/>
            </w:tcBorders>
            <w:shd w:val="clear" w:color="000000" w:fill="CCECFF"/>
            <w:vAlign w:val="bottom"/>
            <w:hideMark/>
          </w:tcPr>
          <w:p w14:paraId="3C529408"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14034C07" w14:textId="77777777" w:rsidTr="00DE21B7">
        <w:trPr>
          <w:trHeight w:val="227"/>
        </w:trPr>
        <w:tc>
          <w:tcPr>
            <w:tcW w:w="982" w:type="pct"/>
            <w:tcBorders>
              <w:top w:val="nil"/>
              <w:left w:val="nil"/>
              <w:bottom w:val="nil"/>
              <w:right w:val="nil"/>
            </w:tcBorders>
            <w:shd w:val="clear" w:color="000000" w:fill="FFFFFF"/>
            <w:vAlign w:val="bottom"/>
            <w:hideMark/>
          </w:tcPr>
          <w:p w14:paraId="42012545"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40FFA474"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Short Term Debtors</w:t>
            </w:r>
          </w:p>
        </w:tc>
        <w:tc>
          <w:tcPr>
            <w:tcW w:w="1135" w:type="pct"/>
            <w:tcBorders>
              <w:top w:val="nil"/>
              <w:left w:val="nil"/>
              <w:bottom w:val="nil"/>
              <w:right w:val="nil"/>
            </w:tcBorders>
            <w:shd w:val="clear" w:color="000000" w:fill="FFFFFF"/>
            <w:vAlign w:val="bottom"/>
            <w:hideMark/>
          </w:tcPr>
          <w:p w14:paraId="2A54CE8F"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26</w:t>
            </w:r>
          </w:p>
        </w:tc>
        <w:tc>
          <w:tcPr>
            <w:tcW w:w="1020" w:type="pct"/>
            <w:tcBorders>
              <w:top w:val="nil"/>
              <w:left w:val="nil"/>
              <w:bottom w:val="nil"/>
              <w:right w:val="nil"/>
            </w:tcBorders>
            <w:shd w:val="clear" w:color="000000" w:fill="CCECFF"/>
            <w:vAlign w:val="bottom"/>
            <w:hideMark/>
          </w:tcPr>
          <w:p w14:paraId="12850451"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1D69DC76" w14:textId="77777777" w:rsidTr="00DE21B7">
        <w:trPr>
          <w:trHeight w:val="227"/>
        </w:trPr>
        <w:tc>
          <w:tcPr>
            <w:tcW w:w="982" w:type="pct"/>
            <w:tcBorders>
              <w:top w:val="nil"/>
              <w:left w:val="nil"/>
              <w:bottom w:val="nil"/>
              <w:right w:val="nil"/>
            </w:tcBorders>
            <w:shd w:val="clear" w:color="000000" w:fill="FFFFFF"/>
            <w:vAlign w:val="bottom"/>
            <w:hideMark/>
          </w:tcPr>
          <w:p w14:paraId="5D886FA6"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56301B9B"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Cash and Cash Equivalents</w:t>
            </w:r>
          </w:p>
        </w:tc>
        <w:tc>
          <w:tcPr>
            <w:tcW w:w="1135" w:type="pct"/>
            <w:tcBorders>
              <w:top w:val="nil"/>
              <w:left w:val="nil"/>
              <w:bottom w:val="nil"/>
              <w:right w:val="nil"/>
            </w:tcBorders>
            <w:shd w:val="clear" w:color="000000" w:fill="FFFFFF"/>
            <w:vAlign w:val="bottom"/>
            <w:hideMark/>
          </w:tcPr>
          <w:p w14:paraId="0E9FDD28"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33</w:t>
            </w:r>
          </w:p>
        </w:tc>
        <w:tc>
          <w:tcPr>
            <w:tcW w:w="1020" w:type="pct"/>
            <w:tcBorders>
              <w:top w:val="nil"/>
              <w:left w:val="nil"/>
              <w:bottom w:val="nil"/>
              <w:right w:val="nil"/>
            </w:tcBorders>
            <w:shd w:val="clear" w:color="000000" w:fill="CCECFF"/>
            <w:vAlign w:val="bottom"/>
            <w:hideMark/>
          </w:tcPr>
          <w:p w14:paraId="25F404D3" w14:textId="77777777" w:rsidR="00DE21B7" w:rsidRPr="00DE21B7" w:rsidRDefault="00DE21B7" w:rsidP="003356AE">
            <w:pPr>
              <w:spacing w:after="0" w:line="240" w:lineRule="auto"/>
              <w:jc w:val="right"/>
              <w:rPr>
                <w:rFonts w:eastAsia="Times New Roman" w:cs="Calibri"/>
                <w:color w:val="auto"/>
                <w:sz w:val="16"/>
                <w:szCs w:val="16"/>
                <w:lang w:eastAsia="en-GB"/>
              </w:rPr>
            </w:pPr>
            <w:r w:rsidRPr="00DE21B7">
              <w:rPr>
                <w:rFonts w:eastAsia="Times New Roman" w:cs="Calibri"/>
                <w:color w:val="auto"/>
                <w:sz w:val="16"/>
                <w:szCs w:val="16"/>
                <w:lang w:eastAsia="en-GB"/>
              </w:rPr>
              <w:t>-</w:t>
            </w:r>
          </w:p>
        </w:tc>
      </w:tr>
      <w:tr w:rsidR="00DE21B7" w:rsidRPr="00DE21B7" w14:paraId="19F84BE4" w14:textId="77777777" w:rsidTr="00DE21B7">
        <w:trPr>
          <w:trHeight w:val="227"/>
        </w:trPr>
        <w:tc>
          <w:tcPr>
            <w:tcW w:w="982" w:type="pct"/>
            <w:tcBorders>
              <w:top w:val="single" w:sz="4" w:space="0" w:color="auto"/>
              <w:left w:val="nil"/>
              <w:bottom w:val="single" w:sz="4" w:space="0" w:color="auto"/>
              <w:right w:val="nil"/>
            </w:tcBorders>
            <w:shd w:val="clear" w:color="000000" w:fill="FFFFFF"/>
            <w:vAlign w:val="bottom"/>
            <w:hideMark/>
          </w:tcPr>
          <w:p w14:paraId="013B4B20" w14:textId="77777777" w:rsidR="00DE21B7" w:rsidRPr="00DE21B7" w:rsidRDefault="00DE21B7" w:rsidP="003356AE">
            <w:pPr>
              <w:spacing w:after="0" w:line="240" w:lineRule="auto"/>
              <w:jc w:val="right"/>
              <w:rPr>
                <w:rFonts w:eastAsia="Times New Roman" w:cs="Calibri"/>
                <w:b/>
                <w:bCs/>
                <w:color w:val="auto"/>
                <w:sz w:val="16"/>
                <w:szCs w:val="16"/>
                <w:lang w:eastAsia="en-GB"/>
              </w:rPr>
            </w:pPr>
            <w:r w:rsidRPr="00DE21B7">
              <w:rPr>
                <w:rFonts w:eastAsia="Times New Roman" w:cs="Calibri"/>
                <w:b/>
                <w:bCs/>
                <w:color w:val="auto"/>
                <w:sz w:val="16"/>
                <w:szCs w:val="16"/>
                <w:lang w:eastAsia="en-GB"/>
              </w:rPr>
              <w:t>-</w:t>
            </w:r>
          </w:p>
        </w:tc>
        <w:tc>
          <w:tcPr>
            <w:tcW w:w="1862" w:type="pct"/>
            <w:tcBorders>
              <w:top w:val="single" w:sz="4" w:space="0" w:color="auto"/>
              <w:left w:val="nil"/>
              <w:bottom w:val="single" w:sz="4" w:space="0" w:color="auto"/>
              <w:right w:val="nil"/>
            </w:tcBorders>
            <w:shd w:val="clear" w:color="000000" w:fill="FFFFFF"/>
            <w:noWrap/>
            <w:vAlign w:val="bottom"/>
            <w:hideMark/>
          </w:tcPr>
          <w:p w14:paraId="5ABDBD33" w14:textId="77777777" w:rsidR="00DE21B7" w:rsidRPr="00DE21B7" w:rsidRDefault="00DE21B7" w:rsidP="003356AE">
            <w:pPr>
              <w:spacing w:after="0" w:line="240" w:lineRule="auto"/>
              <w:jc w:val="left"/>
              <w:rPr>
                <w:rFonts w:eastAsia="Times New Roman" w:cs="Calibri"/>
                <w:b/>
                <w:bCs/>
                <w:color w:val="auto"/>
                <w:sz w:val="16"/>
                <w:szCs w:val="16"/>
                <w:lang w:eastAsia="en-GB"/>
              </w:rPr>
            </w:pPr>
            <w:r w:rsidRPr="00DE21B7">
              <w:rPr>
                <w:rFonts w:eastAsia="Times New Roman" w:cs="Calibri"/>
                <w:b/>
                <w:bCs/>
                <w:color w:val="auto"/>
                <w:sz w:val="16"/>
                <w:szCs w:val="16"/>
                <w:lang w:eastAsia="en-GB"/>
              </w:rPr>
              <w:t>Current Assets</w:t>
            </w:r>
          </w:p>
        </w:tc>
        <w:tc>
          <w:tcPr>
            <w:tcW w:w="1135" w:type="pct"/>
            <w:tcBorders>
              <w:top w:val="single" w:sz="4" w:space="0" w:color="auto"/>
              <w:left w:val="nil"/>
              <w:bottom w:val="single" w:sz="4" w:space="0" w:color="auto"/>
              <w:right w:val="nil"/>
            </w:tcBorders>
            <w:shd w:val="clear" w:color="000000" w:fill="FFFFFF"/>
            <w:vAlign w:val="bottom"/>
            <w:hideMark/>
          </w:tcPr>
          <w:p w14:paraId="3C103EAC" w14:textId="77777777" w:rsidR="00DE21B7" w:rsidRPr="00DE21B7" w:rsidRDefault="00DE21B7" w:rsidP="003356AE">
            <w:pPr>
              <w:spacing w:after="0" w:line="240" w:lineRule="auto"/>
              <w:jc w:val="center"/>
              <w:rPr>
                <w:rFonts w:eastAsia="Times New Roman" w:cs="Calibri"/>
                <w:b/>
                <w:bCs/>
                <w:color w:val="auto"/>
                <w:sz w:val="16"/>
                <w:szCs w:val="16"/>
                <w:lang w:eastAsia="en-GB"/>
              </w:rPr>
            </w:pPr>
            <w:r w:rsidRPr="00DE21B7">
              <w:rPr>
                <w:rFonts w:eastAsia="Times New Roman" w:cs="Calibri"/>
                <w:b/>
                <w:bCs/>
                <w:color w:val="auto"/>
                <w:sz w:val="16"/>
                <w:szCs w:val="16"/>
                <w:lang w:eastAsia="en-GB"/>
              </w:rPr>
              <w:t> </w:t>
            </w:r>
          </w:p>
        </w:tc>
        <w:tc>
          <w:tcPr>
            <w:tcW w:w="1020" w:type="pct"/>
            <w:tcBorders>
              <w:top w:val="single" w:sz="4" w:space="0" w:color="auto"/>
              <w:left w:val="nil"/>
              <w:bottom w:val="single" w:sz="4" w:space="0" w:color="auto"/>
              <w:right w:val="nil"/>
            </w:tcBorders>
            <w:shd w:val="clear" w:color="000000" w:fill="CCECFF"/>
            <w:vAlign w:val="bottom"/>
            <w:hideMark/>
          </w:tcPr>
          <w:p w14:paraId="56411610" w14:textId="77777777" w:rsidR="00DE21B7" w:rsidRPr="00DE21B7" w:rsidRDefault="00DE21B7" w:rsidP="003356AE">
            <w:pPr>
              <w:spacing w:after="0" w:line="240" w:lineRule="auto"/>
              <w:jc w:val="right"/>
              <w:rPr>
                <w:rFonts w:eastAsia="Times New Roman" w:cs="Calibri"/>
                <w:b/>
                <w:bCs/>
                <w:color w:val="auto"/>
                <w:sz w:val="16"/>
                <w:szCs w:val="16"/>
                <w:lang w:eastAsia="en-GB"/>
              </w:rPr>
            </w:pPr>
            <w:r w:rsidRPr="00DE21B7">
              <w:rPr>
                <w:rFonts w:eastAsia="Times New Roman" w:cs="Calibri"/>
                <w:b/>
                <w:bCs/>
                <w:color w:val="auto"/>
                <w:sz w:val="16"/>
                <w:szCs w:val="16"/>
                <w:lang w:eastAsia="en-GB"/>
              </w:rPr>
              <w:t>-</w:t>
            </w:r>
          </w:p>
        </w:tc>
      </w:tr>
      <w:tr w:rsidR="00DE21B7" w:rsidRPr="00DE21B7" w14:paraId="3FDB54D6" w14:textId="77777777" w:rsidTr="00DE21B7">
        <w:trPr>
          <w:trHeight w:val="227"/>
        </w:trPr>
        <w:tc>
          <w:tcPr>
            <w:tcW w:w="982" w:type="pct"/>
            <w:tcBorders>
              <w:top w:val="nil"/>
              <w:left w:val="nil"/>
              <w:bottom w:val="nil"/>
              <w:right w:val="nil"/>
            </w:tcBorders>
            <w:shd w:val="clear" w:color="000000" w:fill="FFFFFF"/>
            <w:vAlign w:val="bottom"/>
            <w:hideMark/>
          </w:tcPr>
          <w:p w14:paraId="658428C4"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 </w:t>
            </w:r>
          </w:p>
        </w:tc>
        <w:tc>
          <w:tcPr>
            <w:tcW w:w="1862" w:type="pct"/>
            <w:tcBorders>
              <w:top w:val="nil"/>
              <w:left w:val="nil"/>
              <w:bottom w:val="nil"/>
              <w:right w:val="nil"/>
            </w:tcBorders>
            <w:shd w:val="clear" w:color="000000" w:fill="FFFFFF"/>
            <w:noWrap/>
            <w:vAlign w:val="bottom"/>
            <w:hideMark/>
          </w:tcPr>
          <w:p w14:paraId="1A1CD739" w14:textId="77777777" w:rsidR="00DE21B7" w:rsidRPr="00DE21B7" w:rsidRDefault="00DE21B7" w:rsidP="003356AE">
            <w:pPr>
              <w:spacing w:after="0" w:line="240" w:lineRule="auto"/>
              <w:jc w:val="center"/>
              <w:rPr>
                <w:rFonts w:eastAsia="Times New Roman" w:cs="Calibri"/>
                <w:b/>
                <w:bCs/>
                <w:color w:val="auto"/>
                <w:sz w:val="16"/>
                <w:szCs w:val="16"/>
                <w:lang w:eastAsia="en-GB"/>
              </w:rPr>
            </w:pPr>
            <w:r w:rsidRPr="00DE21B7">
              <w:rPr>
                <w:rFonts w:eastAsia="Times New Roman" w:cs="Calibri"/>
                <w:b/>
                <w:bCs/>
                <w:color w:val="auto"/>
                <w:sz w:val="16"/>
                <w:szCs w:val="16"/>
                <w:lang w:eastAsia="en-GB"/>
              </w:rPr>
              <w:t xml:space="preserve"> </w:t>
            </w:r>
          </w:p>
        </w:tc>
        <w:tc>
          <w:tcPr>
            <w:tcW w:w="1135" w:type="pct"/>
            <w:tcBorders>
              <w:top w:val="nil"/>
              <w:left w:val="nil"/>
              <w:bottom w:val="nil"/>
              <w:right w:val="nil"/>
            </w:tcBorders>
            <w:shd w:val="clear" w:color="000000" w:fill="FFFFFF"/>
            <w:vAlign w:val="bottom"/>
            <w:hideMark/>
          </w:tcPr>
          <w:p w14:paraId="5F796E63" w14:textId="77777777" w:rsidR="00DE21B7" w:rsidRPr="00DE21B7" w:rsidRDefault="00DE21B7" w:rsidP="003356AE">
            <w:pPr>
              <w:spacing w:after="0" w:line="240" w:lineRule="auto"/>
              <w:jc w:val="center"/>
              <w:rPr>
                <w:rFonts w:eastAsia="Times New Roman" w:cs="Calibri"/>
                <w:color w:val="auto"/>
                <w:sz w:val="16"/>
                <w:szCs w:val="16"/>
                <w:lang w:eastAsia="en-GB"/>
              </w:rPr>
            </w:pPr>
            <w:r w:rsidRPr="00DE21B7">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508CAD25" w14:textId="77777777" w:rsidR="00DE21B7" w:rsidRPr="00DE21B7" w:rsidRDefault="00DE21B7" w:rsidP="003356AE">
            <w:pPr>
              <w:spacing w:after="0" w:line="240" w:lineRule="auto"/>
              <w:jc w:val="left"/>
              <w:rPr>
                <w:rFonts w:eastAsia="Times New Roman" w:cs="Calibri"/>
                <w:color w:val="auto"/>
                <w:sz w:val="16"/>
                <w:szCs w:val="16"/>
                <w:lang w:eastAsia="en-GB"/>
              </w:rPr>
            </w:pPr>
            <w:r w:rsidRPr="00DE21B7">
              <w:rPr>
                <w:rFonts w:eastAsia="Times New Roman" w:cs="Calibri"/>
                <w:color w:val="auto"/>
                <w:sz w:val="16"/>
                <w:szCs w:val="16"/>
                <w:lang w:eastAsia="en-GB"/>
              </w:rPr>
              <w:t> </w:t>
            </w:r>
          </w:p>
        </w:tc>
      </w:tr>
      <w:tr w:rsidR="00DE21B7" w:rsidRPr="00DE21B7" w14:paraId="3A3E2880" w14:textId="77777777" w:rsidTr="00DE21B7">
        <w:trPr>
          <w:trHeight w:val="227"/>
        </w:trPr>
        <w:tc>
          <w:tcPr>
            <w:tcW w:w="982" w:type="pct"/>
            <w:tcBorders>
              <w:top w:val="nil"/>
              <w:left w:val="nil"/>
              <w:bottom w:val="nil"/>
              <w:right w:val="nil"/>
            </w:tcBorders>
            <w:shd w:val="clear" w:color="000000" w:fill="FFFFFF"/>
            <w:vAlign w:val="bottom"/>
            <w:hideMark/>
          </w:tcPr>
          <w:p w14:paraId="5C525AE6"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000000"/>
                <w:sz w:val="16"/>
                <w:szCs w:val="16"/>
                <w:lang w:eastAsia="en-GB"/>
              </w:rPr>
              <w:t>(1,654)</w:t>
            </w:r>
          </w:p>
        </w:tc>
        <w:tc>
          <w:tcPr>
            <w:tcW w:w="1862" w:type="pct"/>
            <w:tcBorders>
              <w:top w:val="nil"/>
              <w:left w:val="nil"/>
              <w:bottom w:val="nil"/>
              <w:right w:val="nil"/>
            </w:tcBorders>
            <w:shd w:val="clear" w:color="000000" w:fill="FFFFFF"/>
            <w:noWrap/>
            <w:vAlign w:val="bottom"/>
            <w:hideMark/>
          </w:tcPr>
          <w:p w14:paraId="5E761C7E"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Short Term Creditors</w:t>
            </w:r>
          </w:p>
        </w:tc>
        <w:tc>
          <w:tcPr>
            <w:tcW w:w="1135" w:type="pct"/>
            <w:tcBorders>
              <w:top w:val="nil"/>
              <w:left w:val="nil"/>
              <w:bottom w:val="nil"/>
              <w:right w:val="nil"/>
            </w:tcBorders>
            <w:shd w:val="clear" w:color="000000" w:fill="FFFFFF"/>
            <w:vAlign w:val="bottom"/>
            <w:hideMark/>
          </w:tcPr>
          <w:p w14:paraId="74300009"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29</w:t>
            </w:r>
          </w:p>
        </w:tc>
        <w:tc>
          <w:tcPr>
            <w:tcW w:w="1020" w:type="pct"/>
            <w:tcBorders>
              <w:top w:val="nil"/>
              <w:left w:val="nil"/>
              <w:bottom w:val="nil"/>
              <w:right w:val="nil"/>
            </w:tcBorders>
            <w:shd w:val="clear" w:color="000000" w:fill="CCECFF"/>
            <w:vAlign w:val="bottom"/>
            <w:hideMark/>
          </w:tcPr>
          <w:p w14:paraId="707E598B"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000000"/>
                <w:sz w:val="16"/>
                <w:szCs w:val="16"/>
                <w:lang w:eastAsia="en-GB"/>
              </w:rPr>
              <w:t>(3,557)</w:t>
            </w:r>
          </w:p>
        </w:tc>
      </w:tr>
      <w:tr w:rsidR="00DE21B7" w:rsidRPr="00DE21B7" w14:paraId="16FB805F" w14:textId="77777777" w:rsidTr="00DE21B7">
        <w:trPr>
          <w:trHeight w:val="227"/>
        </w:trPr>
        <w:tc>
          <w:tcPr>
            <w:tcW w:w="982" w:type="pct"/>
            <w:tcBorders>
              <w:top w:val="nil"/>
              <w:left w:val="nil"/>
              <w:bottom w:val="nil"/>
              <w:right w:val="nil"/>
            </w:tcBorders>
            <w:shd w:val="clear" w:color="000000" w:fill="FFFFFF"/>
            <w:vAlign w:val="bottom"/>
            <w:hideMark/>
          </w:tcPr>
          <w:p w14:paraId="7DA48BD7"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2C95B30A"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Short Term Borrowing</w:t>
            </w:r>
          </w:p>
        </w:tc>
        <w:tc>
          <w:tcPr>
            <w:tcW w:w="1135" w:type="pct"/>
            <w:tcBorders>
              <w:top w:val="nil"/>
              <w:left w:val="nil"/>
              <w:bottom w:val="nil"/>
              <w:right w:val="nil"/>
            </w:tcBorders>
            <w:shd w:val="clear" w:color="000000" w:fill="FFFFFF"/>
            <w:vAlign w:val="bottom"/>
            <w:hideMark/>
          </w:tcPr>
          <w:p w14:paraId="06024AE5"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42</w:t>
            </w:r>
          </w:p>
        </w:tc>
        <w:tc>
          <w:tcPr>
            <w:tcW w:w="1020" w:type="pct"/>
            <w:tcBorders>
              <w:top w:val="nil"/>
              <w:left w:val="nil"/>
              <w:bottom w:val="nil"/>
              <w:right w:val="nil"/>
            </w:tcBorders>
            <w:shd w:val="clear" w:color="000000" w:fill="CCECFF"/>
            <w:vAlign w:val="bottom"/>
            <w:hideMark/>
          </w:tcPr>
          <w:p w14:paraId="20FFF8E0"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r>
      <w:tr w:rsidR="00DE21B7" w:rsidRPr="00DE21B7" w14:paraId="3FC4E47A" w14:textId="77777777" w:rsidTr="00DE21B7">
        <w:trPr>
          <w:trHeight w:val="227"/>
        </w:trPr>
        <w:tc>
          <w:tcPr>
            <w:tcW w:w="982" w:type="pct"/>
            <w:tcBorders>
              <w:top w:val="nil"/>
              <w:left w:val="nil"/>
              <w:bottom w:val="nil"/>
              <w:right w:val="nil"/>
            </w:tcBorders>
            <w:shd w:val="clear" w:color="000000" w:fill="FFFFFF"/>
            <w:vAlign w:val="bottom"/>
            <w:hideMark/>
          </w:tcPr>
          <w:p w14:paraId="49786B91"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2BC37637" w14:textId="7497983A"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xml:space="preserve">Short Term Lease </w:t>
            </w:r>
            <w:r w:rsidR="00ED387B" w:rsidRPr="00423E56">
              <w:rPr>
                <w:rFonts w:eastAsia="Times New Roman" w:cs="Calibri"/>
                <w:color w:val="auto"/>
                <w:sz w:val="16"/>
                <w:szCs w:val="16"/>
                <w:lang w:eastAsia="en-GB"/>
              </w:rPr>
              <w:t>Liabilities</w:t>
            </w:r>
          </w:p>
        </w:tc>
        <w:tc>
          <w:tcPr>
            <w:tcW w:w="1135" w:type="pct"/>
            <w:tcBorders>
              <w:top w:val="nil"/>
              <w:left w:val="nil"/>
              <w:bottom w:val="nil"/>
              <w:right w:val="nil"/>
            </w:tcBorders>
            <w:shd w:val="clear" w:color="000000" w:fill="FFFFFF"/>
            <w:vAlign w:val="bottom"/>
            <w:hideMark/>
          </w:tcPr>
          <w:p w14:paraId="049ADBF9" w14:textId="788A5436" w:rsidR="00DE21B7" w:rsidRPr="00423E56" w:rsidRDefault="005C2385"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42</w:t>
            </w:r>
          </w:p>
        </w:tc>
        <w:tc>
          <w:tcPr>
            <w:tcW w:w="1020" w:type="pct"/>
            <w:tcBorders>
              <w:top w:val="nil"/>
              <w:left w:val="nil"/>
              <w:bottom w:val="nil"/>
              <w:right w:val="nil"/>
            </w:tcBorders>
            <w:shd w:val="clear" w:color="000000" w:fill="CCECFF"/>
            <w:vAlign w:val="bottom"/>
            <w:hideMark/>
          </w:tcPr>
          <w:p w14:paraId="43F59794" w14:textId="539DE480"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r>
      <w:tr w:rsidR="00DE21B7" w:rsidRPr="00DE21B7" w14:paraId="4BEEEEF1" w14:textId="77777777" w:rsidTr="00DE21B7">
        <w:trPr>
          <w:trHeight w:val="227"/>
        </w:trPr>
        <w:tc>
          <w:tcPr>
            <w:tcW w:w="982" w:type="pct"/>
            <w:tcBorders>
              <w:top w:val="nil"/>
              <w:left w:val="nil"/>
              <w:bottom w:val="nil"/>
              <w:right w:val="nil"/>
            </w:tcBorders>
            <w:shd w:val="clear" w:color="000000" w:fill="FFFFFF"/>
            <w:vAlign w:val="bottom"/>
            <w:hideMark/>
          </w:tcPr>
          <w:p w14:paraId="7F7E02BE"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203C3ED8"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Provisions</w:t>
            </w:r>
          </w:p>
        </w:tc>
        <w:tc>
          <w:tcPr>
            <w:tcW w:w="1135" w:type="pct"/>
            <w:tcBorders>
              <w:top w:val="nil"/>
              <w:left w:val="nil"/>
              <w:bottom w:val="nil"/>
              <w:right w:val="nil"/>
            </w:tcBorders>
            <w:shd w:val="clear" w:color="000000" w:fill="FFFFFF"/>
            <w:vAlign w:val="bottom"/>
            <w:hideMark/>
          </w:tcPr>
          <w:p w14:paraId="424395D9"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28</w:t>
            </w:r>
          </w:p>
        </w:tc>
        <w:tc>
          <w:tcPr>
            <w:tcW w:w="1020" w:type="pct"/>
            <w:tcBorders>
              <w:top w:val="nil"/>
              <w:left w:val="nil"/>
              <w:bottom w:val="nil"/>
              <w:right w:val="nil"/>
            </w:tcBorders>
            <w:shd w:val="clear" w:color="000000" w:fill="CCECFF"/>
            <w:vAlign w:val="bottom"/>
            <w:hideMark/>
          </w:tcPr>
          <w:p w14:paraId="35D87435"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r>
      <w:tr w:rsidR="00DE21B7" w:rsidRPr="00DE21B7" w14:paraId="2AA8686A" w14:textId="77777777" w:rsidTr="00DE21B7">
        <w:trPr>
          <w:trHeight w:val="227"/>
        </w:trPr>
        <w:tc>
          <w:tcPr>
            <w:tcW w:w="982" w:type="pct"/>
            <w:tcBorders>
              <w:top w:val="single" w:sz="4" w:space="0" w:color="auto"/>
              <w:left w:val="nil"/>
              <w:bottom w:val="single" w:sz="4" w:space="0" w:color="auto"/>
              <w:right w:val="nil"/>
            </w:tcBorders>
            <w:shd w:val="clear" w:color="000000" w:fill="FFFFFF"/>
            <w:vAlign w:val="bottom"/>
            <w:hideMark/>
          </w:tcPr>
          <w:p w14:paraId="28517DA7"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000000"/>
                <w:sz w:val="16"/>
                <w:szCs w:val="16"/>
                <w:lang w:eastAsia="en-GB"/>
              </w:rPr>
              <w:t>(1,654)</w:t>
            </w:r>
          </w:p>
        </w:tc>
        <w:tc>
          <w:tcPr>
            <w:tcW w:w="1862" w:type="pct"/>
            <w:tcBorders>
              <w:top w:val="single" w:sz="4" w:space="0" w:color="auto"/>
              <w:left w:val="nil"/>
              <w:bottom w:val="single" w:sz="4" w:space="0" w:color="auto"/>
              <w:right w:val="nil"/>
            </w:tcBorders>
            <w:shd w:val="clear" w:color="000000" w:fill="FFFFFF"/>
            <w:noWrap/>
            <w:vAlign w:val="bottom"/>
            <w:hideMark/>
          </w:tcPr>
          <w:p w14:paraId="594E2AEF" w14:textId="77777777" w:rsidR="00DE21B7" w:rsidRPr="00423E56" w:rsidRDefault="00DE21B7" w:rsidP="003356AE">
            <w:pPr>
              <w:spacing w:after="0" w:line="240" w:lineRule="auto"/>
              <w:jc w:val="left"/>
              <w:rPr>
                <w:rFonts w:eastAsia="Times New Roman" w:cs="Calibri"/>
                <w:b/>
                <w:bCs/>
                <w:color w:val="auto"/>
                <w:sz w:val="16"/>
                <w:szCs w:val="16"/>
                <w:lang w:eastAsia="en-GB"/>
              </w:rPr>
            </w:pPr>
            <w:r w:rsidRPr="00423E56">
              <w:rPr>
                <w:rFonts w:eastAsia="Times New Roman" w:cs="Calibri"/>
                <w:b/>
                <w:bCs/>
                <w:color w:val="auto"/>
                <w:sz w:val="16"/>
                <w:szCs w:val="16"/>
                <w:lang w:eastAsia="en-GB"/>
              </w:rPr>
              <w:t>Current Liabilities</w:t>
            </w:r>
          </w:p>
        </w:tc>
        <w:tc>
          <w:tcPr>
            <w:tcW w:w="1135" w:type="pct"/>
            <w:tcBorders>
              <w:top w:val="single" w:sz="4" w:space="0" w:color="auto"/>
              <w:left w:val="nil"/>
              <w:bottom w:val="single" w:sz="4" w:space="0" w:color="auto"/>
              <w:right w:val="nil"/>
            </w:tcBorders>
            <w:shd w:val="clear" w:color="000000" w:fill="FFFFFF"/>
            <w:vAlign w:val="bottom"/>
            <w:hideMark/>
          </w:tcPr>
          <w:p w14:paraId="26D206AA" w14:textId="77777777" w:rsidR="00DE21B7" w:rsidRPr="00423E56" w:rsidRDefault="00DE21B7" w:rsidP="003356AE">
            <w:pPr>
              <w:spacing w:after="0" w:line="240" w:lineRule="auto"/>
              <w:jc w:val="center"/>
              <w:rPr>
                <w:rFonts w:eastAsia="Times New Roman" w:cs="Calibri"/>
                <w:b/>
                <w:bCs/>
                <w:color w:val="auto"/>
                <w:sz w:val="16"/>
                <w:szCs w:val="16"/>
                <w:lang w:eastAsia="en-GB"/>
              </w:rPr>
            </w:pPr>
            <w:r w:rsidRPr="00423E56">
              <w:rPr>
                <w:rFonts w:eastAsia="Times New Roman" w:cs="Calibri"/>
                <w:b/>
                <w:bCs/>
                <w:color w:val="auto"/>
                <w:sz w:val="16"/>
                <w:szCs w:val="16"/>
                <w:lang w:eastAsia="en-GB"/>
              </w:rPr>
              <w:t> </w:t>
            </w:r>
          </w:p>
        </w:tc>
        <w:tc>
          <w:tcPr>
            <w:tcW w:w="1020" w:type="pct"/>
            <w:tcBorders>
              <w:top w:val="single" w:sz="4" w:space="0" w:color="auto"/>
              <w:left w:val="nil"/>
              <w:bottom w:val="single" w:sz="4" w:space="0" w:color="auto"/>
              <w:right w:val="nil"/>
            </w:tcBorders>
            <w:shd w:val="clear" w:color="000000" w:fill="CCECFF"/>
            <w:vAlign w:val="bottom"/>
            <w:hideMark/>
          </w:tcPr>
          <w:p w14:paraId="62567A8D"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000000"/>
                <w:sz w:val="16"/>
                <w:szCs w:val="16"/>
                <w:lang w:eastAsia="en-GB"/>
              </w:rPr>
              <w:t>(3,557)</w:t>
            </w:r>
          </w:p>
        </w:tc>
      </w:tr>
      <w:tr w:rsidR="00DE21B7" w:rsidRPr="00DE21B7" w14:paraId="1E7071AC" w14:textId="77777777" w:rsidTr="00DE21B7">
        <w:trPr>
          <w:trHeight w:val="227"/>
        </w:trPr>
        <w:tc>
          <w:tcPr>
            <w:tcW w:w="982" w:type="pct"/>
            <w:tcBorders>
              <w:top w:val="nil"/>
              <w:left w:val="nil"/>
              <w:bottom w:val="nil"/>
              <w:right w:val="nil"/>
            </w:tcBorders>
            <w:shd w:val="clear" w:color="000000" w:fill="FFFFFF"/>
            <w:vAlign w:val="bottom"/>
            <w:hideMark/>
          </w:tcPr>
          <w:p w14:paraId="19BA6148"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862" w:type="pct"/>
            <w:tcBorders>
              <w:top w:val="nil"/>
              <w:left w:val="nil"/>
              <w:bottom w:val="nil"/>
              <w:right w:val="nil"/>
            </w:tcBorders>
            <w:shd w:val="clear" w:color="000000" w:fill="FFFFFF"/>
            <w:noWrap/>
            <w:vAlign w:val="bottom"/>
            <w:hideMark/>
          </w:tcPr>
          <w:p w14:paraId="1E32D888"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 xml:space="preserve"> </w:t>
            </w:r>
          </w:p>
        </w:tc>
        <w:tc>
          <w:tcPr>
            <w:tcW w:w="1135" w:type="pct"/>
            <w:tcBorders>
              <w:top w:val="nil"/>
              <w:left w:val="nil"/>
              <w:bottom w:val="nil"/>
              <w:right w:val="nil"/>
            </w:tcBorders>
            <w:shd w:val="clear" w:color="000000" w:fill="FFFFFF"/>
            <w:vAlign w:val="bottom"/>
            <w:hideMark/>
          </w:tcPr>
          <w:p w14:paraId="1FA996ED"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480FBA72"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r>
      <w:tr w:rsidR="00DE21B7" w:rsidRPr="00DE21B7" w14:paraId="3286FDA4" w14:textId="77777777" w:rsidTr="00DE21B7">
        <w:trPr>
          <w:trHeight w:val="227"/>
        </w:trPr>
        <w:tc>
          <w:tcPr>
            <w:tcW w:w="982" w:type="pct"/>
            <w:tcBorders>
              <w:top w:val="nil"/>
              <w:left w:val="nil"/>
              <w:bottom w:val="nil"/>
              <w:right w:val="nil"/>
            </w:tcBorders>
            <w:shd w:val="clear" w:color="000000" w:fill="FFFFFF"/>
            <w:vAlign w:val="bottom"/>
            <w:hideMark/>
          </w:tcPr>
          <w:p w14:paraId="5AC5872F"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66DFFCA6"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Long Term Borrowing</w:t>
            </w:r>
          </w:p>
        </w:tc>
        <w:tc>
          <w:tcPr>
            <w:tcW w:w="1135" w:type="pct"/>
            <w:tcBorders>
              <w:top w:val="nil"/>
              <w:left w:val="nil"/>
              <w:bottom w:val="nil"/>
              <w:right w:val="nil"/>
            </w:tcBorders>
            <w:shd w:val="clear" w:color="000000" w:fill="FFFFFF"/>
            <w:vAlign w:val="bottom"/>
            <w:hideMark/>
          </w:tcPr>
          <w:p w14:paraId="39EC5FB2"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42</w:t>
            </w:r>
          </w:p>
        </w:tc>
        <w:tc>
          <w:tcPr>
            <w:tcW w:w="1020" w:type="pct"/>
            <w:tcBorders>
              <w:top w:val="nil"/>
              <w:left w:val="nil"/>
              <w:bottom w:val="nil"/>
              <w:right w:val="nil"/>
            </w:tcBorders>
            <w:shd w:val="clear" w:color="000000" w:fill="CCECFF"/>
            <w:vAlign w:val="bottom"/>
            <w:hideMark/>
          </w:tcPr>
          <w:p w14:paraId="3C1FFF04"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r>
      <w:tr w:rsidR="00DE21B7" w:rsidRPr="00DE21B7" w14:paraId="7F58B038" w14:textId="77777777" w:rsidTr="00DE21B7">
        <w:trPr>
          <w:trHeight w:val="227"/>
        </w:trPr>
        <w:tc>
          <w:tcPr>
            <w:tcW w:w="982" w:type="pct"/>
            <w:tcBorders>
              <w:top w:val="nil"/>
              <w:left w:val="nil"/>
              <w:bottom w:val="nil"/>
              <w:right w:val="nil"/>
            </w:tcBorders>
            <w:shd w:val="clear" w:color="000000" w:fill="FFFFFF"/>
            <w:vAlign w:val="bottom"/>
            <w:hideMark/>
          </w:tcPr>
          <w:p w14:paraId="7FBD5776"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1DD156BC"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Long Term Lease Liabilities</w:t>
            </w:r>
          </w:p>
        </w:tc>
        <w:tc>
          <w:tcPr>
            <w:tcW w:w="1135" w:type="pct"/>
            <w:tcBorders>
              <w:top w:val="nil"/>
              <w:left w:val="nil"/>
              <w:bottom w:val="nil"/>
              <w:right w:val="nil"/>
            </w:tcBorders>
            <w:shd w:val="clear" w:color="000000" w:fill="FFFFFF"/>
            <w:vAlign w:val="bottom"/>
            <w:hideMark/>
          </w:tcPr>
          <w:p w14:paraId="02F9305C"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43</w:t>
            </w:r>
          </w:p>
        </w:tc>
        <w:tc>
          <w:tcPr>
            <w:tcW w:w="1020" w:type="pct"/>
            <w:tcBorders>
              <w:top w:val="nil"/>
              <w:left w:val="nil"/>
              <w:bottom w:val="nil"/>
              <w:right w:val="nil"/>
            </w:tcBorders>
            <w:shd w:val="clear" w:color="000000" w:fill="CCECFF"/>
            <w:vAlign w:val="bottom"/>
            <w:hideMark/>
          </w:tcPr>
          <w:p w14:paraId="2CC0E688"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r>
      <w:tr w:rsidR="00DE21B7" w:rsidRPr="00DE21B7" w14:paraId="3EEDD423" w14:textId="77777777" w:rsidTr="00DE21B7">
        <w:trPr>
          <w:trHeight w:val="227"/>
        </w:trPr>
        <w:tc>
          <w:tcPr>
            <w:tcW w:w="982" w:type="pct"/>
            <w:tcBorders>
              <w:top w:val="nil"/>
              <w:left w:val="nil"/>
              <w:bottom w:val="nil"/>
              <w:right w:val="nil"/>
            </w:tcBorders>
            <w:shd w:val="clear" w:color="000000" w:fill="FFFFFF"/>
            <w:vAlign w:val="bottom"/>
            <w:hideMark/>
          </w:tcPr>
          <w:p w14:paraId="086D49C3"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000000"/>
                <w:sz w:val="16"/>
                <w:szCs w:val="16"/>
                <w:lang w:eastAsia="en-GB"/>
              </w:rPr>
              <w:t>(953,630)</w:t>
            </w:r>
          </w:p>
        </w:tc>
        <w:tc>
          <w:tcPr>
            <w:tcW w:w="1862" w:type="pct"/>
            <w:tcBorders>
              <w:top w:val="nil"/>
              <w:left w:val="nil"/>
              <w:bottom w:val="nil"/>
              <w:right w:val="nil"/>
            </w:tcBorders>
            <w:shd w:val="clear" w:color="000000" w:fill="FFFFFF"/>
            <w:noWrap/>
            <w:vAlign w:val="bottom"/>
            <w:hideMark/>
          </w:tcPr>
          <w:p w14:paraId="63B3633A"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xml:space="preserve">Other </w:t>
            </w:r>
            <w:proofErr w:type="gramStart"/>
            <w:r w:rsidRPr="00423E56">
              <w:rPr>
                <w:rFonts w:eastAsia="Times New Roman" w:cs="Calibri"/>
                <w:color w:val="auto"/>
                <w:sz w:val="16"/>
                <w:szCs w:val="16"/>
                <w:lang w:eastAsia="en-GB"/>
              </w:rPr>
              <w:t>Long Term</w:t>
            </w:r>
            <w:proofErr w:type="gramEnd"/>
            <w:r w:rsidRPr="00423E56">
              <w:rPr>
                <w:rFonts w:eastAsia="Times New Roman" w:cs="Calibri"/>
                <w:color w:val="auto"/>
                <w:sz w:val="16"/>
                <w:szCs w:val="16"/>
                <w:lang w:eastAsia="en-GB"/>
              </w:rPr>
              <w:t xml:space="preserve"> Liabilities</w:t>
            </w:r>
          </w:p>
        </w:tc>
        <w:tc>
          <w:tcPr>
            <w:tcW w:w="1135" w:type="pct"/>
            <w:tcBorders>
              <w:top w:val="nil"/>
              <w:left w:val="nil"/>
              <w:bottom w:val="nil"/>
              <w:right w:val="nil"/>
            </w:tcBorders>
            <w:shd w:val="clear" w:color="000000" w:fill="FFFFFF"/>
            <w:vAlign w:val="bottom"/>
            <w:hideMark/>
          </w:tcPr>
          <w:p w14:paraId="73F29A68"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43</w:t>
            </w:r>
          </w:p>
        </w:tc>
        <w:tc>
          <w:tcPr>
            <w:tcW w:w="1020" w:type="pct"/>
            <w:tcBorders>
              <w:top w:val="nil"/>
              <w:left w:val="nil"/>
              <w:bottom w:val="nil"/>
              <w:right w:val="nil"/>
            </w:tcBorders>
            <w:shd w:val="clear" w:color="000000" w:fill="CCECFF"/>
            <w:vAlign w:val="bottom"/>
            <w:hideMark/>
          </w:tcPr>
          <w:p w14:paraId="3D1A8F07"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000000"/>
                <w:sz w:val="16"/>
                <w:szCs w:val="16"/>
                <w:lang w:eastAsia="en-GB"/>
              </w:rPr>
              <w:t>(931,670)</w:t>
            </w:r>
          </w:p>
        </w:tc>
      </w:tr>
      <w:tr w:rsidR="00DE21B7" w:rsidRPr="00DE21B7" w14:paraId="21D7E148" w14:textId="77777777" w:rsidTr="00DE21B7">
        <w:trPr>
          <w:trHeight w:val="227"/>
        </w:trPr>
        <w:tc>
          <w:tcPr>
            <w:tcW w:w="982" w:type="pct"/>
            <w:tcBorders>
              <w:top w:val="single" w:sz="4" w:space="0" w:color="auto"/>
              <w:left w:val="nil"/>
              <w:bottom w:val="single" w:sz="4" w:space="0" w:color="auto"/>
              <w:right w:val="nil"/>
            </w:tcBorders>
            <w:shd w:val="clear" w:color="000000" w:fill="FFFFFF"/>
            <w:vAlign w:val="bottom"/>
            <w:hideMark/>
          </w:tcPr>
          <w:p w14:paraId="44F01F54"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000000"/>
                <w:sz w:val="16"/>
                <w:szCs w:val="16"/>
                <w:lang w:eastAsia="en-GB"/>
              </w:rPr>
              <w:t>(953,630)</w:t>
            </w:r>
          </w:p>
        </w:tc>
        <w:tc>
          <w:tcPr>
            <w:tcW w:w="1862" w:type="pct"/>
            <w:tcBorders>
              <w:top w:val="single" w:sz="4" w:space="0" w:color="auto"/>
              <w:left w:val="nil"/>
              <w:bottom w:val="single" w:sz="4" w:space="0" w:color="auto"/>
              <w:right w:val="nil"/>
            </w:tcBorders>
            <w:shd w:val="clear" w:color="000000" w:fill="FFFFFF"/>
            <w:noWrap/>
            <w:vAlign w:val="bottom"/>
            <w:hideMark/>
          </w:tcPr>
          <w:p w14:paraId="4AEEA079" w14:textId="77777777" w:rsidR="00DE21B7" w:rsidRPr="00423E56" w:rsidRDefault="00DE21B7" w:rsidP="003356AE">
            <w:pPr>
              <w:spacing w:after="0" w:line="240" w:lineRule="auto"/>
              <w:jc w:val="left"/>
              <w:rPr>
                <w:rFonts w:eastAsia="Times New Roman" w:cs="Calibri"/>
                <w:b/>
                <w:bCs/>
                <w:color w:val="auto"/>
                <w:sz w:val="16"/>
                <w:szCs w:val="16"/>
                <w:lang w:eastAsia="en-GB"/>
              </w:rPr>
            </w:pPr>
            <w:r w:rsidRPr="00423E56">
              <w:rPr>
                <w:rFonts w:eastAsia="Times New Roman" w:cs="Calibri"/>
                <w:b/>
                <w:bCs/>
                <w:color w:val="auto"/>
                <w:sz w:val="16"/>
                <w:szCs w:val="16"/>
                <w:lang w:eastAsia="en-GB"/>
              </w:rPr>
              <w:t>Long Term Liabilities</w:t>
            </w:r>
          </w:p>
        </w:tc>
        <w:tc>
          <w:tcPr>
            <w:tcW w:w="1135" w:type="pct"/>
            <w:tcBorders>
              <w:top w:val="single" w:sz="4" w:space="0" w:color="auto"/>
              <w:left w:val="nil"/>
              <w:bottom w:val="single" w:sz="4" w:space="0" w:color="auto"/>
              <w:right w:val="nil"/>
            </w:tcBorders>
            <w:shd w:val="clear" w:color="000000" w:fill="FFFFFF"/>
            <w:vAlign w:val="bottom"/>
            <w:hideMark/>
          </w:tcPr>
          <w:p w14:paraId="3F8F1C52" w14:textId="77777777" w:rsidR="00DE21B7" w:rsidRPr="00423E56" w:rsidRDefault="00DE21B7" w:rsidP="003356AE">
            <w:pPr>
              <w:spacing w:after="0" w:line="240" w:lineRule="auto"/>
              <w:jc w:val="center"/>
              <w:rPr>
                <w:rFonts w:eastAsia="Times New Roman" w:cs="Calibri"/>
                <w:b/>
                <w:bCs/>
                <w:color w:val="auto"/>
                <w:sz w:val="16"/>
                <w:szCs w:val="16"/>
                <w:lang w:eastAsia="en-GB"/>
              </w:rPr>
            </w:pPr>
            <w:r w:rsidRPr="00423E56">
              <w:rPr>
                <w:rFonts w:eastAsia="Times New Roman" w:cs="Calibri"/>
                <w:b/>
                <w:bCs/>
                <w:color w:val="auto"/>
                <w:sz w:val="16"/>
                <w:szCs w:val="16"/>
                <w:lang w:eastAsia="en-GB"/>
              </w:rPr>
              <w:t> </w:t>
            </w:r>
          </w:p>
        </w:tc>
        <w:tc>
          <w:tcPr>
            <w:tcW w:w="1020" w:type="pct"/>
            <w:tcBorders>
              <w:top w:val="single" w:sz="4" w:space="0" w:color="auto"/>
              <w:left w:val="nil"/>
              <w:bottom w:val="single" w:sz="4" w:space="0" w:color="auto"/>
              <w:right w:val="nil"/>
            </w:tcBorders>
            <w:shd w:val="clear" w:color="000000" w:fill="CCECFF"/>
            <w:vAlign w:val="bottom"/>
            <w:hideMark/>
          </w:tcPr>
          <w:p w14:paraId="703E51E0"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000000"/>
                <w:sz w:val="16"/>
                <w:szCs w:val="16"/>
                <w:lang w:eastAsia="en-GB"/>
              </w:rPr>
              <w:t>(931,670)</w:t>
            </w:r>
          </w:p>
        </w:tc>
      </w:tr>
      <w:tr w:rsidR="00DE21B7" w:rsidRPr="00DE21B7" w14:paraId="363BF789" w14:textId="77777777" w:rsidTr="00DE21B7">
        <w:trPr>
          <w:trHeight w:val="227"/>
        </w:trPr>
        <w:tc>
          <w:tcPr>
            <w:tcW w:w="982" w:type="pct"/>
            <w:tcBorders>
              <w:top w:val="nil"/>
              <w:left w:val="nil"/>
              <w:bottom w:val="nil"/>
              <w:right w:val="nil"/>
            </w:tcBorders>
            <w:shd w:val="clear" w:color="000000" w:fill="FFFFFF"/>
            <w:vAlign w:val="bottom"/>
            <w:hideMark/>
          </w:tcPr>
          <w:p w14:paraId="71EA5800"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862" w:type="pct"/>
            <w:tcBorders>
              <w:top w:val="nil"/>
              <w:left w:val="nil"/>
              <w:bottom w:val="nil"/>
              <w:right w:val="nil"/>
            </w:tcBorders>
            <w:shd w:val="clear" w:color="000000" w:fill="FFFFFF"/>
            <w:noWrap/>
            <w:vAlign w:val="bottom"/>
            <w:hideMark/>
          </w:tcPr>
          <w:p w14:paraId="463EF7D4" w14:textId="77777777" w:rsidR="00DE21B7" w:rsidRPr="00423E56" w:rsidRDefault="00DE21B7" w:rsidP="003356AE">
            <w:pPr>
              <w:spacing w:after="0" w:line="240" w:lineRule="auto"/>
              <w:jc w:val="center"/>
              <w:rPr>
                <w:rFonts w:eastAsia="Times New Roman" w:cs="Calibri"/>
                <w:b/>
                <w:bCs/>
                <w:color w:val="auto"/>
                <w:sz w:val="16"/>
                <w:szCs w:val="16"/>
                <w:lang w:eastAsia="en-GB"/>
              </w:rPr>
            </w:pPr>
            <w:r w:rsidRPr="00423E56">
              <w:rPr>
                <w:rFonts w:eastAsia="Times New Roman" w:cs="Calibri"/>
                <w:b/>
                <w:bCs/>
                <w:color w:val="auto"/>
                <w:sz w:val="16"/>
                <w:szCs w:val="16"/>
                <w:lang w:eastAsia="en-GB"/>
              </w:rPr>
              <w:t xml:space="preserve"> </w:t>
            </w:r>
          </w:p>
        </w:tc>
        <w:tc>
          <w:tcPr>
            <w:tcW w:w="1135" w:type="pct"/>
            <w:tcBorders>
              <w:top w:val="nil"/>
              <w:left w:val="nil"/>
              <w:bottom w:val="nil"/>
              <w:right w:val="nil"/>
            </w:tcBorders>
            <w:shd w:val="clear" w:color="000000" w:fill="FFFFFF"/>
            <w:vAlign w:val="bottom"/>
            <w:hideMark/>
          </w:tcPr>
          <w:p w14:paraId="78B6555B"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05F57FFE"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r>
      <w:tr w:rsidR="00DE21B7" w:rsidRPr="00DE21B7" w14:paraId="00401FCD" w14:textId="77777777" w:rsidTr="00DE21B7">
        <w:trPr>
          <w:trHeight w:val="227"/>
        </w:trPr>
        <w:tc>
          <w:tcPr>
            <w:tcW w:w="982" w:type="pct"/>
            <w:tcBorders>
              <w:top w:val="single" w:sz="4" w:space="0" w:color="auto"/>
              <w:left w:val="nil"/>
              <w:bottom w:val="single" w:sz="8" w:space="0" w:color="auto"/>
              <w:right w:val="nil"/>
            </w:tcBorders>
            <w:shd w:val="clear" w:color="000000" w:fill="FFFFFF"/>
            <w:vAlign w:val="bottom"/>
            <w:hideMark/>
          </w:tcPr>
          <w:p w14:paraId="35940874"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000000"/>
                <w:sz w:val="16"/>
                <w:szCs w:val="16"/>
                <w:lang w:eastAsia="en-GB"/>
              </w:rPr>
              <w:t>(955,284)</w:t>
            </w:r>
          </w:p>
        </w:tc>
        <w:tc>
          <w:tcPr>
            <w:tcW w:w="1862" w:type="pct"/>
            <w:tcBorders>
              <w:top w:val="single" w:sz="4" w:space="0" w:color="auto"/>
              <w:left w:val="nil"/>
              <w:bottom w:val="single" w:sz="8" w:space="0" w:color="auto"/>
              <w:right w:val="nil"/>
            </w:tcBorders>
            <w:shd w:val="clear" w:color="000000" w:fill="FFFFFF"/>
            <w:noWrap/>
            <w:vAlign w:val="bottom"/>
            <w:hideMark/>
          </w:tcPr>
          <w:p w14:paraId="0B152123" w14:textId="77777777" w:rsidR="00DE21B7" w:rsidRPr="00423E56" w:rsidRDefault="00DE21B7" w:rsidP="003356AE">
            <w:pPr>
              <w:spacing w:after="0" w:line="240" w:lineRule="auto"/>
              <w:jc w:val="left"/>
              <w:rPr>
                <w:rFonts w:eastAsia="Times New Roman" w:cs="Calibri"/>
                <w:b/>
                <w:bCs/>
                <w:color w:val="auto"/>
                <w:sz w:val="16"/>
                <w:szCs w:val="16"/>
                <w:lang w:eastAsia="en-GB"/>
              </w:rPr>
            </w:pPr>
            <w:r w:rsidRPr="00423E56">
              <w:rPr>
                <w:rFonts w:eastAsia="Times New Roman" w:cs="Calibri"/>
                <w:b/>
                <w:bCs/>
                <w:color w:val="auto"/>
                <w:sz w:val="16"/>
                <w:szCs w:val="16"/>
                <w:lang w:eastAsia="en-GB"/>
              </w:rPr>
              <w:t>Net Assets</w:t>
            </w:r>
          </w:p>
        </w:tc>
        <w:tc>
          <w:tcPr>
            <w:tcW w:w="1135" w:type="pct"/>
            <w:tcBorders>
              <w:top w:val="single" w:sz="4" w:space="0" w:color="auto"/>
              <w:left w:val="nil"/>
              <w:bottom w:val="single" w:sz="8" w:space="0" w:color="auto"/>
              <w:right w:val="nil"/>
            </w:tcBorders>
            <w:shd w:val="clear" w:color="000000" w:fill="FFFFFF"/>
            <w:vAlign w:val="bottom"/>
            <w:hideMark/>
          </w:tcPr>
          <w:p w14:paraId="44A4EAC5" w14:textId="77777777" w:rsidR="00DE21B7" w:rsidRPr="00423E56" w:rsidRDefault="00DE21B7" w:rsidP="003356AE">
            <w:pPr>
              <w:spacing w:after="0" w:line="240" w:lineRule="auto"/>
              <w:jc w:val="center"/>
              <w:rPr>
                <w:rFonts w:eastAsia="Times New Roman" w:cs="Calibri"/>
                <w:b/>
                <w:bCs/>
                <w:color w:val="auto"/>
                <w:sz w:val="16"/>
                <w:szCs w:val="16"/>
                <w:lang w:eastAsia="en-GB"/>
              </w:rPr>
            </w:pPr>
            <w:r w:rsidRPr="00423E56">
              <w:rPr>
                <w:rFonts w:eastAsia="Times New Roman" w:cs="Calibri"/>
                <w:b/>
                <w:bCs/>
                <w:color w:val="auto"/>
                <w:sz w:val="16"/>
                <w:szCs w:val="16"/>
                <w:lang w:eastAsia="en-GB"/>
              </w:rPr>
              <w:t> </w:t>
            </w:r>
          </w:p>
        </w:tc>
        <w:tc>
          <w:tcPr>
            <w:tcW w:w="1020" w:type="pct"/>
            <w:tcBorders>
              <w:top w:val="single" w:sz="4" w:space="0" w:color="auto"/>
              <w:left w:val="nil"/>
              <w:bottom w:val="single" w:sz="8" w:space="0" w:color="auto"/>
              <w:right w:val="nil"/>
            </w:tcBorders>
            <w:shd w:val="clear" w:color="000000" w:fill="CCECFF"/>
            <w:vAlign w:val="bottom"/>
            <w:hideMark/>
          </w:tcPr>
          <w:p w14:paraId="05CF641B"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000000"/>
                <w:sz w:val="16"/>
                <w:szCs w:val="16"/>
                <w:lang w:eastAsia="en-GB"/>
              </w:rPr>
              <w:t>(935,227)</w:t>
            </w:r>
          </w:p>
        </w:tc>
      </w:tr>
      <w:tr w:rsidR="00DE21B7" w:rsidRPr="00DE21B7" w14:paraId="3AFA7BF8" w14:textId="77777777" w:rsidTr="00DE21B7">
        <w:trPr>
          <w:trHeight w:val="227"/>
        </w:trPr>
        <w:tc>
          <w:tcPr>
            <w:tcW w:w="982" w:type="pct"/>
            <w:tcBorders>
              <w:top w:val="nil"/>
              <w:left w:val="nil"/>
              <w:bottom w:val="nil"/>
              <w:right w:val="nil"/>
            </w:tcBorders>
            <w:shd w:val="clear" w:color="000000" w:fill="FFFFFF"/>
            <w:vAlign w:val="bottom"/>
            <w:hideMark/>
          </w:tcPr>
          <w:p w14:paraId="3710B398"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862" w:type="pct"/>
            <w:tcBorders>
              <w:top w:val="nil"/>
              <w:left w:val="nil"/>
              <w:bottom w:val="nil"/>
              <w:right w:val="nil"/>
            </w:tcBorders>
            <w:shd w:val="clear" w:color="000000" w:fill="FFFFFF"/>
            <w:noWrap/>
            <w:vAlign w:val="bottom"/>
            <w:hideMark/>
          </w:tcPr>
          <w:p w14:paraId="16C6A9EF" w14:textId="77777777" w:rsidR="00DE21B7" w:rsidRPr="00423E56" w:rsidRDefault="00DE21B7" w:rsidP="003356AE">
            <w:pPr>
              <w:spacing w:after="0" w:line="240" w:lineRule="auto"/>
              <w:jc w:val="center"/>
              <w:rPr>
                <w:rFonts w:eastAsia="Times New Roman" w:cs="Calibri"/>
                <w:b/>
                <w:bCs/>
                <w:color w:val="auto"/>
                <w:sz w:val="16"/>
                <w:szCs w:val="16"/>
                <w:lang w:eastAsia="en-GB"/>
              </w:rPr>
            </w:pPr>
            <w:r w:rsidRPr="00423E56">
              <w:rPr>
                <w:rFonts w:eastAsia="Times New Roman" w:cs="Calibri"/>
                <w:b/>
                <w:bCs/>
                <w:color w:val="auto"/>
                <w:sz w:val="16"/>
                <w:szCs w:val="16"/>
                <w:lang w:eastAsia="en-GB"/>
              </w:rPr>
              <w:t xml:space="preserve"> </w:t>
            </w:r>
          </w:p>
        </w:tc>
        <w:tc>
          <w:tcPr>
            <w:tcW w:w="1135" w:type="pct"/>
            <w:tcBorders>
              <w:top w:val="nil"/>
              <w:left w:val="nil"/>
              <w:bottom w:val="nil"/>
              <w:right w:val="nil"/>
            </w:tcBorders>
            <w:shd w:val="clear" w:color="000000" w:fill="FFFFFF"/>
            <w:vAlign w:val="bottom"/>
            <w:hideMark/>
          </w:tcPr>
          <w:p w14:paraId="5E720446"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571AD216"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r>
      <w:tr w:rsidR="00DE21B7" w:rsidRPr="00DE21B7" w14:paraId="49D2400A" w14:textId="77777777" w:rsidTr="00DE21B7">
        <w:trPr>
          <w:trHeight w:val="227"/>
        </w:trPr>
        <w:tc>
          <w:tcPr>
            <w:tcW w:w="982" w:type="pct"/>
            <w:tcBorders>
              <w:top w:val="nil"/>
              <w:left w:val="nil"/>
              <w:bottom w:val="nil"/>
              <w:right w:val="nil"/>
            </w:tcBorders>
            <w:shd w:val="clear" w:color="000000" w:fill="FFFFFF"/>
            <w:vAlign w:val="bottom"/>
            <w:hideMark/>
          </w:tcPr>
          <w:p w14:paraId="3672BB1A"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c>
          <w:tcPr>
            <w:tcW w:w="1862" w:type="pct"/>
            <w:tcBorders>
              <w:top w:val="nil"/>
              <w:left w:val="nil"/>
              <w:bottom w:val="nil"/>
              <w:right w:val="nil"/>
            </w:tcBorders>
            <w:shd w:val="clear" w:color="000000" w:fill="FFFFFF"/>
            <w:noWrap/>
            <w:vAlign w:val="bottom"/>
            <w:hideMark/>
          </w:tcPr>
          <w:p w14:paraId="6A809E66"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Usable Reserves</w:t>
            </w:r>
          </w:p>
        </w:tc>
        <w:tc>
          <w:tcPr>
            <w:tcW w:w="1135" w:type="pct"/>
            <w:tcBorders>
              <w:top w:val="nil"/>
              <w:left w:val="nil"/>
              <w:bottom w:val="nil"/>
              <w:right w:val="nil"/>
            </w:tcBorders>
            <w:shd w:val="clear" w:color="000000" w:fill="FFFFFF"/>
            <w:vAlign w:val="bottom"/>
            <w:hideMark/>
          </w:tcPr>
          <w:p w14:paraId="6349939B"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16</w:t>
            </w:r>
          </w:p>
        </w:tc>
        <w:tc>
          <w:tcPr>
            <w:tcW w:w="1020" w:type="pct"/>
            <w:tcBorders>
              <w:top w:val="nil"/>
              <w:left w:val="nil"/>
              <w:bottom w:val="nil"/>
              <w:right w:val="nil"/>
            </w:tcBorders>
            <w:shd w:val="clear" w:color="000000" w:fill="CCECFF"/>
            <w:vAlign w:val="bottom"/>
            <w:hideMark/>
          </w:tcPr>
          <w:p w14:paraId="18B0985F"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w:t>
            </w:r>
          </w:p>
        </w:tc>
      </w:tr>
      <w:tr w:rsidR="00DE21B7" w:rsidRPr="00DE21B7" w14:paraId="3D78B995" w14:textId="77777777" w:rsidTr="00DE21B7">
        <w:trPr>
          <w:trHeight w:val="227"/>
        </w:trPr>
        <w:tc>
          <w:tcPr>
            <w:tcW w:w="982" w:type="pct"/>
            <w:tcBorders>
              <w:top w:val="nil"/>
              <w:left w:val="nil"/>
              <w:bottom w:val="nil"/>
              <w:right w:val="nil"/>
            </w:tcBorders>
            <w:shd w:val="clear" w:color="000000" w:fill="FFFFFF"/>
            <w:vAlign w:val="bottom"/>
            <w:hideMark/>
          </w:tcPr>
          <w:p w14:paraId="21EF9D12"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955,284</w:t>
            </w:r>
          </w:p>
        </w:tc>
        <w:tc>
          <w:tcPr>
            <w:tcW w:w="1862" w:type="pct"/>
            <w:tcBorders>
              <w:top w:val="nil"/>
              <w:left w:val="nil"/>
              <w:bottom w:val="nil"/>
              <w:right w:val="nil"/>
            </w:tcBorders>
            <w:shd w:val="clear" w:color="000000" w:fill="FFFFFF"/>
            <w:noWrap/>
            <w:vAlign w:val="bottom"/>
            <w:hideMark/>
          </w:tcPr>
          <w:p w14:paraId="0069826D"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Unusable Reserves</w:t>
            </w:r>
          </w:p>
        </w:tc>
        <w:tc>
          <w:tcPr>
            <w:tcW w:w="1135" w:type="pct"/>
            <w:tcBorders>
              <w:top w:val="nil"/>
              <w:left w:val="nil"/>
              <w:bottom w:val="nil"/>
              <w:right w:val="nil"/>
            </w:tcBorders>
            <w:shd w:val="clear" w:color="000000" w:fill="FFFFFF"/>
            <w:vAlign w:val="bottom"/>
            <w:hideMark/>
          </w:tcPr>
          <w:p w14:paraId="6ABD3CA1"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17</w:t>
            </w:r>
          </w:p>
        </w:tc>
        <w:tc>
          <w:tcPr>
            <w:tcW w:w="1020" w:type="pct"/>
            <w:tcBorders>
              <w:top w:val="nil"/>
              <w:left w:val="nil"/>
              <w:bottom w:val="nil"/>
              <w:right w:val="nil"/>
            </w:tcBorders>
            <w:shd w:val="clear" w:color="000000" w:fill="CCECFF"/>
            <w:vAlign w:val="bottom"/>
            <w:hideMark/>
          </w:tcPr>
          <w:p w14:paraId="78CBCCB2" w14:textId="77777777" w:rsidR="00DE21B7" w:rsidRPr="00423E56" w:rsidRDefault="00DE21B7" w:rsidP="003356AE">
            <w:pPr>
              <w:spacing w:after="0" w:line="240" w:lineRule="auto"/>
              <w:jc w:val="right"/>
              <w:rPr>
                <w:rFonts w:eastAsia="Times New Roman" w:cs="Calibri"/>
                <w:color w:val="auto"/>
                <w:sz w:val="16"/>
                <w:szCs w:val="16"/>
                <w:lang w:eastAsia="en-GB"/>
              </w:rPr>
            </w:pPr>
            <w:r w:rsidRPr="00423E56">
              <w:rPr>
                <w:rFonts w:eastAsia="Times New Roman" w:cs="Calibri"/>
                <w:color w:val="auto"/>
                <w:sz w:val="16"/>
                <w:szCs w:val="16"/>
                <w:lang w:eastAsia="en-GB"/>
              </w:rPr>
              <w:t>935,227</w:t>
            </w:r>
          </w:p>
        </w:tc>
      </w:tr>
      <w:tr w:rsidR="00DE21B7" w:rsidRPr="00DE21B7" w14:paraId="33B878FC" w14:textId="77777777" w:rsidTr="00DE21B7">
        <w:trPr>
          <w:trHeight w:val="227"/>
        </w:trPr>
        <w:tc>
          <w:tcPr>
            <w:tcW w:w="982" w:type="pct"/>
            <w:tcBorders>
              <w:top w:val="nil"/>
              <w:left w:val="nil"/>
              <w:bottom w:val="nil"/>
              <w:right w:val="nil"/>
            </w:tcBorders>
            <w:shd w:val="clear" w:color="000000" w:fill="FFFFFF"/>
            <w:vAlign w:val="bottom"/>
            <w:hideMark/>
          </w:tcPr>
          <w:p w14:paraId="5B7458C7"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862" w:type="pct"/>
            <w:tcBorders>
              <w:top w:val="nil"/>
              <w:left w:val="nil"/>
              <w:bottom w:val="nil"/>
              <w:right w:val="nil"/>
            </w:tcBorders>
            <w:shd w:val="clear" w:color="000000" w:fill="FFFFFF"/>
            <w:noWrap/>
            <w:vAlign w:val="bottom"/>
            <w:hideMark/>
          </w:tcPr>
          <w:p w14:paraId="197EA75B"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 xml:space="preserve"> </w:t>
            </w:r>
          </w:p>
        </w:tc>
        <w:tc>
          <w:tcPr>
            <w:tcW w:w="1135" w:type="pct"/>
            <w:tcBorders>
              <w:top w:val="nil"/>
              <w:left w:val="nil"/>
              <w:bottom w:val="nil"/>
              <w:right w:val="nil"/>
            </w:tcBorders>
            <w:shd w:val="clear" w:color="000000" w:fill="FFFFFF"/>
            <w:vAlign w:val="bottom"/>
            <w:hideMark/>
          </w:tcPr>
          <w:p w14:paraId="2AE71877" w14:textId="77777777" w:rsidR="00DE21B7" w:rsidRPr="00423E56" w:rsidRDefault="00DE21B7" w:rsidP="003356AE">
            <w:pPr>
              <w:spacing w:after="0" w:line="240" w:lineRule="auto"/>
              <w:jc w:val="center"/>
              <w:rPr>
                <w:rFonts w:eastAsia="Times New Roman" w:cs="Calibri"/>
                <w:color w:val="auto"/>
                <w:sz w:val="16"/>
                <w:szCs w:val="16"/>
                <w:lang w:eastAsia="en-GB"/>
              </w:rPr>
            </w:pPr>
            <w:r w:rsidRPr="00423E56">
              <w:rPr>
                <w:rFonts w:eastAsia="Times New Roman" w:cs="Calibri"/>
                <w:color w:val="auto"/>
                <w:sz w:val="16"/>
                <w:szCs w:val="16"/>
                <w:lang w:eastAsia="en-GB"/>
              </w:rPr>
              <w:t> </w:t>
            </w:r>
          </w:p>
        </w:tc>
        <w:tc>
          <w:tcPr>
            <w:tcW w:w="1020" w:type="pct"/>
            <w:tcBorders>
              <w:top w:val="nil"/>
              <w:left w:val="nil"/>
              <w:bottom w:val="nil"/>
              <w:right w:val="nil"/>
            </w:tcBorders>
            <w:shd w:val="clear" w:color="000000" w:fill="CCECFF"/>
            <w:vAlign w:val="bottom"/>
            <w:hideMark/>
          </w:tcPr>
          <w:p w14:paraId="7EA24EDD" w14:textId="77777777" w:rsidR="00DE21B7" w:rsidRPr="00423E56" w:rsidRDefault="00DE21B7" w:rsidP="003356AE">
            <w:pPr>
              <w:spacing w:after="0" w:line="240" w:lineRule="auto"/>
              <w:jc w:val="left"/>
              <w:rPr>
                <w:rFonts w:eastAsia="Times New Roman" w:cs="Calibri"/>
                <w:color w:val="auto"/>
                <w:sz w:val="16"/>
                <w:szCs w:val="16"/>
                <w:lang w:eastAsia="en-GB"/>
              </w:rPr>
            </w:pPr>
            <w:r w:rsidRPr="00423E56">
              <w:rPr>
                <w:rFonts w:eastAsia="Times New Roman" w:cs="Calibri"/>
                <w:color w:val="auto"/>
                <w:sz w:val="16"/>
                <w:szCs w:val="16"/>
                <w:lang w:eastAsia="en-GB"/>
              </w:rPr>
              <w:t> </w:t>
            </w:r>
          </w:p>
        </w:tc>
      </w:tr>
      <w:tr w:rsidR="00DE21B7" w:rsidRPr="00DE21B7" w14:paraId="1D3A1E7C" w14:textId="77777777" w:rsidTr="00DE21B7">
        <w:trPr>
          <w:trHeight w:val="227"/>
        </w:trPr>
        <w:tc>
          <w:tcPr>
            <w:tcW w:w="982" w:type="pct"/>
            <w:tcBorders>
              <w:top w:val="single" w:sz="4" w:space="0" w:color="auto"/>
              <w:left w:val="nil"/>
              <w:bottom w:val="single" w:sz="8" w:space="0" w:color="auto"/>
              <w:right w:val="nil"/>
            </w:tcBorders>
            <w:shd w:val="clear" w:color="000000" w:fill="FFFFFF"/>
            <w:vAlign w:val="bottom"/>
            <w:hideMark/>
          </w:tcPr>
          <w:p w14:paraId="47062966"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auto"/>
                <w:sz w:val="16"/>
                <w:szCs w:val="16"/>
                <w:lang w:eastAsia="en-GB"/>
              </w:rPr>
              <w:t>955,284</w:t>
            </w:r>
          </w:p>
        </w:tc>
        <w:tc>
          <w:tcPr>
            <w:tcW w:w="1862" w:type="pct"/>
            <w:tcBorders>
              <w:top w:val="single" w:sz="4" w:space="0" w:color="auto"/>
              <w:left w:val="nil"/>
              <w:bottom w:val="single" w:sz="8" w:space="0" w:color="auto"/>
              <w:right w:val="nil"/>
            </w:tcBorders>
            <w:shd w:val="clear" w:color="000000" w:fill="FFFFFF"/>
            <w:noWrap/>
            <w:vAlign w:val="bottom"/>
            <w:hideMark/>
          </w:tcPr>
          <w:p w14:paraId="526EFD54" w14:textId="77777777" w:rsidR="00DE21B7" w:rsidRPr="00423E56" w:rsidRDefault="00DE21B7" w:rsidP="003356AE">
            <w:pPr>
              <w:spacing w:after="0" w:line="240" w:lineRule="auto"/>
              <w:jc w:val="left"/>
              <w:rPr>
                <w:rFonts w:eastAsia="Times New Roman" w:cs="Calibri"/>
                <w:b/>
                <w:bCs/>
                <w:color w:val="auto"/>
                <w:sz w:val="16"/>
                <w:szCs w:val="16"/>
                <w:lang w:eastAsia="en-GB"/>
              </w:rPr>
            </w:pPr>
            <w:r w:rsidRPr="00423E56">
              <w:rPr>
                <w:rFonts w:eastAsia="Times New Roman" w:cs="Calibri"/>
                <w:b/>
                <w:bCs/>
                <w:color w:val="auto"/>
                <w:sz w:val="16"/>
                <w:szCs w:val="16"/>
                <w:lang w:eastAsia="en-GB"/>
              </w:rPr>
              <w:t>Total Reserves</w:t>
            </w:r>
          </w:p>
        </w:tc>
        <w:tc>
          <w:tcPr>
            <w:tcW w:w="1135" w:type="pct"/>
            <w:tcBorders>
              <w:top w:val="single" w:sz="4" w:space="0" w:color="auto"/>
              <w:left w:val="nil"/>
              <w:bottom w:val="single" w:sz="8" w:space="0" w:color="auto"/>
              <w:right w:val="nil"/>
            </w:tcBorders>
            <w:shd w:val="clear" w:color="000000" w:fill="FFFFFF"/>
            <w:vAlign w:val="bottom"/>
            <w:hideMark/>
          </w:tcPr>
          <w:p w14:paraId="06F9601A" w14:textId="77777777" w:rsidR="00DE21B7" w:rsidRPr="00423E56" w:rsidRDefault="00DE21B7" w:rsidP="003356AE">
            <w:pPr>
              <w:spacing w:after="0" w:line="240" w:lineRule="auto"/>
              <w:jc w:val="center"/>
              <w:rPr>
                <w:rFonts w:eastAsia="Times New Roman" w:cs="Calibri"/>
                <w:b/>
                <w:bCs/>
                <w:color w:val="auto"/>
                <w:sz w:val="16"/>
                <w:szCs w:val="16"/>
                <w:lang w:eastAsia="en-GB"/>
              </w:rPr>
            </w:pPr>
            <w:r w:rsidRPr="00423E56">
              <w:rPr>
                <w:rFonts w:eastAsia="Times New Roman" w:cs="Calibri"/>
                <w:b/>
                <w:bCs/>
                <w:color w:val="auto"/>
                <w:sz w:val="16"/>
                <w:szCs w:val="16"/>
                <w:lang w:eastAsia="en-GB"/>
              </w:rPr>
              <w:t> </w:t>
            </w:r>
          </w:p>
        </w:tc>
        <w:tc>
          <w:tcPr>
            <w:tcW w:w="1020" w:type="pct"/>
            <w:tcBorders>
              <w:top w:val="single" w:sz="4" w:space="0" w:color="auto"/>
              <w:left w:val="nil"/>
              <w:bottom w:val="single" w:sz="8" w:space="0" w:color="auto"/>
              <w:right w:val="nil"/>
            </w:tcBorders>
            <w:shd w:val="clear" w:color="000000" w:fill="CCECFF"/>
            <w:vAlign w:val="bottom"/>
            <w:hideMark/>
          </w:tcPr>
          <w:p w14:paraId="27E87E18" w14:textId="77777777" w:rsidR="00DE21B7" w:rsidRPr="00423E56" w:rsidRDefault="00DE21B7" w:rsidP="003356AE">
            <w:pPr>
              <w:spacing w:after="0" w:line="240" w:lineRule="auto"/>
              <w:jc w:val="right"/>
              <w:rPr>
                <w:rFonts w:eastAsia="Times New Roman" w:cs="Calibri"/>
                <w:b/>
                <w:bCs/>
                <w:color w:val="auto"/>
                <w:sz w:val="16"/>
                <w:szCs w:val="16"/>
                <w:lang w:eastAsia="en-GB"/>
              </w:rPr>
            </w:pPr>
            <w:r w:rsidRPr="00423E56">
              <w:rPr>
                <w:rFonts w:eastAsia="Times New Roman" w:cs="Calibri"/>
                <w:b/>
                <w:bCs/>
                <w:color w:val="auto"/>
                <w:sz w:val="16"/>
                <w:szCs w:val="16"/>
                <w:lang w:eastAsia="en-GB"/>
              </w:rPr>
              <w:t>935,227</w:t>
            </w:r>
          </w:p>
        </w:tc>
      </w:tr>
    </w:tbl>
    <w:p w14:paraId="054F2C45" w14:textId="4F15E87C" w:rsidR="00EE0AC7" w:rsidRPr="00F5122B" w:rsidRDefault="00EE0AC7" w:rsidP="003356AE">
      <w:pPr>
        <w:spacing w:line="240" w:lineRule="auto"/>
      </w:pPr>
    </w:p>
    <w:p w14:paraId="689427CA" w14:textId="77777777" w:rsidR="001C7399" w:rsidRDefault="001C7399" w:rsidP="003356AE">
      <w:pPr>
        <w:spacing w:line="240" w:lineRule="auto"/>
        <w:rPr>
          <w:rFonts w:cs="Arial"/>
        </w:rPr>
      </w:pPr>
    </w:p>
    <w:p w14:paraId="4EDE8879" w14:textId="3BDC5DF7" w:rsidR="00354E03" w:rsidRPr="00F5122B" w:rsidRDefault="00354E03" w:rsidP="003356AE">
      <w:pPr>
        <w:spacing w:line="240" w:lineRule="auto"/>
        <w:rPr>
          <w:rFonts w:cs="Arial"/>
        </w:rPr>
        <w:sectPr w:rsidR="00354E03" w:rsidRPr="00F5122B" w:rsidSect="009B0396">
          <w:type w:val="continuous"/>
          <w:pgSz w:w="11900" w:h="16840"/>
          <w:pgMar w:top="1276" w:right="1127" w:bottom="720" w:left="1134" w:header="709" w:footer="397" w:gutter="0"/>
          <w:cols w:space="708"/>
          <w:docGrid w:linePitch="360"/>
        </w:sectPr>
      </w:pPr>
    </w:p>
    <w:p w14:paraId="4A265E2D" w14:textId="77777777" w:rsidR="001C7399" w:rsidRDefault="001C7399" w:rsidP="003356AE">
      <w:pPr>
        <w:pStyle w:val="Normal0"/>
      </w:pPr>
      <w:r w:rsidRPr="00F5122B">
        <w:rPr>
          <w:noProof/>
          <w:lang w:val="en-GB" w:eastAsia="en-GB"/>
        </w:rPr>
        <mc:AlternateContent>
          <mc:Choice Requires="wps">
            <w:drawing>
              <wp:anchor distT="0" distB="0" distL="114300" distR="114300" simplePos="0" relativeHeight="251658240" behindDoc="0" locked="0" layoutInCell="1" allowOverlap="1" wp14:anchorId="02F409A0" wp14:editId="627DBB18">
                <wp:simplePos x="0" y="0"/>
                <wp:positionH relativeFrom="column">
                  <wp:posOffset>1270</wp:posOffset>
                </wp:positionH>
                <wp:positionV relativeFrom="paragraph">
                  <wp:posOffset>44450</wp:posOffset>
                </wp:positionV>
                <wp:extent cx="5659200" cy="0"/>
                <wp:effectExtent l="0" t="0" r="36830" b="19050"/>
                <wp:wrapNone/>
                <wp:docPr id="50" name="Straight Connector 50" descr="P172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5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DA177" id="Straight Connector 50" o:spid="_x0000_s1026" alt="P1721#y1"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5pt" to="445.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" strokecolor="black [3200]" strokeweight=".5pt">
                <v:stroke joinstyle="miter"/>
              </v:line>
            </w:pict>
          </mc:Fallback>
        </mc:AlternateContent>
      </w:r>
    </w:p>
    <w:p w14:paraId="2D997FF3" w14:textId="77777777" w:rsidR="00A62C11" w:rsidRPr="00AB43DB" w:rsidRDefault="00A62C11" w:rsidP="003356AE">
      <w:pPr>
        <w:tabs>
          <w:tab w:val="left" w:pos="4253"/>
        </w:tabs>
        <w:spacing w:line="240" w:lineRule="auto"/>
      </w:pPr>
      <w:r>
        <w:t>Signed:</w:t>
      </w:r>
    </w:p>
    <w:p w14:paraId="290CACF9" w14:textId="025E3952" w:rsidR="00A62C11" w:rsidRDefault="00A62C11" w:rsidP="003356AE">
      <w:pPr>
        <w:pStyle w:val="Normal0"/>
        <w:rPr>
          <w:rFonts w:ascii="Verdana" w:hAnsi="Verdana"/>
          <w:sz w:val="22"/>
          <w:szCs w:val="22"/>
          <w:lang w:val="en-AU"/>
        </w:rPr>
      </w:pPr>
      <w:r>
        <w:rPr>
          <w:rFonts w:ascii="Verdana" w:hAnsi="Verdana"/>
          <w:sz w:val="22"/>
          <w:szCs w:val="22"/>
          <w:lang w:val="en-AU"/>
        </w:rPr>
        <w:tab/>
      </w:r>
      <w:r>
        <w:rPr>
          <w:rFonts w:ascii="Verdana" w:hAnsi="Verdana"/>
          <w:sz w:val="22"/>
          <w:szCs w:val="22"/>
          <w:lang w:val="en-AU"/>
        </w:rPr>
        <w:tab/>
      </w:r>
      <w:r>
        <w:rPr>
          <w:rFonts w:ascii="Verdana" w:hAnsi="Verdana"/>
          <w:sz w:val="22"/>
          <w:szCs w:val="22"/>
          <w:lang w:val="en-AU"/>
        </w:rPr>
        <w:tab/>
      </w:r>
      <w:r>
        <w:rPr>
          <w:rFonts w:ascii="Verdana" w:hAnsi="Verdana"/>
          <w:sz w:val="22"/>
          <w:szCs w:val="22"/>
          <w:lang w:val="en-AU"/>
        </w:rPr>
        <w:tab/>
      </w:r>
    </w:p>
    <w:p w14:paraId="6CD3D2C3" w14:textId="0D188AB5" w:rsidR="008F45F6" w:rsidRDefault="00F21D22" w:rsidP="003356AE">
      <w:pPr>
        <w:pStyle w:val="Normal0"/>
        <w:rPr>
          <w:rFonts w:ascii="Verdana" w:hAnsi="Verdana"/>
          <w:sz w:val="22"/>
          <w:szCs w:val="22"/>
          <w:lang w:val="en-AU"/>
        </w:rPr>
      </w:pPr>
      <w:r>
        <w:rPr>
          <w:rFonts w:ascii="Verdana" w:hAnsi="Verdana"/>
          <w:sz w:val="22"/>
          <w:szCs w:val="22"/>
          <w:lang w:val="en-AU"/>
        </w:rPr>
        <w:tab/>
      </w:r>
      <w:r>
        <w:rPr>
          <w:rFonts w:ascii="Verdana" w:hAnsi="Verdana"/>
          <w:sz w:val="22"/>
          <w:szCs w:val="22"/>
          <w:lang w:val="en-AU"/>
        </w:rPr>
        <w:tab/>
      </w:r>
      <w:r>
        <w:rPr>
          <w:rFonts w:ascii="Verdana" w:hAnsi="Verdana"/>
          <w:sz w:val="22"/>
          <w:szCs w:val="22"/>
          <w:lang w:val="en-AU"/>
        </w:rPr>
        <w:tab/>
      </w:r>
      <w:r>
        <w:rPr>
          <w:rFonts w:ascii="Verdana" w:hAnsi="Verdana"/>
          <w:sz w:val="22"/>
          <w:szCs w:val="22"/>
          <w:lang w:val="en-AU"/>
        </w:rPr>
        <w:tab/>
      </w:r>
    </w:p>
    <w:p w14:paraId="6654A731" w14:textId="77777777" w:rsidR="00A62C11" w:rsidRPr="000B79EC" w:rsidRDefault="00A62C11" w:rsidP="003356AE">
      <w:pPr>
        <w:tabs>
          <w:tab w:val="left" w:pos="4253"/>
        </w:tabs>
        <w:spacing w:line="240" w:lineRule="auto"/>
        <w:rPr>
          <w:b/>
          <w:bCs/>
        </w:rPr>
      </w:pPr>
      <w:r w:rsidRPr="000B79EC">
        <w:rPr>
          <w:b/>
          <w:bCs/>
        </w:rPr>
        <w:t>Nick Alexander</w:t>
      </w:r>
      <w:r w:rsidRPr="000B79EC">
        <w:rPr>
          <w:b/>
          <w:bCs/>
        </w:rPr>
        <w:tab/>
        <w:t xml:space="preserve">Ivan Balhatchet </w:t>
      </w:r>
    </w:p>
    <w:p w14:paraId="589F01BA" w14:textId="77777777" w:rsidR="00A62C11" w:rsidRPr="000B79EC" w:rsidRDefault="00A62C11" w:rsidP="003356AE">
      <w:pPr>
        <w:tabs>
          <w:tab w:val="left" w:pos="4253"/>
        </w:tabs>
        <w:spacing w:line="240" w:lineRule="auto"/>
        <w:rPr>
          <w:b/>
          <w:bCs/>
        </w:rPr>
      </w:pPr>
      <w:r w:rsidRPr="000B79EC">
        <w:rPr>
          <w:b/>
          <w:bCs/>
          <w:lang w:eastAsia="en-GB"/>
        </w:rPr>
        <w:t>Chief Finance Officer (s151)</w:t>
      </w:r>
      <w:r w:rsidRPr="000B79EC">
        <w:rPr>
          <w:b/>
          <w:bCs/>
          <w:lang w:eastAsia="en-GB"/>
        </w:rPr>
        <w:tab/>
      </w:r>
      <w:r w:rsidRPr="000B79EC">
        <w:rPr>
          <w:b/>
          <w:bCs/>
        </w:rPr>
        <w:t>Northamptonshire Chief Constable</w:t>
      </w:r>
    </w:p>
    <w:p w14:paraId="6712313B" w14:textId="77777777" w:rsidR="00A62C11" w:rsidRDefault="00A62C11" w:rsidP="003356AE">
      <w:pPr>
        <w:tabs>
          <w:tab w:val="left" w:pos="4253"/>
        </w:tabs>
        <w:spacing w:line="240" w:lineRule="auto"/>
      </w:pPr>
    </w:p>
    <w:p w14:paraId="13386650" w14:textId="032061D7" w:rsidR="001C7399" w:rsidRDefault="00A62C11" w:rsidP="003356AE">
      <w:pPr>
        <w:tabs>
          <w:tab w:val="left" w:pos="4253"/>
        </w:tabs>
        <w:spacing w:line="240" w:lineRule="auto"/>
      </w:pPr>
      <w:r w:rsidRPr="00837A71">
        <w:t>Date:</w:t>
      </w:r>
      <w:r w:rsidRPr="00837A71">
        <w:tab/>
        <w:t>Date:</w:t>
      </w:r>
      <w:r>
        <w:t xml:space="preserve"> </w:t>
      </w:r>
    </w:p>
    <w:p w14:paraId="3BC6B198" w14:textId="77777777" w:rsidR="00A62C11" w:rsidRPr="00A62C11" w:rsidRDefault="00A62C11" w:rsidP="003356AE">
      <w:pPr>
        <w:tabs>
          <w:tab w:val="left" w:pos="4253"/>
        </w:tabs>
        <w:spacing w:line="240" w:lineRule="auto"/>
      </w:pPr>
    </w:p>
    <w:p w14:paraId="75B9B5EB" w14:textId="77777777" w:rsidR="001C7399" w:rsidRPr="00FE4060" w:rsidRDefault="001C7399" w:rsidP="003356AE">
      <w:pPr>
        <w:pStyle w:val="Normal0"/>
        <w:rPr>
          <w:rFonts w:cs="Times New Roman"/>
          <w:highlight w:val="yellow"/>
        </w:rPr>
        <w:sectPr w:rsidR="001C7399" w:rsidRPr="00FE4060" w:rsidSect="00C60BA1">
          <w:type w:val="continuous"/>
          <w:pgSz w:w="11900" w:h="16840"/>
          <w:pgMar w:top="1418" w:right="1418" w:bottom="1418" w:left="1134" w:header="709" w:footer="0" w:gutter="0"/>
          <w:cols w:space="708"/>
          <w:docGrid w:linePitch="360"/>
        </w:sectPr>
      </w:pPr>
      <w:r>
        <w:rPr>
          <w:noProof/>
          <w:lang w:val="en-GB" w:eastAsia="en-GB"/>
        </w:rPr>
        <mc:AlternateContent>
          <mc:Choice Requires="wps">
            <w:drawing>
              <wp:anchor distT="0" distB="0" distL="114300" distR="114300" simplePos="0" relativeHeight="251658241" behindDoc="0" locked="0" layoutInCell="1" allowOverlap="1" wp14:anchorId="1BA9F807" wp14:editId="0C7F82FB">
                <wp:simplePos x="0" y="0"/>
                <wp:positionH relativeFrom="column">
                  <wp:posOffset>0</wp:posOffset>
                </wp:positionH>
                <wp:positionV relativeFrom="paragraph">
                  <wp:posOffset>0</wp:posOffset>
                </wp:positionV>
                <wp:extent cx="5659200" cy="0"/>
                <wp:effectExtent l="0" t="0" r="36830" b="19050"/>
                <wp:wrapNone/>
                <wp:docPr id="51" name="Straight Connector 51" descr="P173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5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8D8B3" id="Straight Connector 51" o:spid="_x0000_s1026" alt="P1731#y1"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4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" strokecolor="black [3200]" strokeweight=".5pt">
                <v:stroke joinstyle="miter"/>
              </v:line>
            </w:pict>
          </mc:Fallback>
        </mc:AlternateContent>
      </w:r>
    </w:p>
    <w:p w14:paraId="7084F4AD" w14:textId="77777777" w:rsidR="002522D4" w:rsidRPr="00E350DD" w:rsidRDefault="002522D4" w:rsidP="003356AE">
      <w:pPr>
        <w:pStyle w:val="ChapterHeading"/>
        <w:spacing w:line="240" w:lineRule="auto"/>
        <w:rPr>
          <w:lang w:val="pt-BR"/>
        </w:rPr>
      </w:pPr>
      <w:r w:rsidRPr="00653D20">
        <w:rPr>
          <w:rFonts w:ascii="Verdana" w:hAnsi="Verdana"/>
          <w:sz w:val="22"/>
          <w:szCs w:val="22"/>
          <w:highlight w:val="yellow"/>
          <w:lang w:val="en-AU"/>
        </w:rPr>
        <w:br w:type="page"/>
      </w:r>
      <w:bookmarkStart w:id="55" w:name="_Toc9272499"/>
      <w:bookmarkStart w:id="56" w:name="_Toc231975674"/>
      <w:r w:rsidRPr="00460A5D">
        <w:rPr>
          <w:lang w:val="pt-BR"/>
        </w:rPr>
        <w:lastRenderedPageBreak/>
        <w:t>Cash Flow Statement</w:t>
      </w:r>
      <w:bookmarkEnd w:id="55"/>
      <w:bookmarkEnd w:id="56"/>
    </w:p>
    <w:p w14:paraId="37AB77E0" w14:textId="77777777" w:rsidR="002522D4" w:rsidRPr="00E350DD" w:rsidRDefault="002522D4" w:rsidP="003356AE">
      <w:pPr>
        <w:spacing w:line="240" w:lineRule="auto"/>
        <w:rPr>
          <w:lang w:val="pt-BR"/>
        </w:rPr>
      </w:pPr>
    </w:p>
    <w:p w14:paraId="21E24B1C" w14:textId="49AF87E5" w:rsidR="00460A5D" w:rsidRPr="00A9574D" w:rsidRDefault="002522D4" w:rsidP="003356AE">
      <w:pPr>
        <w:spacing w:line="240" w:lineRule="auto"/>
      </w:pPr>
      <w:r w:rsidRPr="00E350DD">
        <w:rPr>
          <w:lang w:val="pt-BR"/>
        </w:rPr>
        <w:t xml:space="preserve">This statement shows a summary of the cash flowing in and out of the </w:t>
      </w:r>
      <w:r w:rsidR="006A5AA6" w:rsidRPr="00E350DD">
        <w:rPr>
          <w:lang w:val="pt-BR"/>
        </w:rPr>
        <w:t>OCC</w:t>
      </w:r>
      <w:r w:rsidRPr="00E350DD">
        <w:rPr>
          <w:lang w:val="pt-BR"/>
        </w:rPr>
        <w:t xml:space="preserve"> arising from transactions with third parties for revenue and capital purposes. </w:t>
      </w:r>
      <w:r w:rsidR="006A5AA6" w:rsidRPr="00E350DD">
        <w:rPr>
          <w:lang w:val="pt-BR"/>
        </w:rPr>
        <w:t xml:space="preserve"> </w:t>
      </w:r>
      <w:r w:rsidRPr="00E350DD">
        <w:rPr>
          <w:lang w:val="pt-BR"/>
        </w:rPr>
        <w:t>Cash is defined for this statement as cash in hand and deposits repayable on demand.</w:t>
      </w:r>
    </w:p>
    <w:p w14:paraId="171D5449" w14:textId="5D0CCCB3" w:rsidR="00DE7814" w:rsidRDefault="00DE7814" w:rsidP="003356AE">
      <w:pPr>
        <w:pStyle w:val="Normal0"/>
        <w:tabs>
          <w:tab w:val="left" w:pos="180"/>
        </w:tabs>
        <w:spacing w:after="160"/>
        <w:jc w:val="both"/>
      </w:pPr>
    </w:p>
    <w:tbl>
      <w:tblPr>
        <w:tblW w:w="8020" w:type="dxa"/>
        <w:tblLook w:val="04A0" w:firstRow="1" w:lastRow="0" w:firstColumn="1" w:lastColumn="0" w:noHBand="0" w:noVBand="1"/>
      </w:tblPr>
      <w:tblGrid>
        <w:gridCol w:w="1420"/>
        <w:gridCol w:w="5260"/>
        <w:gridCol w:w="1340"/>
      </w:tblGrid>
      <w:tr w:rsidR="004E2923" w:rsidRPr="004E2923" w14:paraId="719FCAE0" w14:textId="77777777" w:rsidTr="004E2923">
        <w:trPr>
          <w:trHeight w:val="290"/>
        </w:trPr>
        <w:tc>
          <w:tcPr>
            <w:tcW w:w="1420" w:type="dxa"/>
            <w:tcBorders>
              <w:top w:val="nil"/>
              <w:left w:val="nil"/>
              <w:bottom w:val="nil"/>
              <w:right w:val="nil"/>
            </w:tcBorders>
            <w:shd w:val="clear" w:color="000000" w:fill="000099"/>
            <w:vAlign w:val="bottom"/>
            <w:hideMark/>
          </w:tcPr>
          <w:p w14:paraId="52434F4D" w14:textId="77777777" w:rsidR="004E2923" w:rsidRPr="004E2923" w:rsidRDefault="004E2923" w:rsidP="003356AE">
            <w:pPr>
              <w:spacing w:after="0" w:line="240" w:lineRule="auto"/>
              <w:jc w:val="center"/>
              <w:rPr>
                <w:rFonts w:eastAsia="Times New Roman" w:cs="Calibri"/>
                <w:b/>
                <w:bCs/>
                <w:color w:val="FFFFFF"/>
                <w:szCs w:val="20"/>
                <w:lang w:eastAsia="en-GB"/>
              </w:rPr>
            </w:pPr>
            <w:r w:rsidRPr="004E2923">
              <w:rPr>
                <w:rFonts w:eastAsia="Times New Roman" w:cs="Calibri"/>
                <w:b/>
                <w:bCs/>
                <w:color w:val="FFFFFF"/>
                <w:szCs w:val="20"/>
                <w:lang w:eastAsia="en-GB"/>
              </w:rPr>
              <w:t>2024/25</w:t>
            </w:r>
          </w:p>
        </w:tc>
        <w:tc>
          <w:tcPr>
            <w:tcW w:w="5260" w:type="dxa"/>
            <w:tcBorders>
              <w:top w:val="nil"/>
              <w:left w:val="nil"/>
              <w:bottom w:val="nil"/>
              <w:right w:val="nil"/>
            </w:tcBorders>
            <w:shd w:val="clear" w:color="000000" w:fill="000099"/>
            <w:vAlign w:val="bottom"/>
            <w:hideMark/>
          </w:tcPr>
          <w:p w14:paraId="7B4622B9" w14:textId="77777777" w:rsidR="004E2923" w:rsidRPr="004E2923" w:rsidRDefault="004E2923" w:rsidP="003356AE">
            <w:pPr>
              <w:spacing w:after="0" w:line="240" w:lineRule="auto"/>
              <w:jc w:val="center"/>
              <w:rPr>
                <w:rFonts w:eastAsia="Times New Roman" w:cs="Calibri"/>
                <w:b/>
                <w:bCs/>
                <w:color w:val="FFFFFF"/>
                <w:szCs w:val="20"/>
                <w:lang w:eastAsia="en-GB"/>
              </w:rPr>
            </w:pPr>
            <w:r w:rsidRPr="004E2923">
              <w:rPr>
                <w:rFonts w:eastAsia="Times New Roman" w:cs="Calibri"/>
                <w:b/>
                <w:bCs/>
                <w:color w:val="FFFFFF"/>
                <w:szCs w:val="20"/>
                <w:lang w:eastAsia="en-GB"/>
              </w:rPr>
              <w:t xml:space="preserve"> </w:t>
            </w:r>
          </w:p>
        </w:tc>
        <w:tc>
          <w:tcPr>
            <w:tcW w:w="1340" w:type="dxa"/>
            <w:tcBorders>
              <w:top w:val="nil"/>
              <w:left w:val="nil"/>
              <w:bottom w:val="nil"/>
              <w:right w:val="nil"/>
            </w:tcBorders>
            <w:shd w:val="clear" w:color="000000" w:fill="000099"/>
            <w:vAlign w:val="bottom"/>
            <w:hideMark/>
          </w:tcPr>
          <w:p w14:paraId="4CAF06AC" w14:textId="77777777" w:rsidR="004E2923" w:rsidRPr="004E2923" w:rsidRDefault="004E2923" w:rsidP="003356AE">
            <w:pPr>
              <w:spacing w:after="0" w:line="240" w:lineRule="auto"/>
              <w:jc w:val="center"/>
              <w:rPr>
                <w:rFonts w:eastAsia="Times New Roman" w:cs="Calibri"/>
                <w:b/>
                <w:bCs/>
                <w:color w:val="FFFFFF"/>
                <w:szCs w:val="20"/>
                <w:lang w:eastAsia="en-GB"/>
              </w:rPr>
            </w:pPr>
            <w:r w:rsidRPr="004E2923">
              <w:rPr>
                <w:rFonts w:eastAsia="Times New Roman" w:cs="Calibri"/>
                <w:b/>
                <w:bCs/>
                <w:color w:val="FFFFFF"/>
                <w:szCs w:val="20"/>
                <w:lang w:eastAsia="en-GB"/>
              </w:rPr>
              <w:t>2025/26</w:t>
            </w:r>
          </w:p>
        </w:tc>
      </w:tr>
      <w:tr w:rsidR="004E2923" w:rsidRPr="004E2923" w14:paraId="3AC8727D" w14:textId="77777777" w:rsidTr="004E2923">
        <w:trPr>
          <w:trHeight w:val="290"/>
        </w:trPr>
        <w:tc>
          <w:tcPr>
            <w:tcW w:w="1420" w:type="dxa"/>
            <w:tcBorders>
              <w:top w:val="nil"/>
              <w:left w:val="nil"/>
              <w:bottom w:val="nil"/>
              <w:right w:val="nil"/>
            </w:tcBorders>
            <w:shd w:val="clear" w:color="000000" w:fill="000099"/>
            <w:vAlign w:val="bottom"/>
            <w:hideMark/>
          </w:tcPr>
          <w:p w14:paraId="1A36DDC7" w14:textId="77777777" w:rsidR="004E2923" w:rsidRPr="004E2923" w:rsidRDefault="004E2923" w:rsidP="003356AE">
            <w:pPr>
              <w:spacing w:after="0" w:line="240" w:lineRule="auto"/>
              <w:jc w:val="center"/>
              <w:rPr>
                <w:rFonts w:eastAsia="Times New Roman" w:cs="Calibri"/>
                <w:b/>
                <w:bCs/>
                <w:color w:val="FFFFFF"/>
                <w:szCs w:val="20"/>
                <w:lang w:eastAsia="en-GB"/>
              </w:rPr>
            </w:pPr>
            <w:r w:rsidRPr="004E2923">
              <w:rPr>
                <w:rFonts w:eastAsia="Times New Roman" w:cs="Calibri"/>
                <w:b/>
                <w:bCs/>
                <w:color w:val="FFFFFF"/>
                <w:szCs w:val="20"/>
                <w:lang w:eastAsia="en-GB"/>
              </w:rPr>
              <w:t>£000</w:t>
            </w:r>
          </w:p>
        </w:tc>
        <w:tc>
          <w:tcPr>
            <w:tcW w:w="5260" w:type="dxa"/>
            <w:tcBorders>
              <w:top w:val="nil"/>
              <w:left w:val="nil"/>
              <w:bottom w:val="nil"/>
              <w:right w:val="nil"/>
            </w:tcBorders>
            <w:shd w:val="clear" w:color="000000" w:fill="000099"/>
            <w:vAlign w:val="bottom"/>
            <w:hideMark/>
          </w:tcPr>
          <w:p w14:paraId="45E6CC12" w14:textId="77777777" w:rsidR="004E2923" w:rsidRPr="004E2923" w:rsidRDefault="004E2923" w:rsidP="003356AE">
            <w:pPr>
              <w:spacing w:after="0" w:line="240" w:lineRule="auto"/>
              <w:jc w:val="center"/>
              <w:rPr>
                <w:rFonts w:eastAsia="Times New Roman" w:cs="Calibri"/>
                <w:b/>
                <w:bCs/>
                <w:color w:val="FFFFFF"/>
                <w:szCs w:val="20"/>
                <w:lang w:eastAsia="en-GB"/>
              </w:rPr>
            </w:pPr>
            <w:r w:rsidRPr="004E2923">
              <w:rPr>
                <w:rFonts w:eastAsia="Times New Roman" w:cs="Calibri"/>
                <w:b/>
                <w:bCs/>
                <w:color w:val="FFFFFF"/>
                <w:szCs w:val="20"/>
                <w:lang w:eastAsia="en-GB"/>
              </w:rPr>
              <w:t> </w:t>
            </w:r>
          </w:p>
        </w:tc>
        <w:tc>
          <w:tcPr>
            <w:tcW w:w="1340" w:type="dxa"/>
            <w:tcBorders>
              <w:top w:val="nil"/>
              <w:left w:val="nil"/>
              <w:bottom w:val="nil"/>
              <w:right w:val="nil"/>
            </w:tcBorders>
            <w:shd w:val="clear" w:color="000000" w:fill="000099"/>
            <w:vAlign w:val="bottom"/>
            <w:hideMark/>
          </w:tcPr>
          <w:p w14:paraId="422FB1E5" w14:textId="77777777" w:rsidR="004E2923" w:rsidRPr="004E2923" w:rsidRDefault="004E2923" w:rsidP="003356AE">
            <w:pPr>
              <w:spacing w:after="0" w:line="240" w:lineRule="auto"/>
              <w:jc w:val="center"/>
              <w:rPr>
                <w:rFonts w:eastAsia="Times New Roman" w:cs="Calibri"/>
                <w:b/>
                <w:bCs/>
                <w:color w:val="FFFFFF"/>
                <w:szCs w:val="20"/>
                <w:lang w:eastAsia="en-GB"/>
              </w:rPr>
            </w:pPr>
            <w:r w:rsidRPr="004E2923">
              <w:rPr>
                <w:rFonts w:eastAsia="Times New Roman" w:cs="Calibri"/>
                <w:b/>
                <w:bCs/>
                <w:color w:val="FFFFFF"/>
                <w:szCs w:val="20"/>
                <w:lang w:eastAsia="en-GB"/>
              </w:rPr>
              <w:t>£000</w:t>
            </w:r>
          </w:p>
        </w:tc>
      </w:tr>
      <w:tr w:rsidR="004E2923" w:rsidRPr="004E2923" w14:paraId="20CB43ED" w14:textId="77777777" w:rsidTr="004E2923">
        <w:trPr>
          <w:trHeight w:val="290"/>
        </w:trPr>
        <w:tc>
          <w:tcPr>
            <w:tcW w:w="1420" w:type="dxa"/>
            <w:tcBorders>
              <w:top w:val="nil"/>
              <w:left w:val="nil"/>
              <w:bottom w:val="nil"/>
              <w:right w:val="nil"/>
            </w:tcBorders>
            <w:shd w:val="clear" w:color="000000" w:fill="FFFFFF"/>
            <w:noWrap/>
            <w:vAlign w:val="bottom"/>
            <w:hideMark/>
          </w:tcPr>
          <w:p w14:paraId="36DCE626"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nil"/>
              <w:right w:val="nil"/>
            </w:tcBorders>
            <w:shd w:val="clear" w:color="000000" w:fill="FFFFFF"/>
            <w:noWrap/>
            <w:vAlign w:val="bottom"/>
            <w:hideMark/>
          </w:tcPr>
          <w:p w14:paraId="5376173F"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1340" w:type="dxa"/>
            <w:tcBorders>
              <w:top w:val="nil"/>
              <w:left w:val="nil"/>
              <w:bottom w:val="nil"/>
              <w:right w:val="nil"/>
            </w:tcBorders>
            <w:shd w:val="clear" w:color="000000" w:fill="CCECFF"/>
            <w:vAlign w:val="bottom"/>
            <w:hideMark/>
          </w:tcPr>
          <w:p w14:paraId="7466A4C0"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r>
      <w:tr w:rsidR="004E2923" w:rsidRPr="004E2923" w14:paraId="369EE4B2" w14:textId="77777777" w:rsidTr="004E2923">
        <w:trPr>
          <w:trHeight w:val="290"/>
        </w:trPr>
        <w:tc>
          <w:tcPr>
            <w:tcW w:w="1420" w:type="dxa"/>
            <w:tcBorders>
              <w:top w:val="nil"/>
              <w:left w:val="nil"/>
              <w:bottom w:val="nil"/>
              <w:right w:val="nil"/>
            </w:tcBorders>
            <w:shd w:val="clear" w:color="000000" w:fill="FFFFFF"/>
            <w:noWrap/>
            <w:vAlign w:val="center"/>
            <w:hideMark/>
          </w:tcPr>
          <w:p w14:paraId="30F99D69"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18,327</w:t>
            </w:r>
          </w:p>
        </w:tc>
        <w:tc>
          <w:tcPr>
            <w:tcW w:w="5260" w:type="dxa"/>
            <w:tcBorders>
              <w:top w:val="nil"/>
              <w:left w:val="nil"/>
              <w:bottom w:val="nil"/>
              <w:right w:val="nil"/>
            </w:tcBorders>
            <w:shd w:val="clear" w:color="000000" w:fill="FFFFFF"/>
            <w:vAlign w:val="center"/>
            <w:hideMark/>
          </w:tcPr>
          <w:p w14:paraId="73189577" w14:textId="77777777" w:rsidR="004E2923" w:rsidRPr="004E2923" w:rsidRDefault="004E2923" w:rsidP="003356AE">
            <w:pPr>
              <w:spacing w:after="0" w:line="240" w:lineRule="auto"/>
              <w:jc w:val="left"/>
              <w:rPr>
                <w:rFonts w:eastAsia="Times New Roman" w:cs="Calibri"/>
                <w:b/>
                <w:bCs/>
                <w:color w:val="auto"/>
                <w:szCs w:val="20"/>
                <w:lang w:eastAsia="en-GB"/>
              </w:rPr>
            </w:pPr>
            <w:r w:rsidRPr="004E2923">
              <w:rPr>
                <w:rFonts w:eastAsia="Times New Roman" w:cs="Calibri"/>
                <w:b/>
                <w:bCs/>
                <w:color w:val="auto"/>
                <w:szCs w:val="20"/>
                <w:lang w:eastAsia="en-GB"/>
              </w:rPr>
              <w:t>Net (Surplus)/Deficit on Provision of Services</w:t>
            </w:r>
          </w:p>
        </w:tc>
        <w:tc>
          <w:tcPr>
            <w:tcW w:w="1340" w:type="dxa"/>
            <w:tcBorders>
              <w:top w:val="nil"/>
              <w:left w:val="nil"/>
              <w:bottom w:val="nil"/>
              <w:right w:val="nil"/>
            </w:tcBorders>
            <w:shd w:val="clear" w:color="000000" w:fill="CCECFF"/>
            <w:vAlign w:val="center"/>
            <w:hideMark/>
          </w:tcPr>
          <w:p w14:paraId="112AEBA5"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19,779</w:t>
            </w:r>
          </w:p>
        </w:tc>
      </w:tr>
      <w:tr w:rsidR="004E2923" w:rsidRPr="004E2923" w14:paraId="4AA8D29C" w14:textId="77777777" w:rsidTr="004E2923">
        <w:trPr>
          <w:trHeight w:val="290"/>
        </w:trPr>
        <w:tc>
          <w:tcPr>
            <w:tcW w:w="1420" w:type="dxa"/>
            <w:tcBorders>
              <w:top w:val="nil"/>
              <w:left w:val="nil"/>
              <w:bottom w:val="nil"/>
              <w:right w:val="nil"/>
            </w:tcBorders>
            <w:shd w:val="clear" w:color="000000" w:fill="FFFFFF"/>
            <w:noWrap/>
            <w:vAlign w:val="center"/>
            <w:hideMark/>
          </w:tcPr>
          <w:p w14:paraId="08B84CA5"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nil"/>
              <w:right w:val="nil"/>
            </w:tcBorders>
            <w:shd w:val="clear" w:color="000000" w:fill="FFFFFF"/>
            <w:vAlign w:val="center"/>
            <w:hideMark/>
          </w:tcPr>
          <w:p w14:paraId="21611076" w14:textId="77777777" w:rsidR="004E2923" w:rsidRPr="004E2923" w:rsidRDefault="004E2923" w:rsidP="003356AE">
            <w:pPr>
              <w:spacing w:after="0" w:line="240" w:lineRule="auto"/>
              <w:jc w:val="left"/>
              <w:rPr>
                <w:rFonts w:eastAsia="Times New Roman" w:cs="Calibri"/>
                <w:b/>
                <w:bCs/>
                <w:color w:val="auto"/>
                <w:szCs w:val="20"/>
                <w:lang w:eastAsia="en-GB"/>
              </w:rPr>
            </w:pPr>
            <w:r w:rsidRPr="004E2923">
              <w:rPr>
                <w:rFonts w:eastAsia="Times New Roman" w:cs="Calibri"/>
                <w:b/>
                <w:bCs/>
                <w:color w:val="auto"/>
                <w:szCs w:val="20"/>
                <w:lang w:eastAsia="en-GB"/>
              </w:rPr>
              <w:t> </w:t>
            </w:r>
          </w:p>
        </w:tc>
        <w:tc>
          <w:tcPr>
            <w:tcW w:w="1340" w:type="dxa"/>
            <w:tcBorders>
              <w:top w:val="nil"/>
              <w:left w:val="nil"/>
              <w:bottom w:val="nil"/>
              <w:right w:val="nil"/>
            </w:tcBorders>
            <w:shd w:val="clear" w:color="000000" w:fill="CCECFF"/>
            <w:vAlign w:val="center"/>
            <w:hideMark/>
          </w:tcPr>
          <w:p w14:paraId="23C15363"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r>
      <w:tr w:rsidR="004E2923" w:rsidRPr="004E2923" w14:paraId="20297237" w14:textId="77777777" w:rsidTr="004E2923">
        <w:trPr>
          <w:trHeight w:val="763"/>
        </w:trPr>
        <w:tc>
          <w:tcPr>
            <w:tcW w:w="1420" w:type="dxa"/>
            <w:tcBorders>
              <w:top w:val="nil"/>
              <w:left w:val="nil"/>
              <w:bottom w:val="nil"/>
              <w:right w:val="nil"/>
            </w:tcBorders>
            <w:shd w:val="clear" w:color="000000" w:fill="FFFFFF"/>
            <w:noWrap/>
            <w:vAlign w:val="center"/>
            <w:hideMark/>
          </w:tcPr>
          <w:p w14:paraId="49A475C0"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(18,327)</w:t>
            </w:r>
          </w:p>
        </w:tc>
        <w:tc>
          <w:tcPr>
            <w:tcW w:w="5260" w:type="dxa"/>
            <w:tcBorders>
              <w:top w:val="nil"/>
              <w:left w:val="nil"/>
              <w:bottom w:val="nil"/>
              <w:right w:val="nil"/>
            </w:tcBorders>
            <w:shd w:val="clear" w:color="000000" w:fill="FFFFFF"/>
            <w:vAlign w:val="center"/>
            <w:hideMark/>
          </w:tcPr>
          <w:p w14:paraId="454620BD" w14:textId="709DFA3E"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xml:space="preserve">Adjustments to net surplus/deficit on the provision of services for </w:t>
            </w:r>
            <w:r w:rsidR="006E4348" w:rsidRPr="004E2923">
              <w:rPr>
                <w:rFonts w:eastAsia="Times New Roman" w:cs="Calibri"/>
                <w:color w:val="auto"/>
                <w:szCs w:val="20"/>
                <w:lang w:eastAsia="en-GB"/>
              </w:rPr>
              <w:t>non-cash</w:t>
            </w:r>
            <w:r w:rsidRPr="004E2923">
              <w:rPr>
                <w:rFonts w:eastAsia="Times New Roman" w:cs="Calibri"/>
                <w:color w:val="auto"/>
                <w:szCs w:val="20"/>
                <w:lang w:eastAsia="en-GB"/>
              </w:rPr>
              <w:t xml:space="preserve"> movements (Note 34)</w:t>
            </w:r>
          </w:p>
        </w:tc>
        <w:tc>
          <w:tcPr>
            <w:tcW w:w="1340" w:type="dxa"/>
            <w:tcBorders>
              <w:top w:val="nil"/>
              <w:left w:val="nil"/>
              <w:bottom w:val="nil"/>
              <w:right w:val="nil"/>
            </w:tcBorders>
            <w:shd w:val="clear" w:color="000000" w:fill="CCECFF"/>
            <w:vAlign w:val="center"/>
            <w:hideMark/>
          </w:tcPr>
          <w:p w14:paraId="2E62D245"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000000"/>
                <w:szCs w:val="20"/>
                <w:lang w:eastAsia="en-GB"/>
              </w:rPr>
              <w:t>(19,779)</w:t>
            </w:r>
          </w:p>
        </w:tc>
      </w:tr>
      <w:tr w:rsidR="004E2923" w:rsidRPr="004E2923" w14:paraId="22C64740" w14:textId="77777777" w:rsidTr="004E2923">
        <w:trPr>
          <w:trHeight w:val="870"/>
        </w:trPr>
        <w:tc>
          <w:tcPr>
            <w:tcW w:w="1420" w:type="dxa"/>
            <w:tcBorders>
              <w:top w:val="nil"/>
              <w:left w:val="nil"/>
              <w:bottom w:val="nil"/>
              <w:right w:val="nil"/>
            </w:tcBorders>
            <w:shd w:val="clear" w:color="000000" w:fill="FFFFFF"/>
            <w:noWrap/>
            <w:vAlign w:val="center"/>
            <w:hideMark/>
          </w:tcPr>
          <w:p w14:paraId="710F76F4"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c>
          <w:tcPr>
            <w:tcW w:w="5260" w:type="dxa"/>
            <w:tcBorders>
              <w:top w:val="nil"/>
              <w:left w:val="nil"/>
              <w:bottom w:val="nil"/>
              <w:right w:val="nil"/>
            </w:tcBorders>
            <w:shd w:val="clear" w:color="000000" w:fill="FFFFFF"/>
            <w:vAlign w:val="center"/>
            <w:hideMark/>
          </w:tcPr>
          <w:p w14:paraId="795359B6"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Adjustments for items included in the net surplus/deficit on the provision of services that are investing and financing activities (Note 34)</w:t>
            </w:r>
          </w:p>
        </w:tc>
        <w:tc>
          <w:tcPr>
            <w:tcW w:w="1340" w:type="dxa"/>
            <w:tcBorders>
              <w:top w:val="nil"/>
              <w:left w:val="nil"/>
              <w:bottom w:val="nil"/>
              <w:right w:val="nil"/>
            </w:tcBorders>
            <w:shd w:val="clear" w:color="000000" w:fill="CCECFF"/>
            <w:vAlign w:val="center"/>
            <w:hideMark/>
          </w:tcPr>
          <w:p w14:paraId="0DA58AB0"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r>
      <w:tr w:rsidR="004E2923" w:rsidRPr="004E2923" w14:paraId="3F6BCA0F" w14:textId="77777777" w:rsidTr="004E2923">
        <w:trPr>
          <w:trHeight w:val="290"/>
        </w:trPr>
        <w:tc>
          <w:tcPr>
            <w:tcW w:w="1420" w:type="dxa"/>
            <w:tcBorders>
              <w:top w:val="nil"/>
              <w:left w:val="nil"/>
              <w:bottom w:val="single" w:sz="4" w:space="0" w:color="auto"/>
              <w:right w:val="nil"/>
            </w:tcBorders>
            <w:shd w:val="clear" w:color="000000" w:fill="FFFFFF"/>
            <w:noWrap/>
            <w:vAlign w:val="center"/>
            <w:hideMark/>
          </w:tcPr>
          <w:p w14:paraId="2BA81667"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single" w:sz="4" w:space="0" w:color="auto"/>
              <w:right w:val="nil"/>
            </w:tcBorders>
            <w:shd w:val="clear" w:color="000000" w:fill="FFFFFF"/>
            <w:vAlign w:val="center"/>
            <w:hideMark/>
          </w:tcPr>
          <w:p w14:paraId="6A703113"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1340" w:type="dxa"/>
            <w:tcBorders>
              <w:top w:val="nil"/>
              <w:left w:val="nil"/>
              <w:bottom w:val="single" w:sz="4" w:space="0" w:color="auto"/>
              <w:right w:val="nil"/>
            </w:tcBorders>
            <w:shd w:val="clear" w:color="000000" w:fill="CCECFF"/>
            <w:vAlign w:val="center"/>
            <w:hideMark/>
          </w:tcPr>
          <w:p w14:paraId="6D17A6ED"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r>
      <w:tr w:rsidR="004E2923" w:rsidRPr="004E2923" w14:paraId="1B47C02D" w14:textId="77777777" w:rsidTr="004E2923">
        <w:trPr>
          <w:trHeight w:val="290"/>
        </w:trPr>
        <w:tc>
          <w:tcPr>
            <w:tcW w:w="1420" w:type="dxa"/>
            <w:tcBorders>
              <w:top w:val="nil"/>
              <w:left w:val="nil"/>
              <w:bottom w:val="nil"/>
              <w:right w:val="nil"/>
            </w:tcBorders>
            <w:shd w:val="clear" w:color="000000" w:fill="FFFFFF"/>
            <w:noWrap/>
            <w:vAlign w:val="center"/>
            <w:hideMark/>
          </w:tcPr>
          <w:p w14:paraId="253373F2"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w:t>
            </w:r>
          </w:p>
        </w:tc>
        <w:tc>
          <w:tcPr>
            <w:tcW w:w="5260" w:type="dxa"/>
            <w:tcBorders>
              <w:top w:val="nil"/>
              <w:left w:val="nil"/>
              <w:bottom w:val="nil"/>
              <w:right w:val="nil"/>
            </w:tcBorders>
            <w:shd w:val="clear" w:color="000000" w:fill="FFFFFF"/>
            <w:vAlign w:val="center"/>
            <w:hideMark/>
          </w:tcPr>
          <w:p w14:paraId="41F3E43B" w14:textId="77777777" w:rsidR="004E2923" w:rsidRPr="004E2923" w:rsidRDefault="004E2923" w:rsidP="003356AE">
            <w:pPr>
              <w:spacing w:after="0" w:line="240" w:lineRule="auto"/>
              <w:jc w:val="left"/>
              <w:rPr>
                <w:rFonts w:eastAsia="Times New Roman" w:cs="Calibri"/>
                <w:b/>
                <w:bCs/>
                <w:color w:val="auto"/>
                <w:szCs w:val="20"/>
                <w:lang w:eastAsia="en-GB"/>
              </w:rPr>
            </w:pPr>
            <w:r w:rsidRPr="004E2923">
              <w:rPr>
                <w:rFonts w:eastAsia="Times New Roman" w:cs="Calibri"/>
                <w:b/>
                <w:bCs/>
                <w:color w:val="auto"/>
                <w:szCs w:val="20"/>
                <w:lang w:eastAsia="en-GB"/>
              </w:rPr>
              <w:t>Net cash flows from Operating Activities</w:t>
            </w:r>
          </w:p>
        </w:tc>
        <w:tc>
          <w:tcPr>
            <w:tcW w:w="1340" w:type="dxa"/>
            <w:tcBorders>
              <w:top w:val="nil"/>
              <w:left w:val="nil"/>
              <w:bottom w:val="nil"/>
              <w:right w:val="nil"/>
            </w:tcBorders>
            <w:shd w:val="clear" w:color="000000" w:fill="CCECFF"/>
            <w:vAlign w:val="center"/>
            <w:hideMark/>
          </w:tcPr>
          <w:p w14:paraId="448772B1"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w:t>
            </w:r>
          </w:p>
        </w:tc>
      </w:tr>
      <w:tr w:rsidR="004E2923" w:rsidRPr="004E2923" w14:paraId="0D34EE17" w14:textId="77777777" w:rsidTr="004E2923">
        <w:trPr>
          <w:trHeight w:val="290"/>
        </w:trPr>
        <w:tc>
          <w:tcPr>
            <w:tcW w:w="1420" w:type="dxa"/>
            <w:tcBorders>
              <w:top w:val="nil"/>
              <w:left w:val="nil"/>
              <w:bottom w:val="nil"/>
              <w:right w:val="nil"/>
            </w:tcBorders>
            <w:shd w:val="clear" w:color="000000" w:fill="FFFFFF"/>
            <w:noWrap/>
            <w:vAlign w:val="center"/>
            <w:hideMark/>
          </w:tcPr>
          <w:p w14:paraId="2AA449F4"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nil"/>
              <w:right w:val="nil"/>
            </w:tcBorders>
            <w:shd w:val="clear" w:color="000000" w:fill="FFFFFF"/>
            <w:vAlign w:val="center"/>
            <w:hideMark/>
          </w:tcPr>
          <w:p w14:paraId="7BB5D3AE"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1340" w:type="dxa"/>
            <w:tcBorders>
              <w:top w:val="nil"/>
              <w:left w:val="nil"/>
              <w:bottom w:val="nil"/>
              <w:right w:val="nil"/>
            </w:tcBorders>
            <w:shd w:val="clear" w:color="000000" w:fill="CCECFF"/>
            <w:vAlign w:val="center"/>
            <w:hideMark/>
          </w:tcPr>
          <w:p w14:paraId="0986A357"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r>
      <w:tr w:rsidR="004E2923" w:rsidRPr="004E2923" w14:paraId="29A0B953" w14:textId="77777777" w:rsidTr="004E2923">
        <w:trPr>
          <w:trHeight w:val="290"/>
        </w:trPr>
        <w:tc>
          <w:tcPr>
            <w:tcW w:w="1420" w:type="dxa"/>
            <w:tcBorders>
              <w:top w:val="nil"/>
              <w:left w:val="nil"/>
              <w:bottom w:val="nil"/>
              <w:right w:val="nil"/>
            </w:tcBorders>
            <w:shd w:val="clear" w:color="000000" w:fill="FFFFFF"/>
            <w:noWrap/>
            <w:vAlign w:val="center"/>
            <w:hideMark/>
          </w:tcPr>
          <w:p w14:paraId="429EA5A6"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c>
          <w:tcPr>
            <w:tcW w:w="5260" w:type="dxa"/>
            <w:tcBorders>
              <w:top w:val="nil"/>
              <w:left w:val="nil"/>
              <w:bottom w:val="nil"/>
              <w:right w:val="nil"/>
            </w:tcBorders>
            <w:shd w:val="clear" w:color="000000" w:fill="FFFFFF"/>
            <w:vAlign w:val="center"/>
            <w:hideMark/>
          </w:tcPr>
          <w:p w14:paraId="5B459B1C"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Investing Activities (Note 35)</w:t>
            </w:r>
          </w:p>
        </w:tc>
        <w:tc>
          <w:tcPr>
            <w:tcW w:w="1340" w:type="dxa"/>
            <w:tcBorders>
              <w:top w:val="nil"/>
              <w:left w:val="nil"/>
              <w:bottom w:val="nil"/>
              <w:right w:val="nil"/>
            </w:tcBorders>
            <w:shd w:val="clear" w:color="000000" w:fill="CCECFF"/>
            <w:vAlign w:val="center"/>
            <w:hideMark/>
          </w:tcPr>
          <w:p w14:paraId="185C57CB"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r>
      <w:tr w:rsidR="004E2923" w:rsidRPr="004E2923" w14:paraId="338F2DCE" w14:textId="77777777" w:rsidTr="004E2923">
        <w:trPr>
          <w:trHeight w:val="290"/>
        </w:trPr>
        <w:tc>
          <w:tcPr>
            <w:tcW w:w="1420" w:type="dxa"/>
            <w:tcBorders>
              <w:top w:val="nil"/>
              <w:left w:val="nil"/>
              <w:bottom w:val="nil"/>
              <w:right w:val="nil"/>
            </w:tcBorders>
            <w:shd w:val="clear" w:color="000000" w:fill="FFFFFF"/>
            <w:noWrap/>
            <w:vAlign w:val="center"/>
            <w:hideMark/>
          </w:tcPr>
          <w:p w14:paraId="15F26FEF"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nil"/>
              <w:right w:val="nil"/>
            </w:tcBorders>
            <w:shd w:val="clear" w:color="000000" w:fill="FFFFFF"/>
            <w:vAlign w:val="center"/>
            <w:hideMark/>
          </w:tcPr>
          <w:p w14:paraId="10BCE1F1"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1340" w:type="dxa"/>
            <w:tcBorders>
              <w:top w:val="nil"/>
              <w:left w:val="nil"/>
              <w:bottom w:val="nil"/>
              <w:right w:val="nil"/>
            </w:tcBorders>
            <w:shd w:val="clear" w:color="000000" w:fill="CCECFF"/>
            <w:vAlign w:val="center"/>
            <w:hideMark/>
          </w:tcPr>
          <w:p w14:paraId="3934A448"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r>
      <w:tr w:rsidR="004E2923" w:rsidRPr="004E2923" w14:paraId="39B634B3" w14:textId="77777777" w:rsidTr="004E2923">
        <w:trPr>
          <w:trHeight w:val="290"/>
        </w:trPr>
        <w:tc>
          <w:tcPr>
            <w:tcW w:w="1420" w:type="dxa"/>
            <w:tcBorders>
              <w:top w:val="nil"/>
              <w:left w:val="nil"/>
              <w:bottom w:val="nil"/>
              <w:right w:val="nil"/>
            </w:tcBorders>
            <w:shd w:val="clear" w:color="000000" w:fill="FFFFFF"/>
            <w:noWrap/>
            <w:vAlign w:val="center"/>
            <w:hideMark/>
          </w:tcPr>
          <w:p w14:paraId="16DD14E6"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c>
          <w:tcPr>
            <w:tcW w:w="5260" w:type="dxa"/>
            <w:tcBorders>
              <w:top w:val="nil"/>
              <w:left w:val="nil"/>
              <w:bottom w:val="nil"/>
              <w:right w:val="nil"/>
            </w:tcBorders>
            <w:shd w:val="clear" w:color="000000" w:fill="FFFFFF"/>
            <w:vAlign w:val="center"/>
            <w:hideMark/>
          </w:tcPr>
          <w:p w14:paraId="3A7785F6"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Financing Activities</w:t>
            </w:r>
          </w:p>
        </w:tc>
        <w:tc>
          <w:tcPr>
            <w:tcW w:w="1340" w:type="dxa"/>
            <w:tcBorders>
              <w:top w:val="nil"/>
              <w:left w:val="nil"/>
              <w:bottom w:val="nil"/>
              <w:right w:val="nil"/>
            </w:tcBorders>
            <w:shd w:val="clear" w:color="000000" w:fill="CCECFF"/>
            <w:vAlign w:val="center"/>
            <w:hideMark/>
          </w:tcPr>
          <w:p w14:paraId="165AF002"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r>
      <w:tr w:rsidR="004E2923" w:rsidRPr="004E2923" w14:paraId="19A90F4B" w14:textId="77777777" w:rsidTr="004E2923">
        <w:trPr>
          <w:trHeight w:val="290"/>
        </w:trPr>
        <w:tc>
          <w:tcPr>
            <w:tcW w:w="1420" w:type="dxa"/>
            <w:tcBorders>
              <w:top w:val="nil"/>
              <w:left w:val="nil"/>
              <w:bottom w:val="single" w:sz="4" w:space="0" w:color="auto"/>
              <w:right w:val="nil"/>
            </w:tcBorders>
            <w:shd w:val="clear" w:color="000000" w:fill="FFFFFF"/>
            <w:noWrap/>
            <w:vAlign w:val="center"/>
            <w:hideMark/>
          </w:tcPr>
          <w:p w14:paraId="1E1084CE"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single" w:sz="4" w:space="0" w:color="auto"/>
              <w:right w:val="nil"/>
            </w:tcBorders>
            <w:shd w:val="clear" w:color="000000" w:fill="FFFFFF"/>
            <w:vAlign w:val="center"/>
            <w:hideMark/>
          </w:tcPr>
          <w:p w14:paraId="7AC39B23"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1340" w:type="dxa"/>
            <w:tcBorders>
              <w:top w:val="nil"/>
              <w:left w:val="nil"/>
              <w:bottom w:val="single" w:sz="4" w:space="0" w:color="auto"/>
              <w:right w:val="nil"/>
            </w:tcBorders>
            <w:shd w:val="clear" w:color="000000" w:fill="CCECFF"/>
            <w:vAlign w:val="center"/>
            <w:hideMark/>
          </w:tcPr>
          <w:p w14:paraId="3D2398C8" w14:textId="77777777" w:rsidR="004E2923" w:rsidRPr="004E2923" w:rsidRDefault="004E2923" w:rsidP="003356AE">
            <w:pPr>
              <w:spacing w:after="0" w:line="240" w:lineRule="auto"/>
              <w:jc w:val="left"/>
              <w:rPr>
                <w:rFonts w:eastAsia="Times New Roman" w:cs="Calibri"/>
                <w:b/>
                <w:bCs/>
                <w:color w:val="auto"/>
                <w:szCs w:val="20"/>
                <w:lang w:eastAsia="en-GB"/>
              </w:rPr>
            </w:pPr>
            <w:r w:rsidRPr="004E2923">
              <w:rPr>
                <w:rFonts w:eastAsia="Times New Roman" w:cs="Calibri"/>
                <w:b/>
                <w:bCs/>
                <w:color w:val="auto"/>
                <w:szCs w:val="20"/>
                <w:lang w:eastAsia="en-GB"/>
              </w:rPr>
              <w:t> </w:t>
            </w:r>
          </w:p>
        </w:tc>
      </w:tr>
      <w:tr w:rsidR="004E2923" w:rsidRPr="004E2923" w14:paraId="3624D100" w14:textId="77777777" w:rsidTr="004E2923">
        <w:trPr>
          <w:trHeight w:val="290"/>
        </w:trPr>
        <w:tc>
          <w:tcPr>
            <w:tcW w:w="1420" w:type="dxa"/>
            <w:tcBorders>
              <w:top w:val="nil"/>
              <w:left w:val="nil"/>
              <w:bottom w:val="nil"/>
              <w:right w:val="nil"/>
            </w:tcBorders>
            <w:shd w:val="clear" w:color="000000" w:fill="FFFFFF"/>
            <w:noWrap/>
            <w:vAlign w:val="center"/>
            <w:hideMark/>
          </w:tcPr>
          <w:p w14:paraId="05BC7389"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w:t>
            </w:r>
          </w:p>
        </w:tc>
        <w:tc>
          <w:tcPr>
            <w:tcW w:w="5260" w:type="dxa"/>
            <w:tcBorders>
              <w:top w:val="nil"/>
              <w:left w:val="nil"/>
              <w:bottom w:val="nil"/>
              <w:right w:val="nil"/>
            </w:tcBorders>
            <w:shd w:val="clear" w:color="000000" w:fill="FFFFFF"/>
            <w:vAlign w:val="center"/>
            <w:hideMark/>
          </w:tcPr>
          <w:p w14:paraId="29A90698" w14:textId="77777777" w:rsidR="004E2923" w:rsidRPr="004E2923" w:rsidRDefault="004E2923" w:rsidP="003356AE">
            <w:pPr>
              <w:spacing w:after="0" w:line="240" w:lineRule="auto"/>
              <w:jc w:val="left"/>
              <w:rPr>
                <w:rFonts w:eastAsia="Times New Roman" w:cs="Calibri"/>
                <w:b/>
                <w:bCs/>
                <w:color w:val="auto"/>
                <w:szCs w:val="20"/>
                <w:lang w:eastAsia="en-GB"/>
              </w:rPr>
            </w:pPr>
            <w:r w:rsidRPr="004E2923">
              <w:rPr>
                <w:rFonts w:eastAsia="Times New Roman" w:cs="Calibri"/>
                <w:b/>
                <w:bCs/>
                <w:color w:val="auto"/>
                <w:szCs w:val="20"/>
                <w:lang w:eastAsia="en-GB"/>
              </w:rPr>
              <w:t>Net (increase) or decrease in cash &amp; cash equivalents</w:t>
            </w:r>
          </w:p>
        </w:tc>
        <w:tc>
          <w:tcPr>
            <w:tcW w:w="1340" w:type="dxa"/>
            <w:tcBorders>
              <w:top w:val="nil"/>
              <w:left w:val="nil"/>
              <w:bottom w:val="nil"/>
              <w:right w:val="nil"/>
            </w:tcBorders>
            <w:shd w:val="clear" w:color="000000" w:fill="CCECFF"/>
            <w:vAlign w:val="center"/>
            <w:hideMark/>
          </w:tcPr>
          <w:p w14:paraId="546EB50F"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w:t>
            </w:r>
          </w:p>
        </w:tc>
      </w:tr>
      <w:tr w:rsidR="004E2923" w:rsidRPr="004E2923" w14:paraId="5095F95B" w14:textId="77777777" w:rsidTr="004E2923">
        <w:trPr>
          <w:trHeight w:val="290"/>
        </w:trPr>
        <w:tc>
          <w:tcPr>
            <w:tcW w:w="1420" w:type="dxa"/>
            <w:tcBorders>
              <w:top w:val="nil"/>
              <w:left w:val="nil"/>
              <w:bottom w:val="nil"/>
              <w:right w:val="nil"/>
            </w:tcBorders>
            <w:shd w:val="clear" w:color="000000" w:fill="FFFFFF"/>
            <w:noWrap/>
            <w:vAlign w:val="center"/>
            <w:hideMark/>
          </w:tcPr>
          <w:p w14:paraId="3D72AA97"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nil"/>
              <w:right w:val="nil"/>
            </w:tcBorders>
            <w:shd w:val="clear" w:color="000000" w:fill="FFFFFF"/>
            <w:vAlign w:val="center"/>
            <w:hideMark/>
          </w:tcPr>
          <w:p w14:paraId="73074888"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1340" w:type="dxa"/>
            <w:tcBorders>
              <w:top w:val="nil"/>
              <w:left w:val="nil"/>
              <w:bottom w:val="nil"/>
              <w:right w:val="nil"/>
            </w:tcBorders>
            <w:shd w:val="clear" w:color="000000" w:fill="CCECFF"/>
            <w:vAlign w:val="center"/>
            <w:hideMark/>
          </w:tcPr>
          <w:p w14:paraId="797675E6"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r>
      <w:tr w:rsidR="004E2923" w:rsidRPr="004E2923" w14:paraId="236D7E3D" w14:textId="77777777" w:rsidTr="004E2923">
        <w:trPr>
          <w:trHeight w:val="530"/>
        </w:trPr>
        <w:tc>
          <w:tcPr>
            <w:tcW w:w="1420" w:type="dxa"/>
            <w:tcBorders>
              <w:top w:val="nil"/>
              <w:left w:val="nil"/>
              <w:bottom w:val="nil"/>
              <w:right w:val="nil"/>
            </w:tcBorders>
            <w:shd w:val="clear" w:color="000000" w:fill="FFFFFF"/>
            <w:noWrap/>
            <w:vAlign w:val="center"/>
            <w:hideMark/>
          </w:tcPr>
          <w:p w14:paraId="248BFB31"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c>
          <w:tcPr>
            <w:tcW w:w="5260" w:type="dxa"/>
            <w:tcBorders>
              <w:top w:val="nil"/>
              <w:left w:val="nil"/>
              <w:bottom w:val="nil"/>
              <w:right w:val="nil"/>
            </w:tcBorders>
            <w:shd w:val="clear" w:color="000000" w:fill="FFFFFF"/>
            <w:vAlign w:val="center"/>
            <w:hideMark/>
          </w:tcPr>
          <w:p w14:paraId="29304631"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Cash &amp; cash equivalents at the beginning of the reporting period</w:t>
            </w:r>
          </w:p>
        </w:tc>
        <w:tc>
          <w:tcPr>
            <w:tcW w:w="1340" w:type="dxa"/>
            <w:tcBorders>
              <w:top w:val="nil"/>
              <w:left w:val="nil"/>
              <w:bottom w:val="nil"/>
              <w:right w:val="nil"/>
            </w:tcBorders>
            <w:shd w:val="clear" w:color="000000" w:fill="CCECFF"/>
            <w:vAlign w:val="center"/>
            <w:hideMark/>
          </w:tcPr>
          <w:p w14:paraId="3C0192E7" w14:textId="77777777" w:rsidR="004E2923" w:rsidRPr="004E2923" w:rsidRDefault="004E2923" w:rsidP="003356AE">
            <w:pPr>
              <w:spacing w:after="0" w:line="240" w:lineRule="auto"/>
              <w:jc w:val="right"/>
              <w:rPr>
                <w:rFonts w:eastAsia="Times New Roman" w:cs="Calibri"/>
                <w:color w:val="auto"/>
                <w:szCs w:val="20"/>
                <w:lang w:eastAsia="en-GB"/>
              </w:rPr>
            </w:pPr>
            <w:r w:rsidRPr="004E2923">
              <w:rPr>
                <w:rFonts w:eastAsia="Times New Roman" w:cs="Calibri"/>
                <w:color w:val="auto"/>
                <w:szCs w:val="20"/>
                <w:lang w:eastAsia="en-GB"/>
              </w:rPr>
              <w:t>-</w:t>
            </w:r>
          </w:p>
        </w:tc>
      </w:tr>
      <w:tr w:rsidR="004E2923" w:rsidRPr="004E2923" w14:paraId="2DA8C1BD" w14:textId="77777777" w:rsidTr="004E2923">
        <w:trPr>
          <w:trHeight w:val="290"/>
        </w:trPr>
        <w:tc>
          <w:tcPr>
            <w:tcW w:w="1420" w:type="dxa"/>
            <w:tcBorders>
              <w:top w:val="nil"/>
              <w:left w:val="nil"/>
              <w:bottom w:val="single" w:sz="4" w:space="0" w:color="auto"/>
              <w:right w:val="nil"/>
            </w:tcBorders>
            <w:shd w:val="clear" w:color="000000" w:fill="FFFFFF"/>
            <w:noWrap/>
            <w:vAlign w:val="center"/>
            <w:hideMark/>
          </w:tcPr>
          <w:p w14:paraId="3A90A73A"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5260" w:type="dxa"/>
            <w:tcBorders>
              <w:top w:val="nil"/>
              <w:left w:val="nil"/>
              <w:bottom w:val="single" w:sz="4" w:space="0" w:color="auto"/>
              <w:right w:val="nil"/>
            </w:tcBorders>
            <w:shd w:val="clear" w:color="000000" w:fill="FFFFFF"/>
            <w:vAlign w:val="center"/>
            <w:hideMark/>
          </w:tcPr>
          <w:p w14:paraId="5A6C3755"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c>
          <w:tcPr>
            <w:tcW w:w="1340" w:type="dxa"/>
            <w:tcBorders>
              <w:top w:val="nil"/>
              <w:left w:val="nil"/>
              <w:bottom w:val="single" w:sz="4" w:space="0" w:color="auto"/>
              <w:right w:val="nil"/>
            </w:tcBorders>
            <w:shd w:val="clear" w:color="000000" w:fill="CCECFF"/>
            <w:vAlign w:val="center"/>
            <w:hideMark/>
          </w:tcPr>
          <w:p w14:paraId="04939ADD" w14:textId="77777777" w:rsidR="004E2923" w:rsidRPr="004E2923" w:rsidRDefault="004E2923" w:rsidP="003356AE">
            <w:pPr>
              <w:spacing w:after="0" w:line="240" w:lineRule="auto"/>
              <w:jc w:val="left"/>
              <w:rPr>
                <w:rFonts w:eastAsia="Times New Roman" w:cs="Calibri"/>
                <w:color w:val="auto"/>
                <w:szCs w:val="20"/>
                <w:lang w:eastAsia="en-GB"/>
              </w:rPr>
            </w:pPr>
            <w:r w:rsidRPr="004E2923">
              <w:rPr>
                <w:rFonts w:eastAsia="Times New Roman" w:cs="Calibri"/>
                <w:color w:val="auto"/>
                <w:szCs w:val="20"/>
                <w:lang w:eastAsia="en-GB"/>
              </w:rPr>
              <w:t> </w:t>
            </w:r>
          </w:p>
        </w:tc>
      </w:tr>
      <w:tr w:rsidR="004E2923" w:rsidRPr="004E2923" w14:paraId="3CC8DEEF" w14:textId="77777777" w:rsidTr="004E2923">
        <w:trPr>
          <w:trHeight w:val="690"/>
        </w:trPr>
        <w:tc>
          <w:tcPr>
            <w:tcW w:w="1420" w:type="dxa"/>
            <w:tcBorders>
              <w:top w:val="nil"/>
              <w:left w:val="nil"/>
              <w:bottom w:val="single" w:sz="4" w:space="0" w:color="auto"/>
              <w:right w:val="nil"/>
            </w:tcBorders>
            <w:shd w:val="clear" w:color="000000" w:fill="FFFFFF"/>
            <w:noWrap/>
            <w:vAlign w:val="center"/>
            <w:hideMark/>
          </w:tcPr>
          <w:p w14:paraId="3E1D4501"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w:t>
            </w:r>
          </w:p>
        </w:tc>
        <w:tc>
          <w:tcPr>
            <w:tcW w:w="5260" w:type="dxa"/>
            <w:tcBorders>
              <w:top w:val="nil"/>
              <w:left w:val="nil"/>
              <w:bottom w:val="single" w:sz="4" w:space="0" w:color="auto"/>
              <w:right w:val="nil"/>
            </w:tcBorders>
            <w:shd w:val="clear" w:color="000000" w:fill="FFFFFF"/>
            <w:vAlign w:val="center"/>
            <w:hideMark/>
          </w:tcPr>
          <w:p w14:paraId="03ED0CEF" w14:textId="77777777" w:rsidR="004E2923" w:rsidRPr="004E2923" w:rsidRDefault="004E2923" w:rsidP="003356AE">
            <w:pPr>
              <w:spacing w:after="0" w:line="240" w:lineRule="auto"/>
              <w:jc w:val="left"/>
              <w:rPr>
                <w:rFonts w:eastAsia="Times New Roman" w:cs="Calibri"/>
                <w:b/>
                <w:bCs/>
                <w:color w:val="auto"/>
                <w:szCs w:val="20"/>
                <w:lang w:eastAsia="en-GB"/>
              </w:rPr>
            </w:pPr>
            <w:r w:rsidRPr="004E2923">
              <w:rPr>
                <w:rFonts w:eastAsia="Times New Roman" w:cs="Calibri"/>
                <w:b/>
                <w:bCs/>
                <w:color w:val="auto"/>
                <w:szCs w:val="20"/>
                <w:lang w:eastAsia="en-GB"/>
              </w:rPr>
              <w:t>Cash &amp; cash equivalents at the end of the reporting period</w:t>
            </w:r>
          </w:p>
        </w:tc>
        <w:tc>
          <w:tcPr>
            <w:tcW w:w="1340" w:type="dxa"/>
            <w:tcBorders>
              <w:top w:val="nil"/>
              <w:left w:val="nil"/>
              <w:bottom w:val="single" w:sz="4" w:space="0" w:color="auto"/>
              <w:right w:val="nil"/>
            </w:tcBorders>
            <w:shd w:val="clear" w:color="000000" w:fill="CCECFF"/>
            <w:vAlign w:val="center"/>
            <w:hideMark/>
          </w:tcPr>
          <w:p w14:paraId="3815F0EF" w14:textId="77777777" w:rsidR="004E2923" w:rsidRPr="004E2923" w:rsidRDefault="004E2923" w:rsidP="003356AE">
            <w:pPr>
              <w:spacing w:after="0" w:line="240" w:lineRule="auto"/>
              <w:jc w:val="right"/>
              <w:rPr>
                <w:rFonts w:eastAsia="Times New Roman" w:cs="Calibri"/>
                <w:b/>
                <w:bCs/>
                <w:color w:val="auto"/>
                <w:szCs w:val="20"/>
                <w:lang w:eastAsia="en-GB"/>
              </w:rPr>
            </w:pPr>
            <w:r w:rsidRPr="004E2923">
              <w:rPr>
                <w:rFonts w:eastAsia="Times New Roman" w:cs="Calibri"/>
                <w:b/>
                <w:bCs/>
                <w:color w:val="auto"/>
                <w:szCs w:val="20"/>
                <w:lang w:eastAsia="en-GB"/>
              </w:rPr>
              <w:t>-</w:t>
            </w:r>
          </w:p>
        </w:tc>
      </w:tr>
    </w:tbl>
    <w:p w14:paraId="7599A910" w14:textId="6FBF540E" w:rsidR="00DA3673" w:rsidRDefault="00DA3673" w:rsidP="003356AE">
      <w:pPr>
        <w:pStyle w:val="Normal0"/>
        <w:tabs>
          <w:tab w:val="left" w:pos="180"/>
        </w:tabs>
        <w:spacing w:after="160"/>
        <w:jc w:val="both"/>
        <w:rPr>
          <w:rFonts w:ascii="Verdana" w:eastAsia="Calibri" w:hAnsi="Verdana" w:cs="Arial"/>
          <w:sz w:val="22"/>
          <w:szCs w:val="22"/>
          <w:lang w:val="pt-BR"/>
        </w:rPr>
      </w:pPr>
    </w:p>
    <w:p w14:paraId="1A088025" w14:textId="77777777" w:rsidR="00DA3673" w:rsidRDefault="00DA3673">
      <w:pPr>
        <w:spacing w:after="0" w:line="240" w:lineRule="auto"/>
        <w:jc w:val="left"/>
        <w:rPr>
          <w:rFonts w:ascii="Verdana" w:eastAsia="Calibri" w:hAnsi="Verdana" w:cs="Arial"/>
          <w:color w:val="auto"/>
          <w:sz w:val="22"/>
          <w:szCs w:val="22"/>
          <w:lang w:val="pt-BR"/>
        </w:rPr>
      </w:pPr>
      <w:r>
        <w:rPr>
          <w:rFonts w:ascii="Verdana" w:eastAsia="Calibri" w:hAnsi="Verdana" w:cs="Arial"/>
          <w:sz w:val="22"/>
          <w:szCs w:val="22"/>
          <w:lang w:val="pt-BR"/>
        </w:rPr>
        <w:br w:type="page"/>
      </w:r>
    </w:p>
    <w:p w14:paraId="3EB91396" w14:textId="0621E359" w:rsidR="00B121D3" w:rsidRPr="00E350DD" w:rsidRDefault="00B121D3" w:rsidP="003356AE">
      <w:pPr>
        <w:pStyle w:val="ChapterHeading"/>
        <w:spacing w:line="240" w:lineRule="auto"/>
      </w:pPr>
      <w:bookmarkStart w:id="57" w:name="_Toc9277050"/>
      <w:bookmarkStart w:id="58" w:name="_Toc231975675"/>
      <w:bookmarkStart w:id="59" w:name="_Toc517077275"/>
      <w:bookmarkStart w:id="60" w:name="_Toc9272501"/>
      <w:bookmarkStart w:id="61" w:name="_Toc9592047"/>
      <w:bookmarkEnd w:id="4"/>
      <w:r w:rsidRPr="00E350DD">
        <w:lastRenderedPageBreak/>
        <w:t>Notes to the Accounts</w:t>
      </w:r>
      <w:bookmarkEnd w:id="57"/>
      <w:bookmarkEnd w:id="58"/>
    </w:p>
    <w:p w14:paraId="3A591851" w14:textId="5F236D7C" w:rsidR="00A17A9C" w:rsidRDefault="00A17A9C" w:rsidP="003356AE">
      <w:pPr>
        <w:pStyle w:val="TOC2"/>
        <w:spacing w:line="240" w:lineRule="auto"/>
      </w:pPr>
      <w:r>
        <w:tab/>
      </w:r>
    </w:p>
    <w:p w14:paraId="0DE93C59" w14:textId="12EEF0FC" w:rsidR="006A4FD6" w:rsidRDefault="001C19B4">
      <w:pPr>
        <w:pStyle w:val="TOC1"/>
        <w:rPr>
          <w:rFonts w:asciiTheme="minorHAnsi" w:eastAsiaTheme="minorEastAsia" w:hAnsiTheme="minorHAnsi"/>
          <w:color w:val="auto"/>
          <w:kern w:val="2"/>
          <w:sz w:val="24"/>
          <w:szCs w:val="24"/>
          <w:lang w:val="en-GB" w:eastAsia="en-GB"/>
          <w14:ligatures w14:val="standardContextual"/>
        </w:rPr>
      </w:pPr>
      <w:r w:rsidRPr="003356AE">
        <w:fldChar w:fldCharType="begin"/>
      </w:r>
      <w:r w:rsidRPr="003356AE">
        <w:instrText xml:space="preserve"> TOC \t "Note Header,1" </w:instrText>
      </w:r>
      <w:r w:rsidRPr="003356AE">
        <w:fldChar w:fldCharType="separate"/>
      </w:r>
      <w:r w:rsidR="006A4FD6">
        <w:t>Note 1 - Expenditure and Funding Analysis</w:t>
      </w:r>
      <w:r w:rsidR="006A4FD6">
        <w:tab/>
      </w:r>
      <w:r w:rsidR="006A4FD6">
        <w:fldChar w:fldCharType="begin"/>
      </w:r>
      <w:r w:rsidR="006A4FD6">
        <w:instrText xml:space="preserve"> PAGEREF _Toc230858554 \h </w:instrText>
      </w:r>
      <w:r w:rsidR="006A4FD6">
        <w:fldChar w:fldCharType="separate"/>
      </w:r>
      <w:r w:rsidR="003D0C13">
        <w:t>26</w:t>
      </w:r>
      <w:r w:rsidR="006A4FD6">
        <w:fldChar w:fldCharType="end"/>
      </w:r>
    </w:p>
    <w:p w14:paraId="47BCE611" w14:textId="4E646806"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2 - Assumptions Made about the Future and Other Major Sources of Estimation Uncertainty</w:t>
      </w:r>
      <w:r>
        <w:tab/>
      </w:r>
      <w:r>
        <w:fldChar w:fldCharType="begin"/>
      </w:r>
      <w:r>
        <w:instrText xml:space="preserve"> PAGEREF _Toc230858555 \h </w:instrText>
      </w:r>
      <w:r>
        <w:fldChar w:fldCharType="separate"/>
      </w:r>
      <w:r w:rsidR="003D0C13">
        <w:t>27</w:t>
      </w:r>
      <w:r>
        <w:fldChar w:fldCharType="end"/>
      </w:r>
    </w:p>
    <w:p w14:paraId="34D2FBCF" w14:textId="40D36659"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3 - Events after the Balance Sheet Date</w:t>
      </w:r>
      <w:r>
        <w:tab/>
      </w:r>
      <w:r>
        <w:fldChar w:fldCharType="begin"/>
      </w:r>
      <w:r>
        <w:instrText xml:space="preserve"> PAGEREF _Toc230858556 \h </w:instrText>
      </w:r>
      <w:r>
        <w:fldChar w:fldCharType="separate"/>
      </w:r>
      <w:r w:rsidR="003D0C13">
        <w:t>27</w:t>
      </w:r>
      <w:r>
        <w:fldChar w:fldCharType="end"/>
      </w:r>
    </w:p>
    <w:p w14:paraId="1D1301AD" w14:textId="6989E972"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4 - Officers’ Remuneration</w:t>
      </w:r>
      <w:r>
        <w:tab/>
      </w:r>
      <w:r>
        <w:fldChar w:fldCharType="begin"/>
      </w:r>
      <w:r>
        <w:instrText xml:space="preserve"> PAGEREF _Toc230858557 \h </w:instrText>
      </w:r>
      <w:r>
        <w:fldChar w:fldCharType="separate"/>
      </w:r>
      <w:r w:rsidR="003D0C13">
        <w:t>28</w:t>
      </w:r>
      <w:r>
        <w:fldChar w:fldCharType="end"/>
      </w:r>
    </w:p>
    <w:p w14:paraId="7D341CA4" w14:textId="7085DC31"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5A - Note to the Expenditure and Funding Analysis</w:t>
      </w:r>
      <w:r>
        <w:tab/>
      </w:r>
      <w:r>
        <w:fldChar w:fldCharType="begin"/>
      </w:r>
      <w:r>
        <w:instrText xml:space="preserve"> PAGEREF _Toc230858558 \h </w:instrText>
      </w:r>
      <w:r>
        <w:fldChar w:fldCharType="separate"/>
      </w:r>
      <w:r w:rsidR="003D0C13">
        <w:t>30</w:t>
      </w:r>
      <w:r>
        <w:fldChar w:fldCharType="end"/>
      </w:r>
    </w:p>
    <w:p w14:paraId="533BB4C4" w14:textId="42945F53"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5B - Segmental Analysis of Income and Expenditure</w:t>
      </w:r>
      <w:r>
        <w:tab/>
      </w:r>
      <w:r>
        <w:fldChar w:fldCharType="begin"/>
      </w:r>
      <w:r>
        <w:instrText xml:space="preserve"> PAGEREF _Toc230858559 \h </w:instrText>
      </w:r>
      <w:r>
        <w:fldChar w:fldCharType="separate"/>
      </w:r>
      <w:r w:rsidR="003D0C13">
        <w:t>30</w:t>
      </w:r>
      <w:r>
        <w:fldChar w:fldCharType="end"/>
      </w:r>
    </w:p>
    <w:p w14:paraId="3492A057" w14:textId="642DB137"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5C - Expenditure and Income Analysed by Nature</w:t>
      </w:r>
      <w:r>
        <w:tab/>
      </w:r>
      <w:r>
        <w:fldChar w:fldCharType="begin"/>
      </w:r>
      <w:r>
        <w:instrText xml:space="preserve"> PAGEREF _Toc230858560 \h </w:instrText>
      </w:r>
      <w:r>
        <w:fldChar w:fldCharType="separate"/>
      </w:r>
      <w:r w:rsidR="003D0C13">
        <w:t>31</w:t>
      </w:r>
      <w:r>
        <w:fldChar w:fldCharType="end"/>
      </w:r>
    </w:p>
    <w:p w14:paraId="781DFAF9" w14:textId="05C3FE5A"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6 - Adjustments between Accounting Basis and Funding Basis under Regulations</w:t>
      </w:r>
      <w:r>
        <w:tab/>
      </w:r>
      <w:r>
        <w:fldChar w:fldCharType="begin"/>
      </w:r>
      <w:r>
        <w:instrText xml:space="preserve"> PAGEREF _Toc230858561 \h </w:instrText>
      </w:r>
      <w:r>
        <w:fldChar w:fldCharType="separate"/>
      </w:r>
      <w:r w:rsidR="003D0C13">
        <w:t>32</w:t>
      </w:r>
      <w:r>
        <w:fldChar w:fldCharType="end"/>
      </w:r>
    </w:p>
    <w:p w14:paraId="31322CB3" w14:textId="13E85319"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7 - Other Operating Expenditure</w:t>
      </w:r>
      <w:r>
        <w:tab/>
      </w:r>
      <w:r>
        <w:fldChar w:fldCharType="begin"/>
      </w:r>
      <w:r>
        <w:instrText xml:space="preserve"> PAGEREF _Toc230858562 \h </w:instrText>
      </w:r>
      <w:r>
        <w:fldChar w:fldCharType="separate"/>
      </w:r>
      <w:r w:rsidR="003D0C13">
        <w:t>33</w:t>
      </w:r>
      <w:r>
        <w:fldChar w:fldCharType="end"/>
      </w:r>
    </w:p>
    <w:p w14:paraId="6CE9ADCF" w14:textId="7430BAB2"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8 - Financing and Investment Income and Expenditure</w:t>
      </w:r>
      <w:r>
        <w:tab/>
      </w:r>
      <w:r>
        <w:fldChar w:fldCharType="begin"/>
      </w:r>
      <w:r>
        <w:instrText xml:space="preserve"> PAGEREF _Toc230858563 \h </w:instrText>
      </w:r>
      <w:r>
        <w:fldChar w:fldCharType="separate"/>
      </w:r>
      <w:r w:rsidR="003D0C13">
        <w:t>33</w:t>
      </w:r>
      <w:r>
        <w:fldChar w:fldCharType="end"/>
      </w:r>
    </w:p>
    <w:p w14:paraId="5BBDD5C9" w14:textId="55EA3A03"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9 - Taxation and Non-Specific Grant Income</w:t>
      </w:r>
      <w:r>
        <w:tab/>
      </w:r>
      <w:r>
        <w:fldChar w:fldCharType="begin"/>
      </w:r>
      <w:r>
        <w:instrText xml:space="preserve"> PAGEREF _Toc230858564 \h </w:instrText>
      </w:r>
      <w:r>
        <w:fldChar w:fldCharType="separate"/>
      </w:r>
      <w:r w:rsidR="003D0C13">
        <w:t>34</w:t>
      </w:r>
      <w:r>
        <w:fldChar w:fldCharType="end"/>
      </w:r>
    </w:p>
    <w:p w14:paraId="1CBF55F7" w14:textId="11CFAD93"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10 - Material Items of Income and Expense</w:t>
      </w:r>
      <w:r>
        <w:tab/>
      </w:r>
      <w:r>
        <w:fldChar w:fldCharType="begin"/>
      </w:r>
      <w:r>
        <w:instrText xml:space="preserve"> PAGEREF _Toc230858565 \h </w:instrText>
      </w:r>
      <w:r>
        <w:fldChar w:fldCharType="separate"/>
      </w:r>
      <w:r w:rsidR="003D0C13">
        <w:t>34</w:t>
      </w:r>
      <w:r>
        <w:fldChar w:fldCharType="end"/>
      </w:r>
    </w:p>
    <w:p w14:paraId="7351A551" w14:textId="7FA8D67C"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11 - Critical Judgements in Applying Accounting Policies</w:t>
      </w:r>
      <w:r>
        <w:tab/>
      </w:r>
      <w:r>
        <w:fldChar w:fldCharType="begin"/>
      </w:r>
      <w:r>
        <w:instrText xml:space="preserve"> PAGEREF _Toc230858566 \h </w:instrText>
      </w:r>
      <w:r>
        <w:fldChar w:fldCharType="separate"/>
      </w:r>
      <w:r w:rsidR="003D0C13">
        <w:t>34</w:t>
      </w:r>
      <w:r>
        <w:fldChar w:fldCharType="end"/>
      </w:r>
    </w:p>
    <w:p w14:paraId="1E40044C" w14:textId="31722D9E"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12 - Members’ Allowances</w:t>
      </w:r>
      <w:r>
        <w:tab/>
      </w:r>
      <w:r>
        <w:fldChar w:fldCharType="begin"/>
      </w:r>
      <w:r>
        <w:instrText xml:space="preserve"> PAGEREF _Toc230858567 \h </w:instrText>
      </w:r>
      <w:r>
        <w:fldChar w:fldCharType="separate"/>
      </w:r>
      <w:r w:rsidR="003D0C13">
        <w:t>35</w:t>
      </w:r>
      <w:r>
        <w:fldChar w:fldCharType="end"/>
      </w:r>
    </w:p>
    <w:p w14:paraId="18F1926E" w14:textId="104CA37D"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13 - External Audit Costs</w:t>
      </w:r>
      <w:r>
        <w:tab/>
      </w:r>
      <w:r>
        <w:fldChar w:fldCharType="begin"/>
      </w:r>
      <w:r>
        <w:instrText xml:space="preserve"> PAGEREF _Toc230858568 \h </w:instrText>
      </w:r>
      <w:r>
        <w:fldChar w:fldCharType="separate"/>
      </w:r>
      <w:r w:rsidR="003D0C13">
        <w:t>35</w:t>
      </w:r>
      <w:r>
        <w:fldChar w:fldCharType="end"/>
      </w:r>
    </w:p>
    <w:p w14:paraId="068B4FFE" w14:textId="1CE9AD38"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14 - Grant Income</w:t>
      </w:r>
      <w:r>
        <w:tab/>
      </w:r>
      <w:r>
        <w:fldChar w:fldCharType="begin"/>
      </w:r>
      <w:r>
        <w:instrText xml:space="preserve"> PAGEREF _Toc230858569 \h </w:instrText>
      </w:r>
      <w:r>
        <w:fldChar w:fldCharType="separate"/>
      </w:r>
      <w:r w:rsidR="003D0C13">
        <w:t>35</w:t>
      </w:r>
      <w:r>
        <w:fldChar w:fldCharType="end"/>
      </w:r>
    </w:p>
    <w:p w14:paraId="2988886F" w14:textId="5EA81781"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15 - Related Parties</w:t>
      </w:r>
      <w:r>
        <w:tab/>
      </w:r>
      <w:r>
        <w:fldChar w:fldCharType="begin"/>
      </w:r>
      <w:r>
        <w:instrText xml:space="preserve"> PAGEREF _Toc230858570 \h </w:instrText>
      </w:r>
      <w:r>
        <w:fldChar w:fldCharType="separate"/>
      </w:r>
      <w:r w:rsidR="003D0C13">
        <w:t>36</w:t>
      </w:r>
      <w:r>
        <w:fldChar w:fldCharType="end"/>
      </w:r>
    </w:p>
    <w:p w14:paraId="75E6D6E6" w14:textId="5053F38E"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16 - Transfers to/from Earmarked Reserves</w:t>
      </w:r>
      <w:r>
        <w:tab/>
      </w:r>
      <w:r>
        <w:fldChar w:fldCharType="begin"/>
      </w:r>
      <w:r>
        <w:instrText xml:space="preserve"> PAGEREF _Toc230858571 \h </w:instrText>
      </w:r>
      <w:r>
        <w:fldChar w:fldCharType="separate"/>
      </w:r>
      <w:r w:rsidR="003D0C13">
        <w:t>36</w:t>
      </w:r>
      <w:r>
        <w:fldChar w:fldCharType="end"/>
      </w:r>
    </w:p>
    <w:p w14:paraId="33CF27D2" w14:textId="6018F683"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17 - Unusable Reserves</w:t>
      </w:r>
      <w:r>
        <w:tab/>
      </w:r>
      <w:r>
        <w:fldChar w:fldCharType="begin"/>
      </w:r>
      <w:r>
        <w:instrText xml:space="preserve"> PAGEREF _Toc230858572 \h </w:instrText>
      </w:r>
      <w:r>
        <w:fldChar w:fldCharType="separate"/>
      </w:r>
      <w:r w:rsidR="003D0C13">
        <w:t>36</w:t>
      </w:r>
      <w:r>
        <w:fldChar w:fldCharType="end"/>
      </w:r>
    </w:p>
    <w:p w14:paraId="2D377D48" w14:textId="3368E260"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18 - Property, Plant and Equipment</w:t>
      </w:r>
      <w:r>
        <w:tab/>
      </w:r>
      <w:r>
        <w:fldChar w:fldCharType="begin"/>
      </w:r>
      <w:r>
        <w:instrText xml:space="preserve"> PAGEREF _Toc230858573 \h </w:instrText>
      </w:r>
      <w:r>
        <w:fldChar w:fldCharType="separate"/>
      </w:r>
      <w:r w:rsidR="003D0C13">
        <w:t>37</w:t>
      </w:r>
      <w:r>
        <w:fldChar w:fldCharType="end"/>
      </w:r>
    </w:p>
    <w:p w14:paraId="44CDEC67" w14:textId="67DB0B27"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19 - Impairment Losses</w:t>
      </w:r>
      <w:r>
        <w:tab/>
      </w:r>
      <w:r>
        <w:fldChar w:fldCharType="begin"/>
      </w:r>
      <w:r>
        <w:instrText xml:space="preserve"> PAGEREF _Toc230858574 \h </w:instrText>
      </w:r>
      <w:r>
        <w:fldChar w:fldCharType="separate"/>
      </w:r>
      <w:r w:rsidR="003D0C13">
        <w:t>37</w:t>
      </w:r>
      <w:r>
        <w:fldChar w:fldCharType="end"/>
      </w:r>
    </w:p>
    <w:p w14:paraId="2AF2FC91" w14:textId="30F38DA8"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20 - Assets Held for Sale</w:t>
      </w:r>
      <w:r>
        <w:tab/>
      </w:r>
      <w:r>
        <w:fldChar w:fldCharType="begin"/>
      </w:r>
      <w:r>
        <w:instrText xml:space="preserve"> PAGEREF _Toc230858575 \h </w:instrText>
      </w:r>
      <w:r>
        <w:fldChar w:fldCharType="separate"/>
      </w:r>
      <w:r w:rsidR="003D0C13">
        <w:t>38</w:t>
      </w:r>
      <w:r>
        <w:fldChar w:fldCharType="end"/>
      </w:r>
    </w:p>
    <w:p w14:paraId="46D015A6" w14:textId="0A134F47"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21 - Investment Properties</w:t>
      </w:r>
      <w:r>
        <w:tab/>
      </w:r>
      <w:r>
        <w:fldChar w:fldCharType="begin"/>
      </w:r>
      <w:r>
        <w:instrText xml:space="preserve"> PAGEREF _Toc230858576 \h </w:instrText>
      </w:r>
      <w:r>
        <w:fldChar w:fldCharType="separate"/>
      </w:r>
      <w:r w:rsidR="003D0C13">
        <w:t>38</w:t>
      </w:r>
      <w:r>
        <w:fldChar w:fldCharType="end"/>
      </w:r>
    </w:p>
    <w:p w14:paraId="37DB6C61" w14:textId="07F46857"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22 - Leases</w:t>
      </w:r>
      <w:r>
        <w:tab/>
      </w:r>
      <w:r>
        <w:fldChar w:fldCharType="begin"/>
      </w:r>
      <w:r>
        <w:instrText xml:space="preserve"> PAGEREF _Toc230858577 \h </w:instrText>
      </w:r>
      <w:r>
        <w:fldChar w:fldCharType="separate"/>
      </w:r>
      <w:r w:rsidR="003D0C13">
        <w:t>38</w:t>
      </w:r>
      <w:r>
        <w:fldChar w:fldCharType="end"/>
      </w:r>
    </w:p>
    <w:p w14:paraId="77D98E5D" w14:textId="0F86ACE3"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23 - Intangible Assets</w:t>
      </w:r>
      <w:r>
        <w:tab/>
      </w:r>
      <w:r>
        <w:fldChar w:fldCharType="begin"/>
      </w:r>
      <w:r>
        <w:instrText xml:space="preserve"> PAGEREF _Toc230858578 \h </w:instrText>
      </w:r>
      <w:r>
        <w:fldChar w:fldCharType="separate"/>
      </w:r>
      <w:r w:rsidR="003D0C13">
        <w:t>38</w:t>
      </w:r>
      <w:r>
        <w:fldChar w:fldCharType="end"/>
      </w:r>
    </w:p>
    <w:p w14:paraId="703790C6" w14:textId="5D48A7FF"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24 - Capital Expenditure and Capital Financing</w:t>
      </w:r>
      <w:r>
        <w:tab/>
      </w:r>
      <w:r>
        <w:fldChar w:fldCharType="begin"/>
      </w:r>
      <w:r>
        <w:instrText xml:space="preserve"> PAGEREF _Toc230858579 \h </w:instrText>
      </w:r>
      <w:r>
        <w:fldChar w:fldCharType="separate"/>
      </w:r>
      <w:r w:rsidR="003D0C13">
        <w:t>38</w:t>
      </w:r>
      <w:r>
        <w:fldChar w:fldCharType="end"/>
      </w:r>
    </w:p>
    <w:p w14:paraId="1EB9FA09" w14:textId="0C5EFD9D"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25 - Construction Contracts</w:t>
      </w:r>
      <w:r>
        <w:tab/>
      </w:r>
      <w:r>
        <w:fldChar w:fldCharType="begin"/>
      </w:r>
      <w:r>
        <w:instrText xml:space="preserve"> PAGEREF _Toc230858580 \h </w:instrText>
      </w:r>
      <w:r>
        <w:fldChar w:fldCharType="separate"/>
      </w:r>
      <w:r w:rsidR="003D0C13">
        <w:t>38</w:t>
      </w:r>
      <w:r>
        <w:fldChar w:fldCharType="end"/>
      </w:r>
    </w:p>
    <w:p w14:paraId="5FB9F9B8" w14:textId="7556C6D3"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26 - Debtors</w:t>
      </w:r>
      <w:r>
        <w:tab/>
      </w:r>
      <w:r>
        <w:fldChar w:fldCharType="begin"/>
      </w:r>
      <w:r>
        <w:instrText xml:space="preserve"> PAGEREF _Toc230858581 \h </w:instrText>
      </w:r>
      <w:r>
        <w:fldChar w:fldCharType="separate"/>
      </w:r>
      <w:r w:rsidR="003D0C13">
        <w:t>38</w:t>
      </w:r>
      <w:r>
        <w:fldChar w:fldCharType="end"/>
      </w:r>
    </w:p>
    <w:p w14:paraId="7CADE87F" w14:textId="02971CCC"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27 - Inventories</w:t>
      </w:r>
      <w:r>
        <w:tab/>
      </w:r>
      <w:r>
        <w:fldChar w:fldCharType="begin"/>
      </w:r>
      <w:r>
        <w:instrText xml:space="preserve"> PAGEREF _Toc230858582 \h </w:instrText>
      </w:r>
      <w:r>
        <w:fldChar w:fldCharType="separate"/>
      </w:r>
      <w:r w:rsidR="003D0C13">
        <w:t>38</w:t>
      </w:r>
      <w:r>
        <w:fldChar w:fldCharType="end"/>
      </w:r>
    </w:p>
    <w:p w14:paraId="36BD5C7A" w14:textId="60790F8A"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28 - Provisions</w:t>
      </w:r>
      <w:r>
        <w:tab/>
      </w:r>
      <w:r>
        <w:fldChar w:fldCharType="begin"/>
      </w:r>
      <w:r>
        <w:instrText xml:space="preserve"> PAGEREF _Toc230858583 \h </w:instrText>
      </w:r>
      <w:r>
        <w:fldChar w:fldCharType="separate"/>
      </w:r>
      <w:r w:rsidR="003D0C13">
        <w:t>38</w:t>
      </w:r>
      <w:r>
        <w:fldChar w:fldCharType="end"/>
      </w:r>
    </w:p>
    <w:p w14:paraId="19919667" w14:textId="4186E8C0"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29 - Creditors</w:t>
      </w:r>
      <w:r>
        <w:tab/>
      </w:r>
      <w:r>
        <w:fldChar w:fldCharType="begin"/>
      </w:r>
      <w:r>
        <w:instrText xml:space="preserve"> PAGEREF _Toc230858584 \h </w:instrText>
      </w:r>
      <w:r>
        <w:fldChar w:fldCharType="separate"/>
      </w:r>
      <w:r w:rsidR="003D0C13">
        <w:t>39</w:t>
      </w:r>
      <w:r>
        <w:fldChar w:fldCharType="end"/>
      </w:r>
    </w:p>
    <w:p w14:paraId="0143BE58" w14:textId="48643C4F"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30 - Capitalisation of Borrowing Costs</w:t>
      </w:r>
      <w:r>
        <w:tab/>
      </w:r>
      <w:r>
        <w:fldChar w:fldCharType="begin"/>
      </w:r>
      <w:r>
        <w:instrText xml:space="preserve"> PAGEREF _Toc230858585 \h </w:instrText>
      </w:r>
      <w:r>
        <w:fldChar w:fldCharType="separate"/>
      </w:r>
      <w:r w:rsidR="003D0C13">
        <w:t>39</w:t>
      </w:r>
      <w:r>
        <w:fldChar w:fldCharType="end"/>
      </w:r>
    </w:p>
    <w:p w14:paraId="1EE9F00A" w14:textId="35A9294B"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31 - Contingent Liabilities</w:t>
      </w:r>
      <w:r>
        <w:tab/>
      </w:r>
      <w:r>
        <w:fldChar w:fldCharType="begin"/>
      </w:r>
      <w:r>
        <w:instrText xml:space="preserve"> PAGEREF _Toc230858586 \h </w:instrText>
      </w:r>
      <w:r>
        <w:fldChar w:fldCharType="separate"/>
      </w:r>
      <w:r w:rsidR="003D0C13">
        <w:t>39</w:t>
      </w:r>
      <w:r>
        <w:fldChar w:fldCharType="end"/>
      </w:r>
    </w:p>
    <w:p w14:paraId="0FAA80B6" w14:textId="1F540C11"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32 - Contingent Assets</w:t>
      </w:r>
      <w:r>
        <w:tab/>
      </w:r>
      <w:r>
        <w:fldChar w:fldCharType="begin"/>
      </w:r>
      <w:r>
        <w:instrText xml:space="preserve"> PAGEREF _Toc230858587 \h </w:instrText>
      </w:r>
      <w:r>
        <w:fldChar w:fldCharType="separate"/>
      </w:r>
      <w:r w:rsidR="003D0C13">
        <w:t>39</w:t>
      </w:r>
      <w:r>
        <w:fldChar w:fldCharType="end"/>
      </w:r>
    </w:p>
    <w:p w14:paraId="1B187344" w14:textId="501F0218"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33 - Cash and Cash Equivalents</w:t>
      </w:r>
      <w:r>
        <w:tab/>
      </w:r>
      <w:r>
        <w:fldChar w:fldCharType="begin"/>
      </w:r>
      <w:r>
        <w:instrText xml:space="preserve"> PAGEREF _Toc230858588 \h </w:instrText>
      </w:r>
      <w:r>
        <w:fldChar w:fldCharType="separate"/>
      </w:r>
      <w:r w:rsidR="003D0C13">
        <w:t>39</w:t>
      </w:r>
      <w:r>
        <w:fldChar w:fldCharType="end"/>
      </w:r>
    </w:p>
    <w:p w14:paraId="140AA8D2" w14:textId="2C2AB800"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34 - Cash Flow from Operating Activities</w:t>
      </w:r>
      <w:r>
        <w:tab/>
      </w:r>
      <w:r>
        <w:fldChar w:fldCharType="begin"/>
      </w:r>
      <w:r>
        <w:instrText xml:space="preserve"> PAGEREF _Toc230858589 \h </w:instrText>
      </w:r>
      <w:r>
        <w:fldChar w:fldCharType="separate"/>
      </w:r>
      <w:r w:rsidR="003D0C13">
        <w:t>39</w:t>
      </w:r>
      <w:r>
        <w:fldChar w:fldCharType="end"/>
      </w:r>
    </w:p>
    <w:p w14:paraId="77FB4974" w14:textId="56539812"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35 - Cash Flow from Investing Activities</w:t>
      </w:r>
      <w:r>
        <w:tab/>
      </w:r>
      <w:r>
        <w:fldChar w:fldCharType="begin"/>
      </w:r>
      <w:r>
        <w:instrText xml:space="preserve"> PAGEREF _Toc230858590 \h </w:instrText>
      </w:r>
      <w:r>
        <w:fldChar w:fldCharType="separate"/>
      </w:r>
      <w:r w:rsidR="003D0C13">
        <w:t>40</w:t>
      </w:r>
      <w:r>
        <w:fldChar w:fldCharType="end"/>
      </w:r>
    </w:p>
    <w:p w14:paraId="7E3DE26F" w14:textId="25BF8AC6"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36 - Termination Benefits</w:t>
      </w:r>
      <w:r>
        <w:tab/>
      </w:r>
      <w:r>
        <w:fldChar w:fldCharType="begin"/>
      </w:r>
      <w:r>
        <w:instrText xml:space="preserve"> PAGEREF _Toc230858591 \h </w:instrText>
      </w:r>
      <w:r>
        <w:fldChar w:fldCharType="separate"/>
      </w:r>
      <w:r w:rsidR="003D0C13">
        <w:t>40</w:t>
      </w:r>
      <w:r>
        <w:fldChar w:fldCharType="end"/>
      </w:r>
    </w:p>
    <w:p w14:paraId="2724A527" w14:textId="490ADFFC"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37 - Pension Schemes Accounted for as Defined Contribution Schemes</w:t>
      </w:r>
      <w:r>
        <w:tab/>
      </w:r>
      <w:r>
        <w:fldChar w:fldCharType="begin"/>
      </w:r>
      <w:r>
        <w:instrText xml:space="preserve"> PAGEREF _Toc230858592 \h </w:instrText>
      </w:r>
      <w:r>
        <w:fldChar w:fldCharType="separate"/>
      </w:r>
      <w:r w:rsidR="003D0C13">
        <w:t>42</w:t>
      </w:r>
      <w:r>
        <w:fldChar w:fldCharType="end"/>
      </w:r>
    </w:p>
    <w:p w14:paraId="43E08124" w14:textId="3F385BD0"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38 - Financial Instruments</w:t>
      </w:r>
      <w:r>
        <w:tab/>
      </w:r>
      <w:r>
        <w:fldChar w:fldCharType="begin"/>
      </w:r>
      <w:r>
        <w:instrText xml:space="preserve"> PAGEREF _Toc230858593 \h </w:instrText>
      </w:r>
      <w:r>
        <w:fldChar w:fldCharType="separate"/>
      </w:r>
      <w:r w:rsidR="003D0C13">
        <w:t>48</w:t>
      </w:r>
      <w:r>
        <w:fldChar w:fldCharType="end"/>
      </w:r>
    </w:p>
    <w:p w14:paraId="16C70FDB" w14:textId="24D0D5E7"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39 - Joint Operations &amp; Associate Entities</w:t>
      </w:r>
      <w:r>
        <w:tab/>
      </w:r>
      <w:r>
        <w:fldChar w:fldCharType="begin"/>
      </w:r>
      <w:r>
        <w:instrText xml:space="preserve"> PAGEREF _Toc230858594 \h </w:instrText>
      </w:r>
      <w:r>
        <w:fldChar w:fldCharType="separate"/>
      </w:r>
      <w:r w:rsidR="003D0C13">
        <w:t>48</w:t>
      </w:r>
      <w:r>
        <w:fldChar w:fldCharType="end"/>
      </w:r>
    </w:p>
    <w:p w14:paraId="6DB80CDD" w14:textId="07055F42"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40 - Accounting Standards Issued, Not Adopted</w:t>
      </w:r>
      <w:r>
        <w:tab/>
      </w:r>
      <w:r>
        <w:fldChar w:fldCharType="begin"/>
      </w:r>
      <w:r>
        <w:instrText xml:space="preserve"> PAGEREF _Toc230858595 \h </w:instrText>
      </w:r>
      <w:r>
        <w:fldChar w:fldCharType="separate"/>
      </w:r>
      <w:r w:rsidR="003D0C13">
        <w:t>48</w:t>
      </w:r>
      <w:r>
        <w:fldChar w:fldCharType="end"/>
      </w:r>
    </w:p>
    <w:p w14:paraId="48D25EFD" w14:textId="259F4244" w:rsidR="006A4FD6" w:rsidRDefault="006A4FD6">
      <w:pPr>
        <w:pStyle w:val="TOC1"/>
        <w:rPr>
          <w:rFonts w:asciiTheme="minorHAnsi" w:eastAsiaTheme="minorEastAsia" w:hAnsiTheme="minorHAnsi"/>
          <w:color w:val="auto"/>
          <w:kern w:val="2"/>
          <w:sz w:val="24"/>
          <w:szCs w:val="24"/>
          <w:lang w:val="en-GB" w:eastAsia="en-GB"/>
          <w14:ligatures w14:val="standardContextual"/>
        </w:rPr>
      </w:pPr>
      <w:r w:rsidRPr="004D6124">
        <w:rPr>
          <w:lang w:val="pt-BR"/>
        </w:rPr>
        <w:t>Note 41 - Restatements</w:t>
      </w:r>
      <w:r>
        <w:tab/>
      </w:r>
      <w:r>
        <w:fldChar w:fldCharType="begin"/>
      </w:r>
      <w:r>
        <w:instrText xml:space="preserve"> PAGEREF _Toc230858596 \h </w:instrText>
      </w:r>
      <w:r>
        <w:fldChar w:fldCharType="separate"/>
      </w:r>
      <w:r w:rsidR="003D0C13">
        <w:t>48</w:t>
      </w:r>
      <w:r>
        <w:fldChar w:fldCharType="end"/>
      </w:r>
    </w:p>
    <w:p w14:paraId="4992EE8B" w14:textId="37993300"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42 - Borrowing</w:t>
      </w:r>
      <w:r>
        <w:tab/>
      </w:r>
      <w:r>
        <w:fldChar w:fldCharType="begin"/>
      </w:r>
      <w:r>
        <w:instrText xml:space="preserve"> PAGEREF _Toc230858597 \h </w:instrText>
      </w:r>
      <w:r>
        <w:fldChar w:fldCharType="separate"/>
      </w:r>
      <w:r w:rsidR="003D0C13">
        <w:t>49</w:t>
      </w:r>
      <w:r>
        <w:fldChar w:fldCharType="end"/>
      </w:r>
    </w:p>
    <w:p w14:paraId="24D63426" w14:textId="23C4C363" w:rsidR="006A4FD6" w:rsidRDefault="006A4FD6">
      <w:pPr>
        <w:pStyle w:val="TOC1"/>
        <w:rPr>
          <w:rFonts w:asciiTheme="minorHAnsi" w:eastAsiaTheme="minorEastAsia" w:hAnsiTheme="minorHAnsi"/>
          <w:color w:val="auto"/>
          <w:kern w:val="2"/>
          <w:sz w:val="24"/>
          <w:szCs w:val="24"/>
          <w:lang w:val="en-GB" w:eastAsia="en-GB"/>
          <w14:ligatures w14:val="standardContextual"/>
        </w:rPr>
      </w:pPr>
      <w:r>
        <w:t>Note 43 - Other Long Term Liabilities</w:t>
      </w:r>
      <w:r>
        <w:tab/>
      </w:r>
      <w:r>
        <w:fldChar w:fldCharType="begin"/>
      </w:r>
      <w:r>
        <w:instrText xml:space="preserve"> PAGEREF _Toc230858598 \h </w:instrText>
      </w:r>
      <w:r>
        <w:fldChar w:fldCharType="separate"/>
      </w:r>
      <w:r w:rsidR="003D0C13">
        <w:t>49</w:t>
      </w:r>
      <w:r>
        <w:fldChar w:fldCharType="end"/>
      </w:r>
    </w:p>
    <w:p w14:paraId="0C93FD00" w14:textId="489B4DA0" w:rsidR="00445D5F" w:rsidRDefault="001C19B4" w:rsidP="003356AE">
      <w:pPr>
        <w:pStyle w:val="TOC2"/>
        <w:spacing w:line="240" w:lineRule="auto"/>
        <w:ind w:left="0"/>
        <w:rPr>
          <w:szCs w:val="20"/>
        </w:rPr>
      </w:pPr>
      <w:r w:rsidRPr="003356AE">
        <w:rPr>
          <w:szCs w:val="20"/>
        </w:rPr>
        <w:fldChar w:fldCharType="end"/>
      </w:r>
    </w:p>
    <w:p w14:paraId="00038D6B" w14:textId="77777777" w:rsidR="00445D5F" w:rsidRDefault="00445D5F">
      <w:pPr>
        <w:spacing w:after="0" w:line="240" w:lineRule="auto"/>
        <w:jc w:val="left"/>
        <w:rPr>
          <w:szCs w:val="20"/>
        </w:rPr>
      </w:pPr>
      <w:r>
        <w:rPr>
          <w:szCs w:val="20"/>
        </w:rPr>
        <w:br w:type="page"/>
      </w:r>
    </w:p>
    <w:p w14:paraId="71386E24" w14:textId="1EAB4B7B" w:rsidR="00AE6646" w:rsidRDefault="00592D67" w:rsidP="00592D67">
      <w:pPr>
        <w:pStyle w:val="NoteHeader"/>
        <w:spacing w:line="240" w:lineRule="auto"/>
      </w:pPr>
      <w:bookmarkStart w:id="62" w:name="_Toc9272122"/>
      <w:bookmarkStart w:id="63" w:name="_Toc9272492"/>
      <w:bookmarkStart w:id="64" w:name="_Toc230858554"/>
      <w:r>
        <w:lastRenderedPageBreak/>
        <w:t xml:space="preserve">Note 1 - </w:t>
      </w:r>
      <w:r w:rsidR="00AE6646" w:rsidRPr="002B6791">
        <w:t>Expenditure and Funding Analysis</w:t>
      </w:r>
      <w:bookmarkEnd w:id="62"/>
      <w:bookmarkEnd w:id="63"/>
      <w:bookmarkEnd w:id="64"/>
    </w:p>
    <w:p w14:paraId="1CE640C2" w14:textId="77777777" w:rsidR="00AE6646" w:rsidRDefault="00AE6646" w:rsidP="003356AE">
      <w:pPr>
        <w:spacing w:line="240" w:lineRule="auto"/>
      </w:pPr>
    </w:p>
    <w:p w14:paraId="484F18AF" w14:textId="77777777" w:rsidR="00AE6646" w:rsidRDefault="00AE6646" w:rsidP="003356AE">
      <w:pPr>
        <w:spacing w:line="240" w:lineRule="auto"/>
        <w:rPr>
          <w:lang w:eastAsia="en-GB"/>
        </w:rPr>
      </w:pPr>
      <w:r w:rsidRPr="00AE1D65">
        <w:rPr>
          <w:lang w:eastAsia="en-GB"/>
        </w:rPr>
        <w:t>The Expenditure and Funding Analysis shows how annual expenditure is used and funded from resources in comparison with those resources consumed or earned by authorities in accordance with generally accepted accounting practices.</w:t>
      </w:r>
      <w:r>
        <w:rPr>
          <w:lang w:eastAsia="en-GB"/>
        </w:rPr>
        <w:t xml:space="preserve"> </w:t>
      </w:r>
      <w:r w:rsidRPr="00AE1D65">
        <w:rPr>
          <w:lang w:eastAsia="en-GB"/>
        </w:rPr>
        <w:t xml:space="preserve"> It also shows how this expenditure is allocated for decision making purposes between the OPFCC and Force. </w:t>
      </w:r>
      <w:r>
        <w:rPr>
          <w:lang w:eastAsia="en-GB"/>
        </w:rPr>
        <w:t xml:space="preserve"> </w:t>
      </w:r>
      <w:r w:rsidRPr="00AE1D65">
        <w:rPr>
          <w:lang w:eastAsia="en-GB"/>
        </w:rPr>
        <w:t>Income and expenditure accounted for under generally accepted accounting practices is presented in the Comprehensive Income and Expenditure Statement.</w:t>
      </w:r>
    </w:p>
    <w:p w14:paraId="1D72D2FC" w14:textId="3BCB4D65" w:rsidR="00AE6646" w:rsidRPr="0043793E" w:rsidRDefault="00AE6646" w:rsidP="003356AE">
      <w:pPr>
        <w:spacing w:line="240" w:lineRule="auto"/>
        <w:rPr>
          <w:rFonts w:eastAsia="Calibri"/>
          <w:szCs w:val="20"/>
        </w:rPr>
      </w:pPr>
    </w:p>
    <w:tbl>
      <w:tblPr>
        <w:tblW w:w="5000" w:type="pct"/>
        <w:tblLook w:val="04A0" w:firstRow="1" w:lastRow="0" w:firstColumn="1" w:lastColumn="0" w:noHBand="0" w:noVBand="1"/>
      </w:tblPr>
      <w:tblGrid>
        <w:gridCol w:w="1125"/>
        <w:gridCol w:w="1167"/>
        <w:gridCol w:w="1125"/>
        <w:gridCol w:w="2803"/>
        <w:gridCol w:w="1125"/>
        <w:gridCol w:w="1167"/>
        <w:gridCol w:w="1125"/>
      </w:tblGrid>
      <w:tr w:rsidR="00817DF4" w:rsidRPr="00817DF4" w14:paraId="590B4FEC" w14:textId="77777777" w:rsidTr="00641A9B">
        <w:trPr>
          <w:trHeight w:val="290"/>
        </w:trPr>
        <w:tc>
          <w:tcPr>
            <w:tcW w:w="1494" w:type="pct"/>
            <w:gridSpan w:val="3"/>
            <w:tcBorders>
              <w:top w:val="nil"/>
              <w:left w:val="nil"/>
              <w:bottom w:val="nil"/>
              <w:right w:val="nil"/>
            </w:tcBorders>
            <w:shd w:val="clear" w:color="000000" w:fill="000099"/>
            <w:noWrap/>
            <w:vAlign w:val="bottom"/>
            <w:hideMark/>
          </w:tcPr>
          <w:p w14:paraId="7B826E9E"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2024/25</w:t>
            </w:r>
          </w:p>
        </w:tc>
        <w:tc>
          <w:tcPr>
            <w:tcW w:w="2026" w:type="pct"/>
            <w:tcBorders>
              <w:top w:val="nil"/>
              <w:left w:val="nil"/>
              <w:bottom w:val="nil"/>
              <w:right w:val="nil"/>
            </w:tcBorders>
            <w:shd w:val="clear" w:color="000000" w:fill="000099"/>
            <w:vAlign w:val="bottom"/>
            <w:hideMark/>
          </w:tcPr>
          <w:p w14:paraId="55DA967D" w14:textId="77777777" w:rsidR="00817DF4" w:rsidRPr="00817DF4" w:rsidRDefault="00817DF4" w:rsidP="00817DF4">
            <w:pPr>
              <w:spacing w:after="0" w:line="240" w:lineRule="auto"/>
              <w:jc w:val="left"/>
              <w:rPr>
                <w:rFonts w:eastAsia="Times New Roman" w:cs="Calibri"/>
                <w:b/>
                <w:bCs/>
                <w:color w:val="FFFFFF"/>
                <w:sz w:val="18"/>
                <w:szCs w:val="18"/>
                <w:lang w:eastAsia="en-GB"/>
              </w:rPr>
            </w:pPr>
            <w:r w:rsidRPr="00817DF4">
              <w:rPr>
                <w:rFonts w:eastAsia="Times New Roman" w:cs="Calibri"/>
                <w:b/>
                <w:bCs/>
                <w:color w:val="FFFFFF"/>
                <w:sz w:val="18"/>
                <w:szCs w:val="18"/>
                <w:lang w:eastAsia="en-GB"/>
              </w:rPr>
              <w:t> </w:t>
            </w:r>
          </w:p>
        </w:tc>
        <w:tc>
          <w:tcPr>
            <w:tcW w:w="1480" w:type="pct"/>
            <w:gridSpan w:val="3"/>
            <w:tcBorders>
              <w:top w:val="nil"/>
              <w:left w:val="nil"/>
              <w:bottom w:val="nil"/>
              <w:right w:val="nil"/>
            </w:tcBorders>
            <w:shd w:val="clear" w:color="000000" w:fill="000099"/>
            <w:noWrap/>
            <w:vAlign w:val="bottom"/>
            <w:hideMark/>
          </w:tcPr>
          <w:p w14:paraId="3DCC1340"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2025/26</w:t>
            </w:r>
          </w:p>
        </w:tc>
      </w:tr>
      <w:tr w:rsidR="00641A9B" w:rsidRPr="00817DF4" w14:paraId="09F1BAEE" w14:textId="77777777" w:rsidTr="00641A9B">
        <w:trPr>
          <w:trHeight w:val="1200"/>
        </w:trPr>
        <w:tc>
          <w:tcPr>
            <w:tcW w:w="581" w:type="pct"/>
            <w:tcBorders>
              <w:top w:val="nil"/>
              <w:left w:val="nil"/>
              <w:bottom w:val="nil"/>
              <w:right w:val="nil"/>
            </w:tcBorders>
            <w:shd w:val="clear" w:color="000000" w:fill="000099"/>
            <w:vAlign w:val="center"/>
            <w:hideMark/>
          </w:tcPr>
          <w:p w14:paraId="2205EA20"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Net Expenditure chargeable to CIES</w:t>
            </w:r>
          </w:p>
        </w:tc>
        <w:tc>
          <w:tcPr>
            <w:tcW w:w="458" w:type="pct"/>
            <w:tcBorders>
              <w:top w:val="nil"/>
              <w:left w:val="nil"/>
              <w:bottom w:val="nil"/>
              <w:right w:val="nil"/>
            </w:tcBorders>
            <w:shd w:val="clear" w:color="000000" w:fill="000099"/>
            <w:vAlign w:val="center"/>
            <w:hideMark/>
          </w:tcPr>
          <w:p w14:paraId="57F39BD9"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Adjustments</w:t>
            </w:r>
          </w:p>
        </w:tc>
        <w:tc>
          <w:tcPr>
            <w:tcW w:w="455" w:type="pct"/>
            <w:tcBorders>
              <w:top w:val="nil"/>
              <w:left w:val="nil"/>
              <w:bottom w:val="nil"/>
              <w:right w:val="nil"/>
            </w:tcBorders>
            <w:shd w:val="clear" w:color="000000" w:fill="000099"/>
            <w:vAlign w:val="center"/>
            <w:hideMark/>
          </w:tcPr>
          <w:p w14:paraId="37AEC5F3"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Net Expenditure as per CIES</w:t>
            </w:r>
          </w:p>
        </w:tc>
        <w:tc>
          <w:tcPr>
            <w:tcW w:w="2026" w:type="pct"/>
            <w:tcBorders>
              <w:top w:val="nil"/>
              <w:left w:val="nil"/>
              <w:bottom w:val="nil"/>
              <w:right w:val="nil"/>
            </w:tcBorders>
            <w:shd w:val="clear" w:color="000000" w:fill="000099"/>
            <w:vAlign w:val="center"/>
            <w:hideMark/>
          </w:tcPr>
          <w:p w14:paraId="46ECC741"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Chief Constable</w:t>
            </w:r>
          </w:p>
        </w:tc>
        <w:tc>
          <w:tcPr>
            <w:tcW w:w="580" w:type="pct"/>
            <w:tcBorders>
              <w:top w:val="nil"/>
              <w:left w:val="nil"/>
              <w:bottom w:val="nil"/>
              <w:right w:val="nil"/>
            </w:tcBorders>
            <w:shd w:val="clear" w:color="000000" w:fill="000099"/>
            <w:vAlign w:val="center"/>
            <w:hideMark/>
          </w:tcPr>
          <w:p w14:paraId="04A4E980"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Net Expenditure chargeable to CIES</w:t>
            </w:r>
          </w:p>
        </w:tc>
        <w:tc>
          <w:tcPr>
            <w:tcW w:w="458" w:type="pct"/>
            <w:tcBorders>
              <w:top w:val="nil"/>
              <w:left w:val="nil"/>
              <w:bottom w:val="nil"/>
              <w:right w:val="nil"/>
            </w:tcBorders>
            <w:shd w:val="clear" w:color="000000" w:fill="000099"/>
            <w:vAlign w:val="center"/>
            <w:hideMark/>
          </w:tcPr>
          <w:p w14:paraId="459E81A8"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Adjustments</w:t>
            </w:r>
          </w:p>
        </w:tc>
        <w:tc>
          <w:tcPr>
            <w:tcW w:w="442" w:type="pct"/>
            <w:tcBorders>
              <w:top w:val="nil"/>
              <w:left w:val="nil"/>
              <w:bottom w:val="nil"/>
              <w:right w:val="nil"/>
            </w:tcBorders>
            <w:shd w:val="clear" w:color="000000" w:fill="000099"/>
            <w:vAlign w:val="center"/>
            <w:hideMark/>
          </w:tcPr>
          <w:p w14:paraId="6CE0DFAC"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Net Expenditure as per CIES</w:t>
            </w:r>
          </w:p>
        </w:tc>
      </w:tr>
      <w:tr w:rsidR="00641A9B" w:rsidRPr="00817DF4" w14:paraId="798C1814" w14:textId="77777777" w:rsidTr="00641A9B">
        <w:trPr>
          <w:trHeight w:val="290"/>
        </w:trPr>
        <w:tc>
          <w:tcPr>
            <w:tcW w:w="581" w:type="pct"/>
            <w:tcBorders>
              <w:top w:val="nil"/>
              <w:left w:val="nil"/>
              <w:bottom w:val="nil"/>
              <w:right w:val="nil"/>
            </w:tcBorders>
            <w:shd w:val="clear" w:color="000000" w:fill="000099"/>
            <w:vAlign w:val="bottom"/>
            <w:hideMark/>
          </w:tcPr>
          <w:p w14:paraId="199CF03D"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£000</w:t>
            </w:r>
          </w:p>
        </w:tc>
        <w:tc>
          <w:tcPr>
            <w:tcW w:w="458" w:type="pct"/>
            <w:tcBorders>
              <w:top w:val="nil"/>
              <w:left w:val="nil"/>
              <w:bottom w:val="nil"/>
              <w:right w:val="nil"/>
            </w:tcBorders>
            <w:shd w:val="clear" w:color="000000" w:fill="000099"/>
            <w:vAlign w:val="bottom"/>
            <w:hideMark/>
          </w:tcPr>
          <w:p w14:paraId="34B91B58"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£000</w:t>
            </w:r>
          </w:p>
        </w:tc>
        <w:tc>
          <w:tcPr>
            <w:tcW w:w="455" w:type="pct"/>
            <w:tcBorders>
              <w:top w:val="nil"/>
              <w:left w:val="nil"/>
              <w:bottom w:val="nil"/>
              <w:right w:val="nil"/>
            </w:tcBorders>
            <w:shd w:val="clear" w:color="000000" w:fill="000099"/>
            <w:vAlign w:val="bottom"/>
            <w:hideMark/>
          </w:tcPr>
          <w:p w14:paraId="3C5AC7E0"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£000</w:t>
            </w:r>
          </w:p>
        </w:tc>
        <w:tc>
          <w:tcPr>
            <w:tcW w:w="2026" w:type="pct"/>
            <w:tcBorders>
              <w:top w:val="nil"/>
              <w:left w:val="nil"/>
              <w:bottom w:val="nil"/>
              <w:right w:val="nil"/>
            </w:tcBorders>
            <w:shd w:val="clear" w:color="000000" w:fill="000099"/>
            <w:vAlign w:val="bottom"/>
            <w:hideMark/>
          </w:tcPr>
          <w:p w14:paraId="01B2AC1A"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 </w:t>
            </w:r>
          </w:p>
        </w:tc>
        <w:tc>
          <w:tcPr>
            <w:tcW w:w="580" w:type="pct"/>
            <w:tcBorders>
              <w:top w:val="nil"/>
              <w:left w:val="nil"/>
              <w:bottom w:val="nil"/>
              <w:right w:val="nil"/>
            </w:tcBorders>
            <w:shd w:val="clear" w:color="000000" w:fill="000099"/>
            <w:vAlign w:val="bottom"/>
            <w:hideMark/>
          </w:tcPr>
          <w:p w14:paraId="3E811F1D"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£000</w:t>
            </w:r>
          </w:p>
        </w:tc>
        <w:tc>
          <w:tcPr>
            <w:tcW w:w="458" w:type="pct"/>
            <w:tcBorders>
              <w:top w:val="nil"/>
              <w:left w:val="nil"/>
              <w:bottom w:val="nil"/>
              <w:right w:val="nil"/>
            </w:tcBorders>
            <w:shd w:val="clear" w:color="000000" w:fill="000099"/>
            <w:vAlign w:val="bottom"/>
            <w:hideMark/>
          </w:tcPr>
          <w:p w14:paraId="7A9361D1"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£000</w:t>
            </w:r>
          </w:p>
        </w:tc>
        <w:tc>
          <w:tcPr>
            <w:tcW w:w="442" w:type="pct"/>
            <w:tcBorders>
              <w:top w:val="nil"/>
              <w:left w:val="nil"/>
              <w:bottom w:val="nil"/>
              <w:right w:val="nil"/>
            </w:tcBorders>
            <w:shd w:val="clear" w:color="000000" w:fill="000099"/>
            <w:vAlign w:val="bottom"/>
            <w:hideMark/>
          </w:tcPr>
          <w:p w14:paraId="031C8E4F" w14:textId="77777777" w:rsidR="00817DF4" w:rsidRPr="00817DF4" w:rsidRDefault="00817DF4" w:rsidP="00817DF4">
            <w:pPr>
              <w:spacing w:after="0" w:line="240" w:lineRule="auto"/>
              <w:jc w:val="center"/>
              <w:rPr>
                <w:rFonts w:eastAsia="Times New Roman" w:cs="Calibri"/>
                <w:b/>
                <w:bCs/>
                <w:color w:val="FFFFFF"/>
                <w:sz w:val="18"/>
                <w:szCs w:val="18"/>
                <w:lang w:eastAsia="en-GB"/>
              </w:rPr>
            </w:pPr>
            <w:r w:rsidRPr="00817DF4">
              <w:rPr>
                <w:rFonts w:eastAsia="Times New Roman" w:cs="Calibri"/>
                <w:b/>
                <w:bCs/>
                <w:color w:val="FFFFFF"/>
                <w:sz w:val="18"/>
                <w:szCs w:val="18"/>
                <w:lang w:eastAsia="en-GB"/>
              </w:rPr>
              <w:t>£000</w:t>
            </w:r>
          </w:p>
        </w:tc>
      </w:tr>
      <w:tr w:rsidR="00641A9B" w:rsidRPr="00817DF4" w14:paraId="7C4EF039" w14:textId="77777777" w:rsidTr="00641A9B">
        <w:trPr>
          <w:trHeight w:val="300"/>
        </w:trPr>
        <w:tc>
          <w:tcPr>
            <w:tcW w:w="581" w:type="pct"/>
            <w:tcBorders>
              <w:top w:val="nil"/>
              <w:left w:val="nil"/>
              <w:bottom w:val="nil"/>
              <w:right w:val="nil"/>
            </w:tcBorders>
            <w:shd w:val="clear" w:color="000000" w:fill="FFFFFF"/>
            <w:vAlign w:val="center"/>
            <w:hideMark/>
          </w:tcPr>
          <w:p w14:paraId="0E84BDFE"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117,484</w:t>
            </w:r>
          </w:p>
        </w:tc>
        <w:tc>
          <w:tcPr>
            <w:tcW w:w="458" w:type="pct"/>
            <w:tcBorders>
              <w:top w:val="nil"/>
              <w:left w:val="nil"/>
              <w:bottom w:val="nil"/>
              <w:right w:val="nil"/>
            </w:tcBorders>
            <w:shd w:val="clear" w:color="000000" w:fill="FFFFFF"/>
            <w:vAlign w:val="center"/>
            <w:hideMark/>
          </w:tcPr>
          <w:p w14:paraId="15797418"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18,327</w:t>
            </w:r>
          </w:p>
        </w:tc>
        <w:tc>
          <w:tcPr>
            <w:tcW w:w="455" w:type="pct"/>
            <w:tcBorders>
              <w:top w:val="nil"/>
              <w:left w:val="nil"/>
              <w:bottom w:val="nil"/>
              <w:right w:val="nil"/>
            </w:tcBorders>
            <w:shd w:val="clear" w:color="000000" w:fill="FFFFFF"/>
            <w:vAlign w:val="center"/>
            <w:hideMark/>
          </w:tcPr>
          <w:p w14:paraId="6F6786BF"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135,811</w:t>
            </w:r>
          </w:p>
        </w:tc>
        <w:tc>
          <w:tcPr>
            <w:tcW w:w="2026" w:type="pct"/>
            <w:tcBorders>
              <w:top w:val="nil"/>
              <w:left w:val="nil"/>
              <w:bottom w:val="nil"/>
              <w:right w:val="nil"/>
            </w:tcBorders>
            <w:shd w:val="clear" w:color="000000" w:fill="FFFFFF"/>
            <w:vAlign w:val="center"/>
            <w:hideMark/>
          </w:tcPr>
          <w:p w14:paraId="71A938E8" w14:textId="77777777" w:rsidR="00817DF4" w:rsidRPr="00817DF4" w:rsidRDefault="00817DF4" w:rsidP="00817DF4">
            <w:pPr>
              <w:spacing w:after="0" w:line="240" w:lineRule="auto"/>
              <w:jc w:val="left"/>
              <w:rPr>
                <w:rFonts w:eastAsia="Times New Roman" w:cs="Calibri"/>
                <w:color w:val="000000"/>
                <w:sz w:val="18"/>
                <w:szCs w:val="18"/>
                <w:lang w:eastAsia="en-GB"/>
              </w:rPr>
            </w:pPr>
            <w:r w:rsidRPr="00817DF4">
              <w:rPr>
                <w:rFonts w:eastAsia="Times New Roman" w:cs="Calibri"/>
                <w:color w:val="000000"/>
                <w:sz w:val="18"/>
                <w:szCs w:val="18"/>
                <w:lang w:eastAsia="en-GB"/>
              </w:rPr>
              <w:t>Policing Services</w:t>
            </w:r>
          </w:p>
        </w:tc>
        <w:tc>
          <w:tcPr>
            <w:tcW w:w="580" w:type="pct"/>
            <w:tcBorders>
              <w:top w:val="nil"/>
              <w:left w:val="nil"/>
              <w:bottom w:val="nil"/>
              <w:right w:val="nil"/>
            </w:tcBorders>
            <w:shd w:val="clear" w:color="000000" w:fill="CCECFF"/>
            <w:vAlign w:val="center"/>
            <w:hideMark/>
          </w:tcPr>
          <w:p w14:paraId="03F90F4D"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132,552</w:t>
            </w:r>
          </w:p>
        </w:tc>
        <w:tc>
          <w:tcPr>
            <w:tcW w:w="458" w:type="pct"/>
            <w:tcBorders>
              <w:top w:val="nil"/>
              <w:left w:val="nil"/>
              <w:bottom w:val="nil"/>
              <w:right w:val="nil"/>
            </w:tcBorders>
            <w:shd w:val="clear" w:color="000000" w:fill="CCECFF"/>
            <w:vAlign w:val="center"/>
            <w:hideMark/>
          </w:tcPr>
          <w:p w14:paraId="04CCA98F"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19,779</w:t>
            </w:r>
          </w:p>
        </w:tc>
        <w:tc>
          <w:tcPr>
            <w:tcW w:w="442" w:type="pct"/>
            <w:tcBorders>
              <w:top w:val="nil"/>
              <w:left w:val="nil"/>
              <w:bottom w:val="nil"/>
              <w:right w:val="nil"/>
            </w:tcBorders>
            <w:shd w:val="clear" w:color="000000" w:fill="CCECFF"/>
            <w:vAlign w:val="center"/>
            <w:hideMark/>
          </w:tcPr>
          <w:p w14:paraId="3A918959"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152,331</w:t>
            </w:r>
          </w:p>
        </w:tc>
      </w:tr>
      <w:tr w:rsidR="00641A9B" w:rsidRPr="00817DF4" w14:paraId="4B4F3059" w14:textId="77777777" w:rsidTr="00641A9B">
        <w:trPr>
          <w:trHeight w:val="290"/>
        </w:trPr>
        <w:tc>
          <w:tcPr>
            <w:tcW w:w="581" w:type="pct"/>
            <w:tcBorders>
              <w:top w:val="nil"/>
              <w:left w:val="nil"/>
              <w:bottom w:val="nil"/>
              <w:right w:val="nil"/>
            </w:tcBorders>
            <w:shd w:val="clear" w:color="000000" w:fill="FFFFFF"/>
            <w:vAlign w:val="center"/>
            <w:hideMark/>
          </w:tcPr>
          <w:p w14:paraId="7B62B330"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FFFFFF"/>
            <w:vAlign w:val="center"/>
            <w:hideMark/>
          </w:tcPr>
          <w:p w14:paraId="14813BA4"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5" w:type="pct"/>
            <w:tcBorders>
              <w:top w:val="nil"/>
              <w:left w:val="nil"/>
              <w:bottom w:val="nil"/>
              <w:right w:val="nil"/>
            </w:tcBorders>
            <w:shd w:val="clear" w:color="000000" w:fill="FFFFFF"/>
            <w:vAlign w:val="center"/>
            <w:hideMark/>
          </w:tcPr>
          <w:p w14:paraId="3CD9B827"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2026" w:type="pct"/>
            <w:tcBorders>
              <w:top w:val="nil"/>
              <w:left w:val="nil"/>
              <w:bottom w:val="nil"/>
              <w:right w:val="nil"/>
            </w:tcBorders>
            <w:shd w:val="clear" w:color="000000" w:fill="FFFFFF"/>
            <w:vAlign w:val="center"/>
            <w:hideMark/>
          </w:tcPr>
          <w:p w14:paraId="077A8524" w14:textId="77777777" w:rsidR="00817DF4" w:rsidRPr="00817DF4" w:rsidRDefault="00817DF4" w:rsidP="00817DF4">
            <w:pPr>
              <w:spacing w:after="0" w:line="240" w:lineRule="auto"/>
              <w:jc w:val="left"/>
              <w:rPr>
                <w:rFonts w:eastAsia="Times New Roman" w:cs="Calibri"/>
                <w:color w:val="000000"/>
                <w:sz w:val="18"/>
                <w:szCs w:val="18"/>
                <w:lang w:eastAsia="en-GB"/>
              </w:rPr>
            </w:pPr>
            <w:r w:rsidRPr="00817DF4">
              <w:rPr>
                <w:rFonts w:eastAsia="Times New Roman" w:cs="Calibri"/>
                <w:color w:val="000000"/>
                <w:sz w:val="18"/>
                <w:szCs w:val="18"/>
                <w:lang w:eastAsia="en-GB"/>
              </w:rPr>
              <w:t>OPFCC &amp; Commissioning</w:t>
            </w:r>
          </w:p>
        </w:tc>
        <w:tc>
          <w:tcPr>
            <w:tcW w:w="580" w:type="pct"/>
            <w:tcBorders>
              <w:top w:val="nil"/>
              <w:left w:val="nil"/>
              <w:bottom w:val="nil"/>
              <w:right w:val="nil"/>
            </w:tcBorders>
            <w:shd w:val="clear" w:color="000000" w:fill="CCECFF"/>
            <w:vAlign w:val="center"/>
            <w:hideMark/>
          </w:tcPr>
          <w:p w14:paraId="025268CF"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CCECFF"/>
            <w:vAlign w:val="center"/>
            <w:hideMark/>
          </w:tcPr>
          <w:p w14:paraId="2E8B7F8D"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42" w:type="pct"/>
            <w:tcBorders>
              <w:top w:val="nil"/>
              <w:left w:val="nil"/>
              <w:bottom w:val="nil"/>
              <w:right w:val="nil"/>
            </w:tcBorders>
            <w:shd w:val="clear" w:color="000000" w:fill="CCECFF"/>
            <w:vAlign w:val="center"/>
            <w:hideMark/>
          </w:tcPr>
          <w:p w14:paraId="38A92076"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r>
      <w:tr w:rsidR="00641A9B" w:rsidRPr="00817DF4" w14:paraId="7FB1270D" w14:textId="77777777" w:rsidTr="00641A9B">
        <w:trPr>
          <w:trHeight w:val="290"/>
        </w:trPr>
        <w:tc>
          <w:tcPr>
            <w:tcW w:w="581" w:type="pct"/>
            <w:tcBorders>
              <w:top w:val="nil"/>
              <w:left w:val="nil"/>
              <w:bottom w:val="nil"/>
              <w:right w:val="nil"/>
            </w:tcBorders>
            <w:shd w:val="clear" w:color="000000" w:fill="FFFFFF"/>
            <w:vAlign w:val="center"/>
            <w:hideMark/>
          </w:tcPr>
          <w:p w14:paraId="37FEAC3C"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FFFFFF"/>
            <w:vAlign w:val="center"/>
            <w:hideMark/>
          </w:tcPr>
          <w:p w14:paraId="402254D6"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5" w:type="pct"/>
            <w:tcBorders>
              <w:top w:val="nil"/>
              <w:left w:val="nil"/>
              <w:bottom w:val="nil"/>
              <w:right w:val="nil"/>
            </w:tcBorders>
            <w:shd w:val="clear" w:color="000000" w:fill="FFFFFF"/>
            <w:vAlign w:val="center"/>
            <w:hideMark/>
          </w:tcPr>
          <w:p w14:paraId="001D63D2"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2026" w:type="pct"/>
            <w:tcBorders>
              <w:top w:val="nil"/>
              <w:left w:val="nil"/>
              <w:bottom w:val="nil"/>
              <w:right w:val="nil"/>
            </w:tcBorders>
            <w:shd w:val="clear" w:color="000000" w:fill="FFFFFF"/>
            <w:vAlign w:val="center"/>
            <w:hideMark/>
          </w:tcPr>
          <w:p w14:paraId="028B2D1C" w14:textId="77777777" w:rsidR="00817DF4" w:rsidRPr="00817DF4" w:rsidRDefault="00817DF4" w:rsidP="00817DF4">
            <w:pPr>
              <w:spacing w:after="0" w:line="240" w:lineRule="auto"/>
              <w:jc w:val="left"/>
              <w:rPr>
                <w:rFonts w:eastAsia="Times New Roman" w:cs="Calibri"/>
                <w:color w:val="000000"/>
                <w:sz w:val="18"/>
                <w:szCs w:val="18"/>
                <w:lang w:eastAsia="en-GB"/>
              </w:rPr>
            </w:pPr>
            <w:r w:rsidRPr="00817DF4">
              <w:rPr>
                <w:rFonts w:eastAsia="Times New Roman" w:cs="Calibri"/>
                <w:color w:val="000000"/>
                <w:sz w:val="18"/>
                <w:szCs w:val="18"/>
                <w:lang w:eastAsia="en-GB"/>
              </w:rPr>
              <w:t>Non-Distributed Costs</w:t>
            </w:r>
          </w:p>
        </w:tc>
        <w:tc>
          <w:tcPr>
            <w:tcW w:w="580" w:type="pct"/>
            <w:tcBorders>
              <w:top w:val="nil"/>
              <w:left w:val="nil"/>
              <w:bottom w:val="nil"/>
              <w:right w:val="nil"/>
            </w:tcBorders>
            <w:shd w:val="clear" w:color="000000" w:fill="CCECFF"/>
            <w:vAlign w:val="center"/>
            <w:hideMark/>
          </w:tcPr>
          <w:p w14:paraId="304E3908"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CCECFF"/>
            <w:vAlign w:val="center"/>
            <w:hideMark/>
          </w:tcPr>
          <w:p w14:paraId="43EEB00D"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42" w:type="pct"/>
            <w:tcBorders>
              <w:top w:val="nil"/>
              <w:left w:val="nil"/>
              <w:bottom w:val="nil"/>
              <w:right w:val="nil"/>
            </w:tcBorders>
            <w:shd w:val="clear" w:color="000000" w:fill="CCECFF"/>
            <w:vAlign w:val="center"/>
            <w:hideMark/>
          </w:tcPr>
          <w:p w14:paraId="36E4B99A"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r>
      <w:tr w:rsidR="00641A9B" w:rsidRPr="00817DF4" w14:paraId="08730757" w14:textId="77777777" w:rsidTr="00641A9B">
        <w:trPr>
          <w:trHeight w:val="60"/>
        </w:trPr>
        <w:tc>
          <w:tcPr>
            <w:tcW w:w="581" w:type="pct"/>
            <w:tcBorders>
              <w:top w:val="nil"/>
              <w:left w:val="nil"/>
              <w:bottom w:val="single" w:sz="4" w:space="0" w:color="auto"/>
              <w:right w:val="nil"/>
            </w:tcBorders>
            <w:shd w:val="clear" w:color="000000" w:fill="FFFFFF"/>
            <w:vAlign w:val="center"/>
            <w:hideMark/>
          </w:tcPr>
          <w:p w14:paraId="4A342352"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58" w:type="pct"/>
            <w:tcBorders>
              <w:top w:val="nil"/>
              <w:left w:val="nil"/>
              <w:bottom w:val="single" w:sz="4" w:space="0" w:color="auto"/>
              <w:right w:val="nil"/>
            </w:tcBorders>
            <w:shd w:val="clear" w:color="000000" w:fill="FFFFFF"/>
            <w:vAlign w:val="center"/>
            <w:hideMark/>
          </w:tcPr>
          <w:p w14:paraId="4D3BD588"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55" w:type="pct"/>
            <w:tcBorders>
              <w:top w:val="nil"/>
              <w:left w:val="nil"/>
              <w:bottom w:val="single" w:sz="4" w:space="0" w:color="auto"/>
              <w:right w:val="nil"/>
            </w:tcBorders>
            <w:shd w:val="clear" w:color="000000" w:fill="FFFFFF"/>
            <w:vAlign w:val="center"/>
            <w:hideMark/>
          </w:tcPr>
          <w:p w14:paraId="0B7BACF5"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2026" w:type="pct"/>
            <w:tcBorders>
              <w:top w:val="nil"/>
              <w:left w:val="nil"/>
              <w:bottom w:val="nil"/>
              <w:right w:val="nil"/>
            </w:tcBorders>
            <w:shd w:val="clear" w:color="000000" w:fill="FFFFFF"/>
            <w:vAlign w:val="center"/>
            <w:hideMark/>
          </w:tcPr>
          <w:p w14:paraId="22A6F1B9" w14:textId="77777777" w:rsidR="00817DF4" w:rsidRPr="00817DF4" w:rsidRDefault="00817DF4" w:rsidP="00817DF4">
            <w:pPr>
              <w:spacing w:after="0" w:line="240" w:lineRule="auto"/>
              <w:jc w:val="left"/>
              <w:rPr>
                <w:rFonts w:eastAsia="Times New Roman" w:cs="Calibri"/>
                <w:color w:val="000000"/>
                <w:sz w:val="18"/>
                <w:szCs w:val="18"/>
                <w:lang w:eastAsia="en-GB"/>
              </w:rPr>
            </w:pPr>
            <w:r w:rsidRPr="00817DF4">
              <w:rPr>
                <w:rFonts w:eastAsia="Times New Roman" w:cs="Calibri"/>
                <w:color w:val="000000"/>
                <w:sz w:val="18"/>
                <w:szCs w:val="18"/>
                <w:lang w:eastAsia="en-GB"/>
              </w:rPr>
              <w:t> </w:t>
            </w:r>
          </w:p>
        </w:tc>
        <w:tc>
          <w:tcPr>
            <w:tcW w:w="580" w:type="pct"/>
            <w:tcBorders>
              <w:top w:val="nil"/>
              <w:left w:val="nil"/>
              <w:bottom w:val="single" w:sz="4" w:space="0" w:color="auto"/>
              <w:right w:val="nil"/>
            </w:tcBorders>
            <w:shd w:val="clear" w:color="000000" w:fill="CCECFF"/>
            <w:vAlign w:val="center"/>
            <w:hideMark/>
          </w:tcPr>
          <w:p w14:paraId="7993FAF4"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58" w:type="pct"/>
            <w:tcBorders>
              <w:top w:val="nil"/>
              <w:left w:val="nil"/>
              <w:bottom w:val="single" w:sz="4" w:space="0" w:color="auto"/>
              <w:right w:val="nil"/>
            </w:tcBorders>
            <w:shd w:val="clear" w:color="000000" w:fill="CCECFF"/>
            <w:vAlign w:val="center"/>
            <w:hideMark/>
          </w:tcPr>
          <w:p w14:paraId="3D0F5E0C"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42" w:type="pct"/>
            <w:tcBorders>
              <w:top w:val="nil"/>
              <w:left w:val="nil"/>
              <w:bottom w:val="single" w:sz="4" w:space="0" w:color="auto"/>
              <w:right w:val="nil"/>
            </w:tcBorders>
            <w:shd w:val="clear" w:color="000000" w:fill="CCECFF"/>
            <w:vAlign w:val="center"/>
            <w:hideMark/>
          </w:tcPr>
          <w:p w14:paraId="1197D27F"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r>
      <w:tr w:rsidR="00641A9B" w:rsidRPr="00817DF4" w14:paraId="720B6983" w14:textId="77777777" w:rsidTr="00641A9B">
        <w:trPr>
          <w:trHeight w:val="300"/>
        </w:trPr>
        <w:tc>
          <w:tcPr>
            <w:tcW w:w="581" w:type="pct"/>
            <w:tcBorders>
              <w:top w:val="nil"/>
              <w:left w:val="nil"/>
              <w:bottom w:val="single" w:sz="4" w:space="0" w:color="auto"/>
              <w:right w:val="nil"/>
            </w:tcBorders>
            <w:shd w:val="clear" w:color="000000" w:fill="FFFFFF"/>
            <w:vAlign w:val="center"/>
            <w:hideMark/>
          </w:tcPr>
          <w:p w14:paraId="3FED46BC"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117,484</w:t>
            </w:r>
          </w:p>
        </w:tc>
        <w:tc>
          <w:tcPr>
            <w:tcW w:w="458" w:type="pct"/>
            <w:tcBorders>
              <w:top w:val="nil"/>
              <w:left w:val="nil"/>
              <w:bottom w:val="single" w:sz="4" w:space="0" w:color="auto"/>
              <w:right w:val="nil"/>
            </w:tcBorders>
            <w:shd w:val="clear" w:color="000000" w:fill="FFFFFF"/>
            <w:vAlign w:val="center"/>
            <w:hideMark/>
          </w:tcPr>
          <w:p w14:paraId="0CBF61A2"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18,327</w:t>
            </w:r>
          </w:p>
        </w:tc>
        <w:tc>
          <w:tcPr>
            <w:tcW w:w="455" w:type="pct"/>
            <w:tcBorders>
              <w:top w:val="nil"/>
              <w:left w:val="nil"/>
              <w:bottom w:val="single" w:sz="4" w:space="0" w:color="auto"/>
              <w:right w:val="nil"/>
            </w:tcBorders>
            <w:shd w:val="clear" w:color="000000" w:fill="FFFFFF"/>
            <w:vAlign w:val="center"/>
            <w:hideMark/>
          </w:tcPr>
          <w:p w14:paraId="25113455"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135,811</w:t>
            </w:r>
          </w:p>
        </w:tc>
        <w:tc>
          <w:tcPr>
            <w:tcW w:w="2026" w:type="pct"/>
            <w:tcBorders>
              <w:top w:val="nil"/>
              <w:left w:val="nil"/>
              <w:bottom w:val="nil"/>
              <w:right w:val="nil"/>
            </w:tcBorders>
            <w:shd w:val="clear" w:color="000000" w:fill="FFFFFF"/>
            <w:vAlign w:val="center"/>
            <w:hideMark/>
          </w:tcPr>
          <w:p w14:paraId="2011685D" w14:textId="77777777" w:rsidR="00817DF4" w:rsidRPr="00817DF4" w:rsidRDefault="00817DF4" w:rsidP="00817DF4">
            <w:pPr>
              <w:spacing w:after="0" w:line="240" w:lineRule="auto"/>
              <w:jc w:val="left"/>
              <w:rPr>
                <w:rFonts w:eastAsia="Times New Roman" w:cs="Calibri"/>
                <w:b/>
                <w:bCs/>
                <w:color w:val="000000"/>
                <w:sz w:val="18"/>
                <w:szCs w:val="18"/>
                <w:lang w:eastAsia="en-GB"/>
              </w:rPr>
            </w:pPr>
            <w:r w:rsidRPr="00817DF4">
              <w:rPr>
                <w:rFonts w:eastAsia="Times New Roman" w:cs="Calibri"/>
                <w:b/>
                <w:bCs/>
                <w:color w:val="000000"/>
                <w:sz w:val="18"/>
                <w:szCs w:val="18"/>
                <w:lang w:eastAsia="en-GB"/>
              </w:rPr>
              <w:t>Cost Of Services</w:t>
            </w:r>
          </w:p>
        </w:tc>
        <w:tc>
          <w:tcPr>
            <w:tcW w:w="580" w:type="pct"/>
            <w:tcBorders>
              <w:top w:val="nil"/>
              <w:left w:val="nil"/>
              <w:bottom w:val="single" w:sz="4" w:space="0" w:color="auto"/>
              <w:right w:val="nil"/>
            </w:tcBorders>
            <w:shd w:val="clear" w:color="000000" w:fill="CCECFF"/>
            <w:vAlign w:val="center"/>
            <w:hideMark/>
          </w:tcPr>
          <w:p w14:paraId="56DD7633"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132,552</w:t>
            </w:r>
          </w:p>
        </w:tc>
        <w:tc>
          <w:tcPr>
            <w:tcW w:w="458" w:type="pct"/>
            <w:tcBorders>
              <w:top w:val="nil"/>
              <w:left w:val="nil"/>
              <w:bottom w:val="single" w:sz="4" w:space="0" w:color="auto"/>
              <w:right w:val="nil"/>
            </w:tcBorders>
            <w:shd w:val="clear" w:color="000000" w:fill="CCECFF"/>
            <w:vAlign w:val="center"/>
            <w:hideMark/>
          </w:tcPr>
          <w:p w14:paraId="090C6822"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19,779</w:t>
            </w:r>
          </w:p>
        </w:tc>
        <w:tc>
          <w:tcPr>
            <w:tcW w:w="442" w:type="pct"/>
            <w:tcBorders>
              <w:top w:val="nil"/>
              <w:left w:val="nil"/>
              <w:bottom w:val="single" w:sz="4" w:space="0" w:color="auto"/>
              <w:right w:val="nil"/>
            </w:tcBorders>
            <w:shd w:val="clear" w:color="000000" w:fill="CCECFF"/>
            <w:vAlign w:val="center"/>
            <w:hideMark/>
          </w:tcPr>
          <w:p w14:paraId="3C039F84"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152,331</w:t>
            </w:r>
          </w:p>
        </w:tc>
      </w:tr>
      <w:tr w:rsidR="00641A9B" w:rsidRPr="00817DF4" w14:paraId="5DC4BD83" w14:textId="77777777" w:rsidTr="00641A9B">
        <w:trPr>
          <w:trHeight w:val="290"/>
        </w:trPr>
        <w:tc>
          <w:tcPr>
            <w:tcW w:w="581" w:type="pct"/>
            <w:tcBorders>
              <w:top w:val="nil"/>
              <w:left w:val="nil"/>
              <w:bottom w:val="nil"/>
              <w:right w:val="nil"/>
            </w:tcBorders>
            <w:shd w:val="clear" w:color="000000" w:fill="FFFFFF"/>
            <w:vAlign w:val="center"/>
            <w:hideMark/>
          </w:tcPr>
          <w:p w14:paraId="3ADBA945"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000000"/>
                <w:sz w:val="18"/>
                <w:szCs w:val="18"/>
                <w:lang w:eastAsia="en-GB"/>
              </w:rPr>
              <w:t>(165,024)</w:t>
            </w:r>
          </w:p>
        </w:tc>
        <w:tc>
          <w:tcPr>
            <w:tcW w:w="458" w:type="pct"/>
            <w:tcBorders>
              <w:top w:val="nil"/>
              <w:left w:val="nil"/>
              <w:bottom w:val="nil"/>
              <w:right w:val="nil"/>
            </w:tcBorders>
            <w:shd w:val="clear" w:color="000000" w:fill="FFFFFF"/>
            <w:vAlign w:val="center"/>
            <w:hideMark/>
          </w:tcPr>
          <w:p w14:paraId="17F99E73"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5" w:type="pct"/>
            <w:tcBorders>
              <w:top w:val="nil"/>
              <w:left w:val="nil"/>
              <w:bottom w:val="nil"/>
              <w:right w:val="nil"/>
            </w:tcBorders>
            <w:shd w:val="clear" w:color="000000" w:fill="FFFFFF"/>
            <w:vAlign w:val="center"/>
            <w:hideMark/>
          </w:tcPr>
          <w:p w14:paraId="5E406835" w14:textId="4E267353"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000000"/>
                <w:sz w:val="18"/>
                <w:szCs w:val="18"/>
                <w:lang w:eastAsia="en-GB"/>
              </w:rPr>
              <w:t>(16</w:t>
            </w:r>
            <w:r w:rsidR="004809C8">
              <w:rPr>
                <w:rFonts w:eastAsia="Times New Roman" w:cs="Calibri"/>
                <w:color w:val="000000"/>
                <w:sz w:val="18"/>
                <w:szCs w:val="18"/>
                <w:lang w:eastAsia="en-GB"/>
              </w:rPr>
              <w:t>5</w:t>
            </w:r>
            <w:r w:rsidRPr="00817DF4">
              <w:rPr>
                <w:rFonts w:eastAsia="Times New Roman" w:cs="Calibri"/>
                <w:color w:val="000000"/>
                <w:sz w:val="18"/>
                <w:szCs w:val="18"/>
                <w:lang w:eastAsia="en-GB"/>
              </w:rPr>
              <w:t>,</w:t>
            </w:r>
            <w:r w:rsidR="004809C8">
              <w:rPr>
                <w:rFonts w:eastAsia="Times New Roman" w:cs="Calibri"/>
                <w:color w:val="000000"/>
                <w:sz w:val="18"/>
                <w:szCs w:val="18"/>
                <w:lang w:eastAsia="en-GB"/>
              </w:rPr>
              <w:t>024</w:t>
            </w:r>
            <w:r w:rsidRPr="00817DF4">
              <w:rPr>
                <w:rFonts w:eastAsia="Times New Roman" w:cs="Calibri"/>
                <w:color w:val="000000"/>
                <w:sz w:val="18"/>
                <w:szCs w:val="18"/>
                <w:lang w:eastAsia="en-GB"/>
              </w:rPr>
              <w:t>)</w:t>
            </w:r>
          </w:p>
        </w:tc>
        <w:tc>
          <w:tcPr>
            <w:tcW w:w="2026" w:type="pct"/>
            <w:tcBorders>
              <w:top w:val="nil"/>
              <w:left w:val="nil"/>
              <w:bottom w:val="nil"/>
              <w:right w:val="nil"/>
            </w:tcBorders>
            <w:shd w:val="clear" w:color="000000" w:fill="FFFFFF"/>
            <w:vAlign w:val="center"/>
            <w:hideMark/>
          </w:tcPr>
          <w:p w14:paraId="67EAAF90" w14:textId="77777777" w:rsidR="00817DF4" w:rsidRPr="00817DF4" w:rsidRDefault="00817DF4" w:rsidP="00817DF4">
            <w:pPr>
              <w:spacing w:after="0" w:line="240" w:lineRule="auto"/>
              <w:jc w:val="left"/>
              <w:rPr>
                <w:rFonts w:eastAsia="Times New Roman" w:cs="Calibri"/>
                <w:color w:val="000000"/>
                <w:sz w:val="18"/>
                <w:szCs w:val="18"/>
                <w:lang w:eastAsia="en-GB"/>
              </w:rPr>
            </w:pPr>
            <w:r w:rsidRPr="00817DF4">
              <w:rPr>
                <w:rFonts w:eastAsia="Times New Roman" w:cs="Calibri"/>
                <w:color w:val="000000"/>
                <w:sz w:val="18"/>
                <w:szCs w:val="18"/>
                <w:lang w:eastAsia="en-GB"/>
              </w:rPr>
              <w:t>Intra-Organisational Adjustment</w:t>
            </w:r>
          </w:p>
        </w:tc>
        <w:tc>
          <w:tcPr>
            <w:tcW w:w="580" w:type="pct"/>
            <w:tcBorders>
              <w:top w:val="nil"/>
              <w:left w:val="nil"/>
              <w:bottom w:val="nil"/>
              <w:right w:val="nil"/>
            </w:tcBorders>
            <w:shd w:val="clear" w:color="000000" w:fill="CCECFF"/>
            <w:vAlign w:val="center"/>
            <w:hideMark/>
          </w:tcPr>
          <w:p w14:paraId="315E203F"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000000"/>
                <w:sz w:val="18"/>
                <w:szCs w:val="18"/>
                <w:lang w:eastAsia="en-GB"/>
              </w:rPr>
              <w:t>(184,604)</w:t>
            </w:r>
          </w:p>
        </w:tc>
        <w:tc>
          <w:tcPr>
            <w:tcW w:w="458" w:type="pct"/>
            <w:tcBorders>
              <w:top w:val="nil"/>
              <w:left w:val="nil"/>
              <w:bottom w:val="nil"/>
              <w:right w:val="nil"/>
            </w:tcBorders>
            <w:shd w:val="clear" w:color="000000" w:fill="CCECFF"/>
            <w:vAlign w:val="center"/>
            <w:hideMark/>
          </w:tcPr>
          <w:p w14:paraId="0307F12C"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42" w:type="pct"/>
            <w:tcBorders>
              <w:top w:val="nil"/>
              <w:left w:val="nil"/>
              <w:bottom w:val="nil"/>
              <w:right w:val="nil"/>
            </w:tcBorders>
            <w:shd w:val="clear" w:color="000000" w:fill="CCECFF"/>
            <w:vAlign w:val="center"/>
            <w:hideMark/>
          </w:tcPr>
          <w:p w14:paraId="62BBE81E"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000000"/>
                <w:sz w:val="18"/>
                <w:szCs w:val="18"/>
                <w:lang w:eastAsia="en-GB"/>
              </w:rPr>
              <w:t>(184,604)</w:t>
            </w:r>
          </w:p>
        </w:tc>
      </w:tr>
      <w:tr w:rsidR="00641A9B" w:rsidRPr="00817DF4" w14:paraId="222D650C" w14:textId="77777777" w:rsidTr="00641A9B">
        <w:trPr>
          <w:trHeight w:val="290"/>
        </w:trPr>
        <w:tc>
          <w:tcPr>
            <w:tcW w:w="581" w:type="pct"/>
            <w:tcBorders>
              <w:top w:val="nil"/>
              <w:left w:val="nil"/>
              <w:bottom w:val="nil"/>
              <w:right w:val="nil"/>
            </w:tcBorders>
            <w:shd w:val="clear" w:color="000000" w:fill="FFFFFF"/>
            <w:vAlign w:val="center"/>
            <w:hideMark/>
          </w:tcPr>
          <w:p w14:paraId="5FA729AC"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47,540</w:t>
            </w:r>
          </w:p>
        </w:tc>
        <w:tc>
          <w:tcPr>
            <w:tcW w:w="458" w:type="pct"/>
            <w:tcBorders>
              <w:top w:val="nil"/>
              <w:left w:val="nil"/>
              <w:bottom w:val="nil"/>
              <w:right w:val="nil"/>
            </w:tcBorders>
            <w:shd w:val="clear" w:color="000000" w:fill="FFFFFF"/>
            <w:vAlign w:val="center"/>
            <w:hideMark/>
          </w:tcPr>
          <w:p w14:paraId="2AF69895"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5" w:type="pct"/>
            <w:tcBorders>
              <w:top w:val="nil"/>
              <w:left w:val="nil"/>
              <w:bottom w:val="nil"/>
              <w:right w:val="nil"/>
            </w:tcBorders>
            <w:shd w:val="clear" w:color="000000" w:fill="FFFFFF"/>
            <w:vAlign w:val="center"/>
            <w:hideMark/>
          </w:tcPr>
          <w:p w14:paraId="51485196"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47,540</w:t>
            </w:r>
          </w:p>
        </w:tc>
        <w:tc>
          <w:tcPr>
            <w:tcW w:w="2026" w:type="pct"/>
            <w:tcBorders>
              <w:top w:val="nil"/>
              <w:left w:val="nil"/>
              <w:bottom w:val="nil"/>
              <w:right w:val="nil"/>
            </w:tcBorders>
            <w:shd w:val="clear" w:color="000000" w:fill="FFFFFF"/>
            <w:vAlign w:val="center"/>
            <w:hideMark/>
          </w:tcPr>
          <w:p w14:paraId="5E6ECFF1" w14:textId="77777777" w:rsidR="00817DF4" w:rsidRPr="00817DF4" w:rsidRDefault="00817DF4" w:rsidP="00817DF4">
            <w:pPr>
              <w:spacing w:after="0" w:line="240" w:lineRule="auto"/>
              <w:jc w:val="left"/>
              <w:rPr>
                <w:rFonts w:eastAsia="Times New Roman" w:cs="Calibri"/>
                <w:color w:val="000000"/>
                <w:sz w:val="18"/>
                <w:szCs w:val="18"/>
                <w:lang w:eastAsia="en-GB"/>
              </w:rPr>
            </w:pPr>
            <w:r w:rsidRPr="00817DF4">
              <w:rPr>
                <w:rFonts w:eastAsia="Times New Roman" w:cs="Calibri"/>
                <w:color w:val="000000"/>
                <w:sz w:val="18"/>
                <w:szCs w:val="18"/>
                <w:lang w:eastAsia="en-GB"/>
              </w:rPr>
              <w:t>Other Income and Expenditure</w:t>
            </w:r>
          </w:p>
        </w:tc>
        <w:tc>
          <w:tcPr>
            <w:tcW w:w="580" w:type="pct"/>
            <w:tcBorders>
              <w:top w:val="nil"/>
              <w:left w:val="nil"/>
              <w:bottom w:val="nil"/>
              <w:right w:val="nil"/>
            </w:tcBorders>
            <w:shd w:val="clear" w:color="000000" w:fill="CCECFF"/>
            <w:vAlign w:val="center"/>
            <w:hideMark/>
          </w:tcPr>
          <w:p w14:paraId="5C2C3255"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52,052</w:t>
            </w:r>
          </w:p>
        </w:tc>
        <w:tc>
          <w:tcPr>
            <w:tcW w:w="458" w:type="pct"/>
            <w:tcBorders>
              <w:top w:val="nil"/>
              <w:left w:val="nil"/>
              <w:bottom w:val="nil"/>
              <w:right w:val="nil"/>
            </w:tcBorders>
            <w:shd w:val="clear" w:color="000000" w:fill="CCECFF"/>
            <w:vAlign w:val="center"/>
            <w:hideMark/>
          </w:tcPr>
          <w:p w14:paraId="2693C24B"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42" w:type="pct"/>
            <w:tcBorders>
              <w:top w:val="nil"/>
              <w:left w:val="nil"/>
              <w:bottom w:val="nil"/>
              <w:right w:val="nil"/>
            </w:tcBorders>
            <w:shd w:val="clear" w:color="000000" w:fill="CCECFF"/>
            <w:vAlign w:val="center"/>
            <w:hideMark/>
          </w:tcPr>
          <w:p w14:paraId="0D9181CE"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52,052</w:t>
            </w:r>
          </w:p>
        </w:tc>
      </w:tr>
      <w:tr w:rsidR="00641A9B" w:rsidRPr="00817DF4" w14:paraId="1BA24B70" w14:textId="77777777" w:rsidTr="00641A9B">
        <w:trPr>
          <w:trHeight w:val="463"/>
        </w:trPr>
        <w:tc>
          <w:tcPr>
            <w:tcW w:w="581" w:type="pct"/>
            <w:tcBorders>
              <w:top w:val="single" w:sz="4" w:space="0" w:color="auto"/>
              <w:left w:val="nil"/>
              <w:bottom w:val="single" w:sz="4" w:space="0" w:color="auto"/>
              <w:right w:val="nil"/>
            </w:tcBorders>
            <w:shd w:val="clear" w:color="000000" w:fill="FFFFFF"/>
            <w:vAlign w:val="center"/>
            <w:hideMark/>
          </w:tcPr>
          <w:p w14:paraId="428A5374"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w:t>
            </w:r>
          </w:p>
        </w:tc>
        <w:tc>
          <w:tcPr>
            <w:tcW w:w="458" w:type="pct"/>
            <w:tcBorders>
              <w:top w:val="single" w:sz="4" w:space="0" w:color="auto"/>
              <w:left w:val="nil"/>
              <w:bottom w:val="single" w:sz="4" w:space="0" w:color="auto"/>
              <w:right w:val="nil"/>
            </w:tcBorders>
            <w:shd w:val="clear" w:color="000000" w:fill="FFFFFF"/>
            <w:vAlign w:val="center"/>
            <w:hideMark/>
          </w:tcPr>
          <w:p w14:paraId="4FB057AA"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18,327</w:t>
            </w:r>
          </w:p>
        </w:tc>
        <w:tc>
          <w:tcPr>
            <w:tcW w:w="455" w:type="pct"/>
            <w:tcBorders>
              <w:top w:val="single" w:sz="4" w:space="0" w:color="auto"/>
              <w:left w:val="nil"/>
              <w:bottom w:val="single" w:sz="4" w:space="0" w:color="auto"/>
              <w:right w:val="nil"/>
            </w:tcBorders>
            <w:shd w:val="clear" w:color="000000" w:fill="FFFFFF"/>
            <w:vAlign w:val="center"/>
            <w:hideMark/>
          </w:tcPr>
          <w:p w14:paraId="3B1FFC62" w14:textId="7DDC67DA" w:rsidR="00817DF4" w:rsidRPr="00817DF4" w:rsidRDefault="004809C8" w:rsidP="00817DF4">
            <w:pPr>
              <w:spacing w:after="0" w:line="240" w:lineRule="auto"/>
              <w:jc w:val="right"/>
              <w:rPr>
                <w:rFonts w:eastAsia="Times New Roman" w:cs="Calibri"/>
                <w:b/>
                <w:bCs/>
                <w:color w:val="auto"/>
                <w:sz w:val="18"/>
                <w:szCs w:val="18"/>
                <w:lang w:eastAsia="en-GB"/>
              </w:rPr>
            </w:pPr>
            <w:r>
              <w:rPr>
                <w:rFonts w:eastAsia="Times New Roman" w:cs="Calibri"/>
                <w:b/>
                <w:bCs/>
                <w:color w:val="auto"/>
                <w:sz w:val="18"/>
                <w:szCs w:val="18"/>
                <w:lang w:eastAsia="en-GB"/>
              </w:rPr>
              <w:t>18</w:t>
            </w:r>
            <w:r w:rsidR="00817DF4" w:rsidRPr="00817DF4">
              <w:rPr>
                <w:rFonts w:eastAsia="Times New Roman" w:cs="Calibri"/>
                <w:b/>
                <w:bCs/>
                <w:color w:val="auto"/>
                <w:sz w:val="18"/>
                <w:szCs w:val="18"/>
                <w:lang w:eastAsia="en-GB"/>
              </w:rPr>
              <w:t>,</w:t>
            </w:r>
            <w:r>
              <w:rPr>
                <w:rFonts w:eastAsia="Times New Roman" w:cs="Calibri"/>
                <w:b/>
                <w:bCs/>
                <w:color w:val="auto"/>
                <w:sz w:val="18"/>
                <w:szCs w:val="18"/>
                <w:lang w:eastAsia="en-GB"/>
              </w:rPr>
              <w:t>327</w:t>
            </w:r>
          </w:p>
        </w:tc>
        <w:tc>
          <w:tcPr>
            <w:tcW w:w="2026" w:type="pct"/>
            <w:tcBorders>
              <w:top w:val="nil"/>
              <w:left w:val="nil"/>
              <w:bottom w:val="nil"/>
              <w:right w:val="nil"/>
            </w:tcBorders>
            <w:shd w:val="clear" w:color="000000" w:fill="FFFFFF"/>
            <w:vAlign w:val="center"/>
            <w:hideMark/>
          </w:tcPr>
          <w:p w14:paraId="55221D75" w14:textId="77777777" w:rsidR="00817DF4" w:rsidRPr="00817DF4" w:rsidRDefault="00817DF4" w:rsidP="00817DF4">
            <w:pPr>
              <w:spacing w:after="0" w:line="240" w:lineRule="auto"/>
              <w:jc w:val="left"/>
              <w:rPr>
                <w:rFonts w:eastAsia="Times New Roman" w:cs="Calibri"/>
                <w:b/>
                <w:bCs/>
                <w:color w:val="auto"/>
                <w:sz w:val="18"/>
                <w:szCs w:val="18"/>
                <w:lang w:eastAsia="en-GB"/>
              </w:rPr>
            </w:pPr>
            <w:r w:rsidRPr="00817DF4">
              <w:rPr>
                <w:rFonts w:eastAsia="Times New Roman" w:cs="Calibri"/>
                <w:b/>
                <w:bCs/>
                <w:color w:val="auto"/>
                <w:sz w:val="18"/>
                <w:szCs w:val="18"/>
                <w:lang w:eastAsia="en-GB"/>
              </w:rPr>
              <w:t>(Surplus)/Deficit on the Provision of Services</w:t>
            </w:r>
          </w:p>
        </w:tc>
        <w:tc>
          <w:tcPr>
            <w:tcW w:w="580" w:type="pct"/>
            <w:tcBorders>
              <w:top w:val="single" w:sz="4" w:space="0" w:color="auto"/>
              <w:left w:val="nil"/>
              <w:bottom w:val="single" w:sz="4" w:space="0" w:color="auto"/>
              <w:right w:val="nil"/>
            </w:tcBorders>
            <w:shd w:val="clear" w:color="000000" w:fill="CCECFF"/>
            <w:vAlign w:val="center"/>
            <w:hideMark/>
          </w:tcPr>
          <w:p w14:paraId="18D0F3E3"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w:t>
            </w:r>
          </w:p>
        </w:tc>
        <w:tc>
          <w:tcPr>
            <w:tcW w:w="458" w:type="pct"/>
            <w:tcBorders>
              <w:top w:val="single" w:sz="4" w:space="0" w:color="auto"/>
              <w:left w:val="nil"/>
              <w:bottom w:val="single" w:sz="4" w:space="0" w:color="auto"/>
              <w:right w:val="nil"/>
            </w:tcBorders>
            <w:shd w:val="clear" w:color="000000" w:fill="CCECFF"/>
            <w:vAlign w:val="center"/>
            <w:hideMark/>
          </w:tcPr>
          <w:p w14:paraId="232911E6"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19,779</w:t>
            </w:r>
          </w:p>
        </w:tc>
        <w:tc>
          <w:tcPr>
            <w:tcW w:w="442" w:type="pct"/>
            <w:tcBorders>
              <w:top w:val="single" w:sz="4" w:space="0" w:color="auto"/>
              <w:left w:val="nil"/>
              <w:bottom w:val="single" w:sz="4" w:space="0" w:color="auto"/>
              <w:right w:val="nil"/>
            </w:tcBorders>
            <w:shd w:val="clear" w:color="000000" w:fill="CCECFF"/>
            <w:vAlign w:val="center"/>
            <w:hideMark/>
          </w:tcPr>
          <w:p w14:paraId="79A07480"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19,779</w:t>
            </w:r>
          </w:p>
        </w:tc>
      </w:tr>
      <w:tr w:rsidR="00641A9B" w:rsidRPr="00817DF4" w14:paraId="2C68EF16" w14:textId="77777777" w:rsidTr="00641A9B">
        <w:trPr>
          <w:trHeight w:val="290"/>
        </w:trPr>
        <w:tc>
          <w:tcPr>
            <w:tcW w:w="581" w:type="pct"/>
            <w:tcBorders>
              <w:top w:val="nil"/>
              <w:left w:val="nil"/>
              <w:bottom w:val="nil"/>
              <w:right w:val="nil"/>
            </w:tcBorders>
            <w:shd w:val="clear" w:color="000000" w:fill="FFFFFF"/>
            <w:vAlign w:val="center"/>
            <w:hideMark/>
          </w:tcPr>
          <w:p w14:paraId="3C34C1C2"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FFFFFF"/>
            <w:vAlign w:val="center"/>
            <w:hideMark/>
          </w:tcPr>
          <w:p w14:paraId="4EFA008C"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55" w:type="pct"/>
            <w:tcBorders>
              <w:top w:val="nil"/>
              <w:left w:val="nil"/>
              <w:bottom w:val="nil"/>
              <w:right w:val="nil"/>
            </w:tcBorders>
            <w:shd w:val="clear" w:color="000000" w:fill="FFFFFF"/>
            <w:vAlign w:val="center"/>
            <w:hideMark/>
          </w:tcPr>
          <w:p w14:paraId="67F3E93A"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2026" w:type="pct"/>
            <w:tcBorders>
              <w:top w:val="nil"/>
              <w:left w:val="nil"/>
              <w:bottom w:val="nil"/>
              <w:right w:val="nil"/>
            </w:tcBorders>
            <w:shd w:val="clear" w:color="000000" w:fill="FFFFFF"/>
            <w:vAlign w:val="center"/>
            <w:hideMark/>
          </w:tcPr>
          <w:p w14:paraId="13474544"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Opening Combined General Fund Balance</w:t>
            </w:r>
          </w:p>
        </w:tc>
        <w:tc>
          <w:tcPr>
            <w:tcW w:w="580" w:type="pct"/>
            <w:tcBorders>
              <w:top w:val="nil"/>
              <w:left w:val="nil"/>
              <w:bottom w:val="nil"/>
              <w:right w:val="nil"/>
            </w:tcBorders>
            <w:shd w:val="clear" w:color="000000" w:fill="CCECFF"/>
            <w:vAlign w:val="center"/>
            <w:hideMark/>
          </w:tcPr>
          <w:p w14:paraId="30390A76"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FFFFFF"/>
            <w:vAlign w:val="center"/>
            <w:hideMark/>
          </w:tcPr>
          <w:p w14:paraId="175312A8"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42" w:type="pct"/>
            <w:tcBorders>
              <w:top w:val="nil"/>
              <w:left w:val="nil"/>
              <w:bottom w:val="nil"/>
              <w:right w:val="nil"/>
            </w:tcBorders>
            <w:shd w:val="clear" w:color="000000" w:fill="FFFFFF"/>
            <w:vAlign w:val="center"/>
            <w:hideMark/>
          </w:tcPr>
          <w:p w14:paraId="68FF7CF0"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r>
      <w:tr w:rsidR="00641A9B" w:rsidRPr="00817DF4" w14:paraId="7CFFDA9E" w14:textId="77777777" w:rsidTr="00641A9B">
        <w:trPr>
          <w:trHeight w:val="290"/>
        </w:trPr>
        <w:tc>
          <w:tcPr>
            <w:tcW w:w="581" w:type="pct"/>
            <w:tcBorders>
              <w:top w:val="nil"/>
              <w:left w:val="nil"/>
              <w:bottom w:val="nil"/>
              <w:right w:val="nil"/>
            </w:tcBorders>
            <w:shd w:val="clear" w:color="000000" w:fill="FFFFFF"/>
            <w:vAlign w:val="center"/>
            <w:hideMark/>
          </w:tcPr>
          <w:p w14:paraId="50A8E80C"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FFFFFF"/>
            <w:vAlign w:val="center"/>
            <w:hideMark/>
          </w:tcPr>
          <w:p w14:paraId="7ADAF204"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55" w:type="pct"/>
            <w:tcBorders>
              <w:top w:val="nil"/>
              <w:left w:val="nil"/>
              <w:bottom w:val="nil"/>
              <w:right w:val="nil"/>
            </w:tcBorders>
            <w:shd w:val="clear" w:color="000000" w:fill="FFFFFF"/>
            <w:vAlign w:val="center"/>
            <w:hideMark/>
          </w:tcPr>
          <w:p w14:paraId="3C83859B"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2026" w:type="pct"/>
            <w:tcBorders>
              <w:top w:val="nil"/>
              <w:left w:val="nil"/>
              <w:bottom w:val="nil"/>
              <w:right w:val="nil"/>
            </w:tcBorders>
            <w:shd w:val="clear" w:color="000000" w:fill="FFFFFF"/>
            <w:vAlign w:val="center"/>
            <w:hideMark/>
          </w:tcPr>
          <w:p w14:paraId="1CA9526B"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(Surplus)/Deficit on the General Fund</w:t>
            </w:r>
          </w:p>
        </w:tc>
        <w:tc>
          <w:tcPr>
            <w:tcW w:w="580" w:type="pct"/>
            <w:tcBorders>
              <w:top w:val="nil"/>
              <w:left w:val="nil"/>
              <w:bottom w:val="nil"/>
              <w:right w:val="nil"/>
            </w:tcBorders>
            <w:shd w:val="clear" w:color="000000" w:fill="CCECFF"/>
            <w:vAlign w:val="center"/>
            <w:hideMark/>
          </w:tcPr>
          <w:p w14:paraId="26CB94CF" w14:textId="77777777" w:rsidR="00817DF4" w:rsidRPr="00817DF4" w:rsidRDefault="00817DF4" w:rsidP="00817DF4">
            <w:pPr>
              <w:spacing w:after="0" w:line="240" w:lineRule="auto"/>
              <w:jc w:val="right"/>
              <w:rPr>
                <w:rFonts w:eastAsia="Times New Roman" w:cs="Calibri"/>
                <w:color w:val="auto"/>
                <w:sz w:val="18"/>
                <w:szCs w:val="18"/>
                <w:lang w:eastAsia="en-GB"/>
              </w:rPr>
            </w:pPr>
            <w:r w:rsidRPr="00817DF4">
              <w:rPr>
                <w:rFonts w:eastAsia="Times New Roman" w:cs="Calibri"/>
                <w:color w:val="auto"/>
                <w:sz w:val="18"/>
                <w:szCs w:val="18"/>
                <w:lang w:eastAsia="en-GB"/>
              </w:rPr>
              <w:t>-</w:t>
            </w:r>
          </w:p>
        </w:tc>
        <w:tc>
          <w:tcPr>
            <w:tcW w:w="458" w:type="pct"/>
            <w:tcBorders>
              <w:top w:val="nil"/>
              <w:left w:val="nil"/>
              <w:bottom w:val="nil"/>
              <w:right w:val="nil"/>
            </w:tcBorders>
            <w:shd w:val="clear" w:color="000000" w:fill="FFFFFF"/>
            <w:vAlign w:val="center"/>
            <w:hideMark/>
          </w:tcPr>
          <w:p w14:paraId="6B189D0B"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42" w:type="pct"/>
            <w:tcBorders>
              <w:top w:val="nil"/>
              <w:left w:val="nil"/>
              <w:bottom w:val="nil"/>
              <w:right w:val="nil"/>
            </w:tcBorders>
            <w:shd w:val="clear" w:color="000000" w:fill="FFFFFF"/>
            <w:vAlign w:val="center"/>
            <w:hideMark/>
          </w:tcPr>
          <w:p w14:paraId="2A4D92A7"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r>
      <w:tr w:rsidR="00641A9B" w:rsidRPr="00817DF4" w14:paraId="4FAE6642" w14:textId="77777777" w:rsidTr="00641A9B">
        <w:trPr>
          <w:trHeight w:val="290"/>
        </w:trPr>
        <w:tc>
          <w:tcPr>
            <w:tcW w:w="581" w:type="pct"/>
            <w:tcBorders>
              <w:top w:val="single" w:sz="4" w:space="0" w:color="auto"/>
              <w:left w:val="nil"/>
              <w:bottom w:val="single" w:sz="4" w:space="0" w:color="auto"/>
              <w:right w:val="nil"/>
            </w:tcBorders>
            <w:shd w:val="clear" w:color="000000" w:fill="FFFFFF"/>
            <w:vAlign w:val="center"/>
            <w:hideMark/>
          </w:tcPr>
          <w:p w14:paraId="7E72EA50"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w:t>
            </w:r>
          </w:p>
        </w:tc>
        <w:tc>
          <w:tcPr>
            <w:tcW w:w="458" w:type="pct"/>
            <w:tcBorders>
              <w:top w:val="nil"/>
              <w:left w:val="nil"/>
              <w:bottom w:val="nil"/>
              <w:right w:val="nil"/>
            </w:tcBorders>
            <w:shd w:val="clear" w:color="000000" w:fill="FFFFFF"/>
            <w:vAlign w:val="center"/>
            <w:hideMark/>
          </w:tcPr>
          <w:p w14:paraId="1993F647"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55" w:type="pct"/>
            <w:tcBorders>
              <w:top w:val="nil"/>
              <w:left w:val="nil"/>
              <w:bottom w:val="nil"/>
              <w:right w:val="nil"/>
            </w:tcBorders>
            <w:shd w:val="clear" w:color="000000" w:fill="FFFFFF"/>
            <w:vAlign w:val="center"/>
            <w:hideMark/>
          </w:tcPr>
          <w:p w14:paraId="5C5BB4F8"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2026" w:type="pct"/>
            <w:tcBorders>
              <w:top w:val="single" w:sz="4" w:space="0" w:color="auto"/>
              <w:left w:val="nil"/>
              <w:bottom w:val="single" w:sz="4" w:space="0" w:color="auto"/>
              <w:right w:val="nil"/>
            </w:tcBorders>
            <w:shd w:val="clear" w:color="000000" w:fill="FFFFFF"/>
            <w:vAlign w:val="center"/>
            <w:hideMark/>
          </w:tcPr>
          <w:p w14:paraId="453A6A41" w14:textId="77777777" w:rsidR="00817DF4" w:rsidRPr="00817DF4" w:rsidRDefault="00817DF4" w:rsidP="00817DF4">
            <w:pPr>
              <w:spacing w:after="0" w:line="240" w:lineRule="auto"/>
              <w:jc w:val="left"/>
              <w:rPr>
                <w:rFonts w:eastAsia="Times New Roman" w:cs="Calibri"/>
                <w:b/>
                <w:bCs/>
                <w:color w:val="auto"/>
                <w:sz w:val="18"/>
                <w:szCs w:val="18"/>
                <w:lang w:eastAsia="en-GB"/>
              </w:rPr>
            </w:pPr>
            <w:r w:rsidRPr="00817DF4">
              <w:rPr>
                <w:rFonts w:eastAsia="Times New Roman" w:cs="Calibri"/>
                <w:b/>
                <w:bCs/>
                <w:color w:val="auto"/>
                <w:sz w:val="18"/>
                <w:szCs w:val="18"/>
                <w:lang w:eastAsia="en-GB"/>
              </w:rPr>
              <w:t>Closing Combined General Fund</w:t>
            </w:r>
          </w:p>
        </w:tc>
        <w:tc>
          <w:tcPr>
            <w:tcW w:w="580" w:type="pct"/>
            <w:tcBorders>
              <w:top w:val="single" w:sz="4" w:space="0" w:color="auto"/>
              <w:left w:val="nil"/>
              <w:bottom w:val="single" w:sz="4" w:space="0" w:color="auto"/>
              <w:right w:val="nil"/>
            </w:tcBorders>
            <w:shd w:val="clear" w:color="000000" w:fill="CCECFF"/>
            <w:vAlign w:val="center"/>
            <w:hideMark/>
          </w:tcPr>
          <w:p w14:paraId="6D0B297C" w14:textId="77777777" w:rsidR="00817DF4" w:rsidRPr="00817DF4" w:rsidRDefault="00817DF4" w:rsidP="00817DF4">
            <w:pPr>
              <w:spacing w:after="0" w:line="240" w:lineRule="auto"/>
              <w:jc w:val="right"/>
              <w:rPr>
                <w:rFonts w:eastAsia="Times New Roman" w:cs="Calibri"/>
                <w:b/>
                <w:bCs/>
                <w:color w:val="auto"/>
                <w:sz w:val="18"/>
                <w:szCs w:val="18"/>
                <w:lang w:eastAsia="en-GB"/>
              </w:rPr>
            </w:pPr>
            <w:r w:rsidRPr="00817DF4">
              <w:rPr>
                <w:rFonts w:eastAsia="Times New Roman" w:cs="Calibri"/>
                <w:b/>
                <w:bCs/>
                <w:color w:val="auto"/>
                <w:sz w:val="18"/>
                <w:szCs w:val="18"/>
                <w:lang w:eastAsia="en-GB"/>
              </w:rPr>
              <w:t>-</w:t>
            </w:r>
          </w:p>
        </w:tc>
        <w:tc>
          <w:tcPr>
            <w:tcW w:w="458" w:type="pct"/>
            <w:tcBorders>
              <w:top w:val="nil"/>
              <w:left w:val="nil"/>
              <w:bottom w:val="nil"/>
              <w:right w:val="nil"/>
            </w:tcBorders>
            <w:shd w:val="clear" w:color="000000" w:fill="FFFFFF"/>
            <w:vAlign w:val="center"/>
            <w:hideMark/>
          </w:tcPr>
          <w:p w14:paraId="60436D23"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c>
          <w:tcPr>
            <w:tcW w:w="442" w:type="pct"/>
            <w:tcBorders>
              <w:top w:val="nil"/>
              <w:left w:val="nil"/>
              <w:bottom w:val="nil"/>
              <w:right w:val="nil"/>
            </w:tcBorders>
            <w:shd w:val="clear" w:color="000000" w:fill="FFFFFF"/>
            <w:vAlign w:val="center"/>
            <w:hideMark/>
          </w:tcPr>
          <w:p w14:paraId="15BEB18F" w14:textId="77777777" w:rsidR="00817DF4" w:rsidRPr="00817DF4" w:rsidRDefault="00817DF4" w:rsidP="00817DF4">
            <w:pPr>
              <w:spacing w:after="0" w:line="240" w:lineRule="auto"/>
              <w:jc w:val="left"/>
              <w:rPr>
                <w:rFonts w:eastAsia="Times New Roman" w:cs="Calibri"/>
                <w:color w:val="auto"/>
                <w:sz w:val="18"/>
                <w:szCs w:val="18"/>
                <w:lang w:eastAsia="en-GB"/>
              </w:rPr>
            </w:pPr>
            <w:r w:rsidRPr="00817DF4">
              <w:rPr>
                <w:rFonts w:eastAsia="Times New Roman" w:cs="Calibri"/>
                <w:color w:val="auto"/>
                <w:sz w:val="18"/>
                <w:szCs w:val="18"/>
                <w:lang w:eastAsia="en-GB"/>
              </w:rPr>
              <w:t> </w:t>
            </w:r>
          </w:p>
        </w:tc>
      </w:tr>
    </w:tbl>
    <w:p w14:paraId="3C379CE0" w14:textId="3D3C8639" w:rsidR="00020078" w:rsidRDefault="00020078" w:rsidP="003356AE">
      <w:pPr>
        <w:spacing w:line="240" w:lineRule="auto"/>
        <w:rPr>
          <w:lang w:val="en-US"/>
        </w:rPr>
      </w:pPr>
    </w:p>
    <w:p w14:paraId="671B2428" w14:textId="6DB7BF8D" w:rsidR="009F223E" w:rsidRDefault="009F223E" w:rsidP="003356AE">
      <w:pPr>
        <w:spacing w:line="240" w:lineRule="auto"/>
      </w:pPr>
    </w:p>
    <w:p w14:paraId="194DEE83" w14:textId="77777777" w:rsidR="009F223E" w:rsidRDefault="009F223E" w:rsidP="003356AE">
      <w:pPr>
        <w:spacing w:line="240" w:lineRule="auto"/>
        <w:jc w:val="left"/>
        <w:rPr>
          <w:rFonts w:asciiTheme="minorHAnsi" w:eastAsia="Times New Roman" w:hAnsiTheme="minorHAnsi" w:cs="Times New Roman"/>
          <w:b/>
          <w:bCs/>
          <w:color w:val="25316C"/>
          <w:sz w:val="24"/>
          <w:u w:val="single"/>
        </w:rPr>
      </w:pPr>
      <w:r>
        <w:br w:type="page"/>
      </w:r>
    </w:p>
    <w:p w14:paraId="6CB46AB6" w14:textId="48C8D84D" w:rsidR="002522D4" w:rsidRPr="00A14CAC" w:rsidRDefault="002522D4" w:rsidP="003356AE">
      <w:pPr>
        <w:pStyle w:val="NoteHeader"/>
        <w:spacing w:line="240" w:lineRule="auto"/>
      </w:pPr>
      <w:bookmarkStart w:id="65" w:name="_Toc517077276"/>
      <w:bookmarkStart w:id="66" w:name="_Toc9272502"/>
      <w:bookmarkStart w:id="67" w:name="_Toc9592048"/>
      <w:bookmarkStart w:id="68" w:name="_Toc230858555"/>
      <w:bookmarkEnd w:id="59"/>
      <w:bookmarkEnd w:id="60"/>
      <w:bookmarkEnd w:id="61"/>
      <w:r w:rsidRPr="00A14CAC">
        <w:lastRenderedPageBreak/>
        <w:t xml:space="preserve">Note </w:t>
      </w:r>
      <w:r w:rsidR="005568D8">
        <w:t>2</w:t>
      </w:r>
      <w:r w:rsidRPr="00A14CAC">
        <w:t xml:space="preserve"> - Assumptions Made about the Future and Other Major Sources of Estimation Uncertainty</w:t>
      </w:r>
      <w:bookmarkEnd w:id="65"/>
      <w:bookmarkEnd w:id="66"/>
      <w:bookmarkEnd w:id="67"/>
      <w:bookmarkEnd w:id="68"/>
      <w:r w:rsidRPr="00A14CAC">
        <w:t xml:space="preserve"> </w:t>
      </w:r>
    </w:p>
    <w:p w14:paraId="606EB3A3" w14:textId="77777777" w:rsidR="002522D4" w:rsidRPr="00A14CAC" w:rsidRDefault="002522D4" w:rsidP="003356AE">
      <w:pPr>
        <w:spacing w:line="240" w:lineRule="auto"/>
      </w:pPr>
    </w:p>
    <w:p w14:paraId="11EE673C" w14:textId="5912C022" w:rsidR="002522D4" w:rsidRPr="00A14CAC" w:rsidRDefault="002522D4" w:rsidP="003356AE">
      <w:pPr>
        <w:spacing w:line="240" w:lineRule="auto"/>
      </w:pPr>
      <w:r w:rsidRPr="00A14CAC">
        <w:t xml:space="preserve">The Statement of Accounts contains estimated figures that are based on assumptions made by the </w:t>
      </w:r>
      <w:r w:rsidR="00A91450" w:rsidRPr="00A14CAC">
        <w:t>O</w:t>
      </w:r>
      <w:r w:rsidR="00C75713" w:rsidRPr="00A14CAC">
        <w:t>CC</w:t>
      </w:r>
      <w:r w:rsidRPr="00A14CAC">
        <w:t xml:space="preserve"> about the future or that are otherwise uncertain.  Estimates are made taking into account historical experience, current trends and other relevant factors</w:t>
      </w:r>
      <w:r w:rsidR="00261A74" w:rsidRPr="00A14CAC">
        <w:t xml:space="preserve">.  </w:t>
      </w:r>
      <w:r w:rsidRPr="00A14CAC">
        <w:t>However, because balances cannot be determined with certainty, actual results could be materially different from the assumptions and estimates.</w:t>
      </w:r>
    </w:p>
    <w:p w14:paraId="002A96E6" w14:textId="347DC267" w:rsidR="004A250D" w:rsidRDefault="004A250D" w:rsidP="003356AE">
      <w:pPr>
        <w:spacing w:line="240" w:lineRule="auto"/>
        <w:jc w:val="left"/>
      </w:pPr>
    </w:p>
    <w:p w14:paraId="186D2722" w14:textId="6E6CF6C4" w:rsidR="002522D4" w:rsidRPr="003C2227" w:rsidRDefault="002522D4" w:rsidP="003356AE">
      <w:pPr>
        <w:spacing w:line="240" w:lineRule="auto"/>
      </w:pPr>
      <w:r w:rsidRPr="00A14CAC">
        <w:t xml:space="preserve">The items in the </w:t>
      </w:r>
      <w:r w:rsidR="00A91450" w:rsidRPr="00A14CAC">
        <w:t>O</w:t>
      </w:r>
      <w:r w:rsidR="00C75713" w:rsidRPr="00A14CAC">
        <w:t>CC</w:t>
      </w:r>
      <w:r w:rsidR="00A14CAC" w:rsidRPr="00A14CAC">
        <w:t>’</w:t>
      </w:r>
      <w:r w:rsidR="008C3689">
        <w:t xml:space="preserve">s Balance Sheet </w:t>
      </w:r>
      <w:r w:rsidR="000B5590">
        <w:t xml:space="preserve">as </w:t>
      </w:r>
      <w:proofErr w:type="gramStart"/>
      <w:r w:rsidR="008C3689">
        <w:t>at</w:t>
      </w:r>
      <w:proofErr w:type="gramEnd"/>
      <w:r w:rsidR="008C3689">
        <w:t xml:space="preserve"> 31</w:t>
      </w:r>
      <w:r w:rsidR="00A25C40">
        <w:t xml:space="preserve"> </w:t>
      </w:r>
      <w:r w:rsidR="008C3689">
        <w:t>March 202</w:t>
      </w:r>
      <w:r w:rsidR="006F21F2">
        <w:t>6</w:t>
      </w:r>
      <w:r w:rsidRPr="00A14CAC">
        <w:t xml:space="preserve"> for which there is a significant risk of material adjustment in the forthcoming financial year </w:t>
      </w:r>
      <w:r w:rsidRPr="003C2227">
        <w:t>are as follows:</w:t>
      </w:r>
    </w:p>
    <w:p w14:paraId="2E82F602" w14:textId="77777777" w:rsidR="002522D4" w:rsidRPr="003C2227" w:rsidRDefault="002522D4" w:rsidP="003356AE">
      <w:pPr>
        <w:spacing w:line="240" w:lineRule="auto"/>
      </w:pPr>
    </w:p>
    <w:tbl>
      <w:tblPr>
        <w:tblW w:w="9212" w:type="dxa"/>
        <w:tblInd w:w="98" w:type="dxa"/>
        <w:tblLook w:val="0000" w:firstRow="0" w:lastRow="0" w:firstColumn="0" w:lastColumn="0" w:noHBand="0" w:noVBand="0"/>
      </w:tblPr>
      <w:tblGrid>
        <w:gridCol w:w="1450"/>
        <w:gridCol w:w="3969"/>
        <w:gridCol w:w="3793"/>
      </w:tblGrid>
      <w:tr w:rsidR="002522D4" w:rsidRPr="00C60BA1" w14:paraId="1AACEAD7" w14:textId="77777777" w:rsidTr="002C642C">
        <w:trPr>
          <w:trHeight w:val="510"/>
        </w:trPr>
        <w:tc>
          <w:tcPr>
            <w:tcW w:w="1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246D1C" w14:textId="77777777" w:rsidR="002522D4" w:rsidRPr="00C60BA1" w:rsidRDefault="002522D4" w:rsidP="003356AE">
            <w:pPr>
              <w:spacing w:line="240" w:lineRule="auto"/>
              <w:rPr>
                <w:b/>
                <w:bCs/>
              </w:rPr>
            </w:pPr>
            <w:r w:rsidRPr="00C60BA1">
              <w:rPr>
                <w:b/>
                <w:bCs/>
              </w:rPr>
              <w:t>Item</w:t>
            </w:r>
          </w:p>
        </w:tc>
        <w:tc>
          <w:tcPr>
            <w:tcW w:w="3969" w:type="dxa"/>
            <w:tcBorders>
              <w:top w:val="single" w:sz="8" w:space="0" w:color="000000" w:themeColor="text1"/>
              <w:left w:val="nil"/>
              <w:bottom w:val="single" w:sz="8" w:space="0" w:color="000000" w:themeColor="text1"/>
              <w:right w:val="single" w:sz="8" w:space="0" w:color="000000" w:themeColor="text1"/>
            </w:tcBorders>
          </w:tcPr>
          <w:p w14:paraId="1D7AC8D4" w14:textId="77777777" w:rsidR="002522D4" w:rsidRPr="00C60BA1" w:rsidRDefault="002522D4" w:rsidP="003356AE">
            <w:pPr>
              <w:spacing w:line="240" w:lineRule="auto"/>
              <w:rPr>
                <w:b/>
                <w:bCs/>
              </w:rPr>
            </w:pPr>
            <w:r w:rsidRPr="00C60BA1">
              <w:rPr>
                <w:b/>
                <w:bCs/>
              </w:rPr>
              <w:t>Uncertainties</w:t>
            </w:r>
          </w:p>
        </w:tc>
        <w:tc>
          <w:tcPr>
            <w:tcW w:w="3793" w:type="dxa"/>
            <w:tcBorders>
              <w:top w:val="single" w:sz="8" w:space="0" w:color="000000" w:themeColor="text1"/>
              <w:left w:val="nil"/>
              <w:bottom w:val="single" w:sz="8" w:space="0" w:color="000000" w:themeColor="text1"/>
              <w:right w:val="single" w:sz="8" w:space="0" w:color="000000" w:themeColor="text1"/>
            </w:tcBorders>
          </w:tcPr>
          <w:p w14:paraId="0A773806" w14:textId="77777777" w:rsidR="002522D4" w:rsidRPr="00C60BA1" w:rsidRDefault="002522D4" w:rsidP="003356AE">
            <w:pPr>
              <w:spacing w:line="240" w:lineRule="auto"/>
              <w:jc w:val="left"/>
              <w:rPr>
                <w:b/>
                <w:bCs/>
              </w:rPr>
            </w:pPr>
            <w:r w:rsidRPr="00C60BA1">
              <w:rPr>
                <w:b/>
                <w:bCs/>
              </w:rPr>
              <w:t>Effect if Actual Results Differ from Assumptions</w:t>
            </w:r>
          </w:p>
        </w:tc>
      </w:tr>
      <w:tr w:rsidR="003A74A7" w:rsidRPr="003C2227" w14:paraId="6A996204" w14:textId="77777777" w:rsidTr="002C642C">
        <w:tblPrEx>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PrEx>
        <w:trPr>
          <w:trHeight w:val="1726"/>
        </w:trPr>
        <w:tc>
          <w:tcPr>
            <w:tcW w:w="1450" w:type="dxa"/>
            <w:vMerge w:val="restart"/>
            <w:tcBorders>
              <w:top w:val="single" w:sz="4" w:space="0" w:color="auto"/>
              <w:left w:val="single" w:sz="4" w:space="0" w:color="auto"/>
              <w:bottom w:val="single" w:sz="4" w:space="0" w:color="auto"/>
              <w:right w:val="single" w:sz="4" w:space="0" w:color="auto"/>
            </w:tcBorders>
          </w:tcPr>
          <w:p w14:paraId="76B9F778" w14:textId="77777777" w:rsidR="003A74A7" w:rsidRPr="003C2227" w:rsidRDefault="003A74A7" w:rsidP="003356AE">
            <w:pPr>
              <w:spacing w:line="240" w:lineRule="auto"/>
              <w:rPr>
                <w:rFonts w:asciiTheme="minorHAnsi" w:hAnsiTheme="minorHAnsi"/>
                <w:szCs w:val="18"/>
              </w:rPr>
            </w:pPr>
            <w:r w:rsidRPr="003C2227">
              <w:rPr>
                <w:rFonts w:asciiTheme="minorHAnsi" w:hAnsiTheme="minorHAnsi"/>
                <w:szCs w:val="18"/>
              </w:rPr>
              <w:t>Pensions Liability</w:t>
            </w:r>
          </w:p>
        </w:tc>
        <w:tc>
          <w:tcPr>
            <w:tcW w:w="3969" w:type="dxa"/>
            <w:vMerge w:val="restart"/>
            <w:tcBorders>
              <w:top w:val="single" w:sz="4" w:space="0" w:color="auto"/>
              <w:left w:val="single" w:sz="4" w:space="0" w:color="auto"/>
              <w:bottom w:val="single" w:sz="4" w:space="0" w:color="auto"/>
              <w:right w:val="single" w:sz="4" w:space="0" w:color="auto"/>
            </w:tcBorders>
          </w:tcPr>
          <w:p w14:paraId="4D492CBA" w14:textId="185C6787" w:rsidR="006D16E0" w:rsidRPr="006D16E0" w:rsidRDefault="006D16E0" w:rsidP="003356AE">
            <w:pPr>
              <w:spacing w:line="240" w:lineRule="auto"/>
              <w:rPr>
                <w:rFonts w:asciiTheme="minorHAnsi" w:hAnsiTheme="minorHAnsi"/>
                <w:szCs w:val="18"/>
              </w:rPr>
            </w:pPr>
            <w:r w:rsidRPr="006D16E0">
              <w:rPr>
                <w:rFonts w:asciiTheme="minorHAnsi" w:hAnsiTheme="minorHAnsi"/>
                <w:szCs w:val="18"/>
              </w:rPr>
              <w:t>Estimation of the net liability to pay pensions depends on a number of complex judgements relating to the discount rate used, the rate at which salaries are projected to increase, changes in retirement ages, mortality rates and expected returns on pension fund assets</w:t>
            </w:r>
            <w:r w:rsidR="00261A74" w:rsidRPr="006D16E0">
              <w:rPr>
                <w:rFonts w:asciiTheme="minorHAnsi" w:hAnsiTheme="minorHAnsi"/>
                <w:szCs w:val="18"/>
              </w:rPr>
              <w:t xml:space="preserve">.  </w:t>
            </w:r>
            <w:r w:rsidRPr="006D16E0">
              <w:rPr>
                <w:rFonts w:asciiTheme="minorHAnsi" w:hAnsiTheme="minorHAnsi"/>
                <w:szCs w:val="18"/>
              </w:rPr>
              <w:t>Two firms of consulting actuaries are engaged to provide the Authority with expert advice about the assumptions to be applied</w:t>
            </w:r>
            <w:r w:rsidR="00261A74" w:rsidRPr="006D16E0">
              <w:rPr>
                <w:rFonts w:asciiTheme="minorHAnsi" w:hAnsiTheme="minorHAnsi"/>
                <w:szCs w:val="18"/>
              </w:rPr>
              <w:t xml:space="preserve">.  </w:t>
            </w:r>
            <w:r w:rsidRPr="006D16E0">
              <w:rPr>
                <w:rFonts w:asciiTheme="minorHAnsi" w:hAnsiTheme="minorHAnsi"/>
                <w:szCs w:val="18"/>
              </w:rPr>
              <w:t xml:space="preserve">In addition, for the Local Government Pension Scheme (LGPS), the net position may be further affected by the </w:t>
            </w:r>
            <w:r w:rsidRPr="006D16E0">
              <w:rPr>
                <w:rFonts w:asciiTheme="minorHAnsi" w:hAnsiTheme="minorHAnsi"/>
                <w:i/>
                <w:iCs/>
                <w:szCs w:val="18"/>
              </w:rPr>
              <w:t>asset ceiling adjustment</w:t>
            </w:r>
            <w:r w:rsidR="00261A74" w:rsidRPr="006D16E0">
              <w:rPr>
                <w:rFonts w:asciiTheme="minorHAnsi" w:hAnsiTheme="minorHAnsi"/>
                <w:szCs w:val="18"/>
              </w:rPr>
              <w:t xml:space="preserve">.  </w:t>
            </w:r>
            <w:r w:rsidRPr="006D16E0">
              <w:rPr>
                <w:rFonts w:asciiTheme="minorHAnsi" w:hAnsiTheme="minorHAnsi"/>
                <w:szCs w:val="18"/>
              </w:rPr>
              <w:t>This adjustment is applied when the calculated surplus on the LGPS cannot be recognised in full because the Authority does not have an unconditional right to realise that surplus as an economic benefit</w:t>
            </w:r>
            <w:r w:rsidR="00261A74" w:rsidRPr="006D16E0">
              <w:rPr>
                <w:rFonts w:asciiTheme="minorHAnsi" w:hAnsiTheme="minorHAnsi"/>
                <w:szCs w:val="18"/>
              </w:rPr>
              <w:t xml:space="preserve">.  </w:t>
            </w:r>
            <w:r w:rsidRPr="006D16E0">
              <w:rPr>
                <w:rFonts w:asciiTheme="minorHAnsi" w:hAnsiTheme="minorHAnsi"/>
                <w:szCs w:val="18"/>
              </w:rPr>
              <w:t>The size of the adjustment depends on long</w:t>
            </w:r>
            <w:r w:rsidRPr="006D16E0">
              <w:rPr>
                <w:rFonts w:asciiTheme="minorHAnsi" w:hAnsiTheme="minorHAnsi"/>
                <w:szCs w:val="18"/>
              </w:rPr>
              <w:noBreakHyphen/>
              <w:t>term funding assumptions and the projected future service contribution requirements of the scheme.</w:t>
            </w:r>
          </w:p>
          <w:p w14:paraId="5757ADBB" w14:textId="03040BE6" w:rsidR="003A74A7" w:rsidRPr="003A74A7" w:rsidRDefault="003A74A7" w:rsidP="003356AE">
            <w:pPr>
              <w:spacing w:line="240" w:lineRule="auto"/>
              <w:rPr>
                <w:rFonts w:asciiTheme="minorHAnsi" w:hAnsiTheme="minorHAnsi"/>
                <w:szCs w:val="18"/>
              </w:rPr>
            </w:pPr>
          </w:p>
        </w:tc>
        <w:tc>
          <w:tcPr>
            <w:tcW w:w="3793" w:type="dxa"/>
            <w:vMerge w:val="restart"/>
            <w:tcBorders>
              <w:top w:val="single" w:sz="4" w:space="0" w:color="auto"/>
              <w:left w:val="single" w:sz="4" w:space="0" w:color="auto"/>
              <w:bottom w:val="single" w:sz="4" w:space="0" w:color="auto"/>
              <w:right w:val="single" w:sz="4" w:space="0" w:color="auto"/>
            </w:tcBorders>
          </w:tcPr>
          <w:p w14:paraId="5DED62D9" w14:textId="13AF9DF0" w:rsidR="006D16E0" w:rsidRPr="006D16E0" w:rsidRDefault="006D16E0" w:rsidP="003356AE">
            <w:pPr>
              <w:spacing w:line="240" w:lineRule="auto"/>
              <w:rPr>
                <w:rFonts w:asciiTheme="minorHAnsi" w:hAnsiTheme="minorHAnsi"/>
                <w:szCs w:val="18"/>
              </w:rPr>
            </w:pPr>
            <w:r w:rsidRPr="006D16E0">
              <w:rPr>
                <w:rFonts w:asciiTheme="minorHAnsi" w:hAnsiTheme="minorHAnsi"/>
                <w:szCs w:val="18"/>
              </w:rPr>
              <w:t>The assumptions interact in complex ways</w:t>
            </w:r>
            <w:r w:rsidR="00261A74" w:rsidRPr="006D16E0">
              <w:rPr>
                <w:rFonts w:asciiTheme="minorHAnsi" w:hAnsiTheme="minorHAnsi"/>
                <w:szCs w:val="18"/>
              </w:rPr>
              <w:t xml:space="preserve">.  </w:t>
            </w:r>
            <w:r w:rsidRPr="006D16E0">
              <w:rPr>
                <w:rFonts w:asciiTheme="minorHAnsi" w:hAnsiTheme="minorHAnsi"/>
                <w:szCs w:val="18"/>
              </w:rPr>
              <w:t>During 202</w:t>
            </w:r>
            <w:r w:rsidR="00523741">
              <w:rPr>
                <w:rFonts w:asciiTheme="minorHAnsi" w:hAnsiTheme="minorHAnsi"/>
                <w:szCs w:val="18"/>
              </w:rPr>
              <w:t>5</w:t>
            </w:r>
            <w:r w:rsidRPr="006D16E0">
              <w:rPr>
                <w:rFonts w:asciiTheme="minorHAnsi" w:hAnsiTheme="minorHAnsi"/>
                <w:szCs w:val="18"/>
              </w:rPr>
              <w:t>/2</w:t>
            </w:r>
            <w:r w:rsidR="00523741">
              <w:rPr>
                <w:rFonts w:asciiTheme="minorHAnsi" w:hAnsiTheme="minorHAnsi"/>
                <w:szCs w:val="18"/>
              </w:rPr>
              <w:t>6</w:t>
            </w:r>
            <w:r w:rsidRPr="006D16E0">
              <w:rPr>
                <w:rFonts w:asciiTheme="minorHAnsi" w:hAnsiTheme="minorHAnsi"/>
                <w:szCs w:val="18"/>
              </w:rPr>
              <w:t xml:space="preserve">, the Authority’s actuaries advised that the OCC’s net pension liability had decreased </w:t>
            </w:r>
            <w:r w:rsidRPr="00AC2C58">
              <w:rPr>
                <w:rFonts w:asciiTheme="minorHAnsi" w:hAnsiTheme="minorHAnsi"/>
                <w:szCs w:val="18"/>
              </w:rPr>
              <w:t>by £</w:t>
            </w:r>
            <w:r w:rsidR="00B8005C">
              <w:rPr>
                <w:rFonts w:asciiTheme="minorHAnsi" w:hAnsiTheme="minorHAnsi"/>
                <w:szCs w:val="18"/>
              </w:rPr>
              <w:t>21</w:t>
            </w:r>
            <w:r w:rsidRPr="00AC2C58">
              <w:rPr>
                <w:rFonts w:asciiTheme="minorHAnsi" w:hAnsiTheme="minorHAnsi"/>
                <w:szCs w:val="18"/>
              </w:rPr>
              <w:t>.</w:t>
            </w:r>
            <w:r w:rsidR="00B8005C">
              <w:rPr>
                <w:rFonts w:asciiTheme="minorHAnsi" w:hAnsiTheme="minorHAnsi"/>
                <w:szCs w:val="18"/>
              </w:rPr>
              <w:t>960m</w:t>
            </w:r>
            <w:r w:rsidRPr="006D16E0">
              <w:rPr>
                <w:rFonts w:asciiTheme="minorHAnsi" w:hAnsiTheme="minorHAnsi"/>
                <w:szCs w:val="18"/>
              </w:rPr>
              <w:t xml:space="preserve"> as a result of updated estimates</w:t>
            </w:r>
            <w:r w:rsidR="00261A74" w:rsidRPr="006D16E0">
              <w:rPr>
                <w:rFonts w:asciiTheme="minorHAnsi" w:hAnsiTheme="minorHAnsi"/>
                <w:szCs w:val="18"/>
              </w:rPr>
              <w:t xml:space="preserve">.  </w:t>
            </w:r>
            <w:r w:rsidRPr="006D16E0">
              <w:rPr>
                <w:rFonts w:asciiTheme="minorHAnsi" w:hAnsiTheme="minorHAnsi"/>
                <w:szCs w:val="18"/>
              </w:rPr>
              <w:t>The asset ceiling adjustment for 202</w:t>
            </w:r>
            <w:r w:rsidR="00523741">
              <w:rPr>
                <w:rFonts w:asciiTheme="minorHAnsi" w:hAnsiTheme="minorHAnsi"/>
                <w:szCs w:val="18"/>
              </w:rPr>
              <w:t>5</w:t>
            </w:r>
            <w:r w:rsidRPr="006D16E0">
              <w:rPr>
                <w:rFonts w:asciiTheme="minorHAnsi" w:hAnsiTheme="minorHAnsi"/>
                <w:szCs w:val="18"/>
              </w:rPr>
              <w:t>/2</w:t>
            </w:r>
            <w:r w:rsidR="00523741">
              <w:rPr>
                <w:rFonts w:asciiTheme="minorHAnsi" w:hAnsiTheme="minorHAnsi"/>
                <w:szCs w:val="18"/>
              </w:rPr>
              <w:t>6</w:t>
            </w:r>
            <w:r w:rsidRPr="006D16E0">
              <w:rPr>
                <w:rFonts w:asciiTheme="minorHAnsi" w:hAnsiTheme="minorHAnsi"/>
                <w:szCs w:val="18"/>
              </w:rPr>
              <w:t xml:space="preserve"> </w:t>
            </w:r>
            <w:r w:rsidRPr="00DE5CA5">
              <w:rPr>
                <w:rFonts w:asciiTheme="minorHAnsi" w:hAnsiTheme="minorHAnsi"/>
                <w:szCs w:val="18"/>
              </w:rPr>
              <w:t>was £</w:t>
            </w:r>
            <w:r w:rsidR="00DE5CA5">
              <w:rPr>
                <w:rFonts w:asciiTheme="minorHAnsi" w:hAnsiTheme="minorHAnsi"/>
                <w:szCs w:val="18"/>
              </w:rPr>
              <w:t>60</w:t>
            </w:r>
            <w:r w:rsidRPr="00DE5CA5">
              <w:rPr>
                <w:rFonts w:asciiTheme="minorHAnsi" w:hAnsiTheme="minorHAnsi"/>
                <w:szCs w:val="18"/>
              </w:rPr>
              <w:t>.</w:t>
            </w:r>
            <w:r w:rsidR="00DE5CA5">
              <w:rPr>
                <w:rFonts w:asciiTheme="minorHAnsi" w:hAnsiTheme="minorHAnsi"/>
                <w:szCs w:val="18"/>
              </w:rPr>
              <w:t>412</w:t>
            </w:r>
            <w:r w:rsidRPr="00DE5CA5">
              <w:rPr>
                <w:rFonts w:asciiTheme="minorHAnsi" w:hAnsiTheme="minorHAnsi"/>
                <w:szCs w:val="18"/>
              </w:rPr>
              <w:t>m</w:t>
            </w:r>
            <w:r w:rsidRPr="006D16E0">
              <w:rPr>
                <w:rFonts w:asciiTheme="minorHAnsi" w:hAnsiTheme="minorHAnsi"/>
                <w:szCs w:val="18"/>
              </w:rPr>
              <w:t>, reflecting the difference between the calculated LGPS surplus and the amount that can be recognised under IAS 19</w:t>
            </w:r>
            <w:r w:rsidR="00261A74" w:rsidRPr="006D16E0">
              <w:rPr>
                <w:rFonts w:asciiTheme="minorHAnsi" w:hAnsiTheme="minorHAnsi"/>
                <w:szCs w:val="18"/>
              </w:rPr>
              <w:t xml:space="preserve">.  </w:t>
            </w:r>
            <w:r w:rsidRPr="006D16E0">
              <w:rPr>
                <w:rFonts w:asciiTheme="minorHAnsi" w:hAnsiTheme="minorHAnsi"/>
                <w:szCs w:val="18"/>
              </w:rPr>
              <w:t>Changes to underlying assumptions—such as return expectations, future contribution requirements or regulations governing the recovery of surpluses—could materially increase or decrease this adjustment</w:t>
            </w:r>
            <w:r w:rsidR="00261A74" w:rsidRPr="006D16E0">
              <w:rPr>
                <w:rFonts w:asciiTheme="minorHAnsi" w:hAnsiTheme="minorHAnsi"/>
                <w:szCs w:val="18"/>
              </w:rPr>
              <w:t xml:space="preserve">.  </w:t>
            </w:r>
            <w:r w:rsidRPr="006D16E0">
              <w:rPr>
                <w:rFonts w:asciiTheme="minorHAnsi" w:hAnsiTheme="minorHAnsi"/>
                <w:szCs w:val="18"/>
              </w:rPr>
              <w:t>If laws and regulations surrounding the management of the Police Pension Scheme were to change, the maximum additional liability the OCC could face would be £</w:t>
            </w:r>
            <w:r w:rsidRPr="00B24EA8">
              <w:rPr>
                <w:rFonts w:asciiTheme="minorHAnsi" w:hAnsiTheme="minorHAnsi"/>
                <w:szCs w:val="18"/>
              </w:rPr>
              <w:t>9</w:t>
            </w:r>
            <w:r w:rsidR="00B24EA8">
              <w:rPr>
                <w:rFonts w:asciiTheme="minorHAnsi" w:hAnsiTheme="minorHAnsi"/>
                <w:szCs w:val="18"/>
              </w:rPr>
              <w:t>31</w:t>
            </w:r>
            <w:r w:rsidRPr="00B24EA8">
              <w:rPr>
                <w:rFonts w:asciiTheme="minorHAnsi" w:hAnsiTheme="minorHAnsi"/>
                <w:szCs w:val="18"/>
              </w:rPr>
              <w:t>.6</w:t>
            </w:r>
            <w:r w:rsidR="00B24EA8">
              <w:rPr>
                <w:rFonts w:asciiTheme="minorHAnsi" w:hAnsiTheme="minorHAnsi"/>
                <w:szCs w:val="18"/>
              </w:rPr>
              <w:t>70</w:t>
            </w:r>
            <w:r w:rsidRPr="00B24EA8">
              <w:rPr>
                <w:rFonts w:asciiTheme="minorHAnsi" w:hAnsiTheme="minorHAnsi"/>
                <w:szCs w:val="18"/>
              </w:rPr>
              <w:t>m</w:t>
            </w:r>
            <w:r w:rsidRPr="006D16E0">
              <w:rPr>
                <w:rFonts w:asciiTheme="minorHAnsi" w:hAnsiTheme="minorHAnsi"/>
                <w:szCs w:val="18"/>
              </w:rPr>
              <w:t>, being the total pension liability recorded on the balance sheet.</w:t>
            </w:r>
          </w:p>
          <w:p w14:paraId="59B0B194" w14:textId="67D47DDD" w:rsidR="003A74A7" w:rsidRPr="006D16E0" w:rsidRDefault="003A74A7" w:rsidP="003356AE">
            <w:pPr>
              <w:spacing w:line="240" w:lineRule="auto"/>
              <w:rPr>
                <w:rFonts w:asciiTheme="minorHAnsi" w:hAnsiTheme="minorHAnsi"/>
                <w:highlight w:val="yellow"/>
              </w:rPr>
            </w:pPr>
          </w:p>
        </w:tc>
      </w:tr>
      <w:tr w:rsidR="003A74A7" w:rsidRPr="003C2227" w14:paraId="63E3555D" w14:textId="77777777" w:rsidTr="002627B9">
        <w:tblPrEx>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PrEx>
        <w:trPr>
          <w:trHeight w:val="339"/>
        </w:trPr>
        <w:tc>
          <w:tcPr>
            <w:tcW w:w="1450" w:type="dxa"/>
            <w:vMerge/>
            <w:vAlign w:val="center"/>
          </w:tcPr>
          <w:p w14:paraId="195218D5" w14:textId="77777777" w:rsidR="003A74A7" w:rsidRPr="003C2227" w:rsidRDefault="003A74A7" w:rsidP="003356AE">
            <w:pPr>
              <w:spacing w:line="240" w:lineRule="auto"/>
              <w:rPr>
                <w:rFonts w:asciiTheme="minorHAnsi" w:hAnsiTheme="minorHAnsi"/>
                <w:sz w:val="18"/>
                <w:szCs w:val="18"/>
              </w:rPr>
            </w:pPr>
          </w:p>
        </w:tc>
        <w:tc>
          <w:tcPr>
            <w:tcW w:w="3969" w:type="dxa"/>
            <w:vMerge/>
            <w:vAlign w:val="center"/>
          </w:tcPr>
          <w:p w14:paraId="7D8F7400" w14:textId="77777777" w:rsidR="003A74A7" w:rsidRPr="003C2227" w:rsidRDefault="003A74A7" w:rsidP="003356AE">
            <w:pPr>
              <w:spacing w:line="240" w:lineRule="auto"/>
              <w:rPr>
                <w:rFonts w:asciiTheme="minorHAnsi" w:hAnsiTheme="minorHAnsi"/>
                <w:sz w:val="18"/>
                <w:szCs w:val="18"/>
              </w:rPr>
            </w:pPr>
          </w:p>
        </w:tc>
        <w:tc>
          <w:tcPr>
            <w:tcW w:w="3793" w:type="dxa"/>
            <w:vMerge/>
            <w:vAlign w:val="center"/>
          </w:tcPr>
          <w:p w14:paraId="03620EED" w14:textId="77777777" w:rsidR="003A74A7" w:rsidRPr="003C2227" w:rsidRDefault="003A74A7" w:rsidP="003356AE">
            <w:pPr>
              <w:spacing w:line="240" w:lineRule="auto"/>
              <w:rPr>
                <w:rFonts w:asciiTheme="minorHAnsi" w:hAnsiTheme="minorHAnsi" w:cs="Arial"/>
                <w:sz w:val="18"/>
                <w:szCs w:val="18"/>
              </w:rPr>
            </w:pPr>
          </w:p>
        </w:tc>
      </w:tr>
    </w:tbl>
    <w:p w14:paraId="234EC4A0" w14:textId="77777777" w:rsidR="002522D4" w:rsidRPr="003C2227" w:rsidRDefault="002522D4" w:rsidP="003356AE">
      <w:pPr>
        <w:spacing w:line="240" w:lineRule="auto"/>
      </w:pPr>
      <w:r w:rsidRPr="003C2227">
        <w:t xml:space="preserve"> </w:t>
      </w:r>
    </w:p>
    <w:p w14:paraId="6DD1A9F9" w14:textId="1CC9E156" w:rsidR="005568D8" w:rsidRPr="00A14CAC" w:rsidRDefault="005568D8" w:rsidP="005568D8">
      <w:pPr>
        <w:pStyle w:val="NoteHeader"/>
        <w:spacing w:line="240" w:lineRule="auto"/>
      </w:pPr>
      <w:bookmarkStart w:id="69" w:name="_Toc230858556"/>
      <w:bookmarkStart w:id="70" w:name="_Toc517077277"/>
      <w:bookmarkStart w:id="71" w:name="_Toc9272503"/>
      <w:bookmarkStart w:id="72" w:name="_Toc9592049"/>
      <w:r>
        <w:t>Note 3 - Events a</w:t>
      </w:r>
      <w:r w:rsidRPr="00A14CAC">
        <w:t>fter the Balance Sheet Date</w:t>
      </w:r>
      <w:bookmarkEnd w:id="69"/>
      <w:r w:rsidRPr="00A14CAC">
        <w:t xml:space="preserve"> </w:t>
      </w:r>
    </w:p>
    <w:p w14:paraId="1F7296A4" w14:textId="77777777" w:rsidR="005568D8" w:rsidRPr="00A14CAC" w:rsidRDefault="005568D8" w:rsidP="005568D8">
      <w:pPr>
        <w:spacing w:line="240" w:lineRule="auto"/>
      </w:pPr>
    </w:p>
    <w:p w14:paraId="0A09E73A" w14:textId="2FA5ED24" w:rsidR="005568D8" w:rsidRDefault="005568D8" w:rsidP="005568D8">
      <w:pPr>
        <w:spacing w:line="240" w:lineRule="auto"/>
      </w:pPr>
      <w:r w:rsidRPr="00D65A28">
        <w:t xml:space="preserve">The statement of accounts was authorised for issue by the </w:t>
      </w:r>
      <w:r w:rsidRPr="00D34031">
        <w:t xml:space="preserve">Chief Finance Officer </w:t>
      </w:r>
      <w:r w:rsidR="008711D7">
        <w:t>on 10</w:t>
      </w:r>
      <w:r w:rsidRPr="00D34031">
        <w:t xml:space="preserve"> </w:t>
      </w:r>
      <w:r w:rsidRPr="00FD2432">
        <w:t>June</w:t>
      </w:r>
      <w:r w:rsidRPr="00D34031">
        <w:t xml:space="preserve"> </w:t>
      </w:r>
      <w:r w:rsidRPr="00FD2432">
        <w:t>2026</w:t>
      </w:r>
      <w:r w:rsidRPr="00D65A28">
        <w:t xml:space="preserve"> and </w:t>
      </w:r>
      <w:r>
        <w:t>no</w:t>
      </w:r>
      <w:r w:rsidRPr="00D65A28">
        <w:t xml:space="preserve"> post</w:t>
      </w:r>
      <w:r>
        <w:t>-</w:t>
      </w:r>
      <w:r w:rsidRPr="00D65A28">
        <w:t>balance sheet event</w:t>
      </w:r>
      <w:r>
        <w:t>s</w:t>
      </w:r>
      <w:r w:rsidRPr="00D65A28">
        <w:t xml:space="preserve"> had been reported at this date</w:t>
      </w:r>
      <w:r>
        <w:t>.</w:t>
      </w:r>
    </w:p>
    <w:p w14:paraId="762470ED" w14:textId="7CEB9BC4" w:rsidR="00354E03" w:rsidRDefault="00354E03" w:rsidP="003356AE">
      <w:pPr>
        <w:spacing w:line="240" w:lineRule="auto"/>
        <w:jc w:val="left"/>
        <w:rPr>
          <w:rFonts w:asciiTheme="minorHAnsi" w:eastAsia="Times New Roman" w:hAnsiTheme="minorHAnsi" w:cs="Times New Roman"/>
          <w:b/>
          <w:bCs/>
          <w:color w:val="25316C"/>
          <w:sz w:val="24"/>
          <w:u w:val="single"/>
        </w:rPr>
      </w:pPr>
    </w:p>
    <w:p w14:paraId="3444E8D2" w14:textId="77777777" w:rsidR="00384D8C" w:rsidRPr="00F410FA" w:rsidRDefault="00384D8C" w:rsidP="003356AE">
      <w:pPr>
        <w:spacing w:line="240" w:lineRule="auto"/>
        <w:rPr>
          <w:sz w:val="14"/>
          <w:szCs w:val="14"/>
        </w:rPr>
      </w:pPr>
      <w:bookmarkStart w:id="73" w:name="_Toc517077278"/>
      <w:bookmarkStart w:id="74" w:name="_Toc9272504"/>
      <w:bookmarkEnd w:id="70"/>
      <w:bookmarkEnd w:id="71"/>
      <w:bookmarkEnd w:id="72"/>
    </w:p>
    <w:p w14:paraId="6CF003F7" w14:textId="77777777" w:rsidR="004A250D" w:rsidRDefault="004A250D" w:rsidP="003356AE">
      <w:pPr>
        <w:spacing w:line="240" w:lineRule="auto"/>
        <w:jc w:val="left"/>
        <w:rPr>
          <w:rFonts w:asciiTheme="minorHAnsi" w:eastAsia="Times New Roman" w:hAnsiTheme="minorHAnsi" w:cs="Times New Roman"/>
          <w:b/>
          <w:bCs/>
          <w:color w:val="25316C"/>
          <w:sz w:val="24"/>
          <w:u w:val="single"/>
          <w:lang w:val="pt-BR"/>
        </w:rPr>
      </w:pPr>
      <w:bookmarkStart w:id="75" w:name="_Toc9592050"/>
      <w:r>
        <w:rPr>
          <w:lang w:val="pt-BR"/>
        </w:rPr>
        <w:br w:type="page"/>
      </w:r>
    </w:p>
    <w:p w14:paraId="3A068EE6" w14:textId="75C3A078" w:rsidR="002522D4" w:rsidRPr="009B1776" w:rsidRDefault="002522D4" w:rsidP="003356AE">
      <w:pPr>
        <w:pStyle w:val="NoteHeader"/>
        <w:spacing w:line="240" w:lineRule="auto"/>
        <w:rPr>
          <w:rFonts w:ascii="Verdana" w:hAnsi="Verdana"/>
          <w:sz w:val="20"/>
        </w:rPr>
      </w:pPr>
      <w:bookmarkStart w:id="76" w:name="_Toc230858557"/>
      <w:r w:rsidRPr="009B1776">
        <w:rPr>
          <w:lang w:val="pt-BR"/>
        </w:rPr>
        <w:lastRenderedPageBreak/>
        <w:t>Note 4 - Officers’ Remuneration</w:t>
      </w:r>
      <w:bookmarkEnd w:id="73"/>
      <w:bookmarkEnd w:id="74"/>
      <w:bookmarkEnd w:id="75"/>
      <w:bookmarkEnd w:id="76"/>
    </w:p>
    <w:p w14:paraId="28A4CDC5" w14:textId="77777777" w:rsidR="002522D4" w:rsidRPr="009B1776" w:rsidRDefault="002522D4" w:rsidP="003356AE">
      <w:pPr>
        <w:spacing w:line="240" w:lineRule="auto"/>
      </w:pPr>
    </w:p>
    <w:p w14:paraId="5576CB97" w14:textId="77777777" w:rsidR="002522D4" w:rsidRPr="009B1776" w:rsidRDefault="002522D4" w:rsidP="003356AE">
      <w:pPr>
        <w:pStyle w:val="VAHeadingLevel2"/>
        <w:spacing w:line="240" w:lineRule="auto"/>
        <w:rPr>
          <w:rFonts w:eastAsia="Calibri"/>
        </w:rPr>
      </w:pPr>
      <w:r w:rsidRPr="009B1776">
        <w:rPr>
          <w:rFonts w:eastAsia="Calibri"/>
        </w:rPr>
        <w:t>Employee Remuneration</w:t>
      </w:r>
    </w:p>
    <w:p w14:paraId="496D5591" w14:textId="7155E614" w:rsidR="002522D4" w:rsidRPr="009B1776" w:rsidRDefault="002522D4" w:rsidP="003356AE">
      <w:pPr>
        <w:spacing w:line="240" w:lineRule="auto"/>
      </w:pPr>
      <w:r w:rsidRPr="009B1776">
        <w:t>In accordance with the Code of Practice, the number of employees whose remuneration was paid in year, excluding pension contributions, exceeded £50,000 or more in the year, were as follows:</w:t>
      </w:r>
      <w:r w:rsidR="00A9574D" w:rsidRPr="00A9574D">
        <w:rPr>
          <w:highlight w:val="yellow"/>
          <w:lang w:val="pt-BR"/>
        </w:rPr>
        <w:t xml:space="preserve"> </w:t>
      </w:r>
    </w:p>
    <w:p w14:paraId="6AF4F31B" w14:textId="257DFF4C" w:rsidR="006F1DE5" w:rsidRDefault="006F1DE5" w:rsidP="003356AE">
      <w:pPr>
        <w:spacing w:line="240" w:lineRule="auto"/>
        <w:rPr>
          <w:rFonts w:asciiTheme="minorHAnsi" w:hAnsiTheme="minorHAnsi"/>
          <w:color w:val="auto"/>
          <w:sz w:val="24"/>
          <w:lang w:val="en-US"/>
        </w:rPr>
      </w:pPr>
    </w:p>
    <w:tbl>
      <w:tblPr>
        <w:tblW w:w="7655" w:type="dxa"/>
        <w:tblLayout w:type="fixed"/>
        <w:tblLook w:val="04A0" w:firstRow="1" w:lastRow="0" w:firstColumn="1" w:lastColumn="0" w:noHBand="0" w:noVBand="1"/>
      </w:tblPr>
      <w:tblGrid>
        <w:gridCol w:w="1020"/>
        <w:gridCol w:w="236"/>
        <w:gridCol w:w="3047"/>
        <w:gridCol w:w="1117"/>
        <w:gridCol w:w="1117"/>
        <w:gridCol w:w="1118"/>
      </w:tblGrid>
      <w:tr w:rsidR="00454BF8" w:rsidRPr="00454BF8" w14:paraId="048B0C1E" w14:textId="77777777" w:rsidTr="006F0F50">
        <w:trPr>
          <w:trHeight w:val="290"/>
        </w:trPr>
        <w:tc>
          <w:tcPr>
            <w:tcW w:w="1020" w:type="dxa"/>
            <w:tcBorders>
              <w:top w:val="nil"/>
              <w:left w:val="nil"/>
              <w:bottom w:val="nil"/>
              <w:right w:val="nil"/>
            </w:tcBorders>
            <w:shd w:val="clear" w:color="000000" w:fill="000099"/>
            <w:vAlign w:val="center"/>
            <w:hideMark/>
          </w:tcPr>
          <w:p w14:paraId="248276D3" w14:textId="77777777" w:rsidR="00454BF8" w:rsidRPr="00E4276F" w:rsidRDefault="00454BF8" w:rsidP="00454BF8">
            <w:pPr>
              <w:spacing w:after="0" w:line="240" w:lineRule="auto"/>
              <w:jc w:val="center"/>
              <w:rPr>
                <w:rFonts w:asciiTheme="minorHAnsi" w:eastAsia="Times New Roman" w:hAnsiTheme="minorHAnsi" w:cstheme="minorHAnsi"/>
                <w:b/>
                <w:bCs/>
                <w:color w:val="FFFFFF"/>
                <w:sz w:val="18"/>
                <w:szCs w:val="18"/>
                <w:lang w:eastAsia="en-GB"/>
              </w:rPr>
            </w:pPr>
            <w:r w:rsidRPr="00E4276F">
              <w:rPr>
                <w:rFonts w:asciiTheme="minorHAnsi" w:eastAsia="Times New Roman" w:hAnsiTheme="minorHAnsi" w:cstheme="minorHAnsi"/>
                <w:b/>
                <w:bCs/>
                <w:color w:val="FFFFFF"/>
                <w:sz w:val="18"/>
                <w:szCs w:val="18"/>
                <w:lang w:eastAsia="en-GB"/>
              </w:rPr>
              <w:t>2024/25</w:t>
            </w:r>
          </w:p>
        </w:tc>
        <w:tc>
          <w:tcPr>
            <w:tcW w:w="3283" w:type="dxa"/>
            <w:gridSpan w:val="2"/>
            <w:tcBorders>
              <w:top w:val="nil"/>
              <w:left w:val="nil"/>
              <w:bottom w:val="nil"/>
              <w:right w:val="nil"/>
            </w:tcBorders>
            <w:shd w:val="clear" w:color="000000" w:fill="000099"/>
            <w:vAlign w:val="center"/>
            <w:hideMark/>
          </w:tcPr>
          <w:p w14:paraId="3C1550CC" w14:textId="5A3627BF" w:rsidR="00454BF8" w:rsidRPr="00E4276F" w:rsidRDefault="00454BF8" w:rsidP="001A79C9">
            <w:pPr>
              <w:spacing w:after="0" w:line="240" w:lineRule="auto"/>
              <w:jc w:val="center"/>
              <w:rPr>
                <w:rFonts w:asciiTheme="minorHAnsi" w:eastAsia="Times New Roman" w:hAnsiTheme="minorHAnsi" w:cstheme="minorHAnsi"/>
                <w:b/>
                <w:bCs/>
                <w:color w:val="FFFFFF"/>
                <w:sz w:val="18"/>
                <w:szCs w:val="18"/>
                <w:lang w:eastAsia="en-GB"/>
              </w:rPr>
            </w:pPr>
          </w:p>
        </w:tc>
        <w:tc>
          <w:tcPr>
            <w:tcW w:w="3352" w:type="dxa"/>
            <w:gridSpan w:val="3"/>
            <w:tcBorders>
              <w:top w:val="nil"/>
              <w:left w:val="nil"/>
              <w:bottom w:val="nil"/>
              <w:right w:val="nil"/>
            </w:tcBorders>
            <w:shd w:val="clear" w:color="000000" w:fill="000099"/>
            <w:vAlign w:val="center"/>
            <w:hideMark/>
          </w:tcPr>
          <w:p w14:paraId="18C97B47" w14:textId="77777777" w:rsidR="00454BF8" w:rsidRPr="00E4276F" w:rsidRDefault="00454BF8" w:rsidP="00454BF8">
            <w:pPr>
              <w:spacing w:after="0" w:line="240" w:lineRule="auto"/>
              <w:jc w:val="center"/>
              <w:rPr>
                <w:rFonts w:asciiTheme="minorHAnsi" w:eastAsia="Times New Roman" w:hAnsiTheme="minorHAnsi" w:cstheme="minorHAnsi"/>
                <w:b/>
                <w:bCs/>
                <w:color w:val="FFFFFF"/>
                <w:sz w:val="18"/>
                <w:szCs w:val="18"/>
                <w:lang w:eastAsia="en-GB"/>
              </w:rPr>
            </w:pPr>
            <w:r w:rsidRPr="00E4276F">
              <w:rPr>
                <w:rFonts w:asciiTheme="minorHAnsi" w:eastAsia="Times New Roman" w:hAnsiTheme="minorHAnsi" w:cstheme="minorHAnsi"/>
                <w:b/>
                <w:bCs/>
                <w:color w:val="FFFFFF"/>
                <w:sz w:val="18"/>
                <w:szCs w:val="18"/>
                <w:lang w:eastAsia="en-GB"/>
              </w:rPr>
              <w:t>2025/26</w:t>
            </w:r>
          </w:p>
        </w:tc>
      </w:tr>
      <w:tr w:rsidR="004809C8" w:rsidRPr="00454BF8" w14:paraId="50AD20E7" w14:textId="77777777" w:rsidTr="006F0F50">
        <w:trPr>
          <w:trHeight w:val="285"/>
        </w:trPr>
        <w:tc>
          <w:tcPr>
            <w:tcW w:w="1020" w:type="dxa"/>
            <w:tcBorders>
              <w:top w:val="nil"/>
              <w:left w:val="nil"/>
              <w:bottom w:val="nil"/>
              <w:right w:val="nil"/>
            </w:tcBorders>
            <w:shd w:val="clear" w:color="000000" w:fill="000099"/>
            <w:vAlign w:val="center"/>
            <w:hideMark/>
          </w:tcPr>
          <w:p w14:paraId="655C8CA6" w14:textId="77777777" w:rsidR="00454BF8" w:rsidRPr="00E4276F" w:rsidRDefault="00454BF8" w:rsidP="00454BF8">
            <w:pPr>
              <w:spacing w:after="0" w:line="240" w:lineRule="auto"/>
              <w:jc w:val="center"/>
              <w:rPr>
                <w:rFonts w:asciiTheme="minorHAnsi" w:eastAsia="Times New Roman" w:hAnsiTheme="minorHAnsi" w:cstheme="minorHAnsi"/>
                <w:b/>
                <w:bCs/>
                <w:color w:val="FFFFFF"/>
                <w:sz w:val="18"/>
                <w:szCs w:val="18"/>
                <w:lang w:eastAsia="en-GB"/>
              </w:rPr>
            </w:pPr>
            <w:r w:rsidRPr="00E4276F">
              <w:rPr>
                <w:rFonts w:asciiTheme="minorHAnsi" w:eastAsia="Times New Roman" w:hAnsiTheme="minorHAnsi" w:cstheme="minorHAnsi"/>
                <w:b/>
                <w:bCs/>
                <w:color w:val="FFFFFF"/>
                <w:sz w:val="18"/>
                <w:szCs w:val="18"/>
                <w:lang w:eastAsia="en-GB"/>
              </w:rPr>
              <w:t>Total</w:t>
            </w:r>
          </w:p>
        </w:tc>
        <w:tc>
          <w:tcPr>
            <w:tcW w:w="3283" w:type="dxa"/>
            <w:gridSpan w:val="2"/>
            <w:tcBorders>
              <w:top w:val="nil"/>
              <w:left w:val="nil"/>
              <w:bottom w:val="nil"/>
              <w:right w:val="nil"/>
            </w:tcBorders>
            <w:shd w:val="clear" w:color="000000" w:fill="000099"/>
            <w:vAlign w:val="center"/>
            <w:hideMark/>
          </w:tcPr>
          <w:p w14:paraId="2A8CAD86" w14:textId="77777777" w:rsidR="00454BF8" w:rsidRPr="00E4276F" w:rsidRDefault="00454BF8" w:rsidP="00454BF8">
            <w:pPr>
              <w:spacing w:after="0" w:line="240" w:lineRule="auto"/>
              <w:jc w:val="center"/>
              <w:rPr>
                <w:rFonts w:asciiTheme="minorHAnsi" w:eastAsia="Times New Roman" w:hAnsiTheme="minorHAnsi" w:cstheme="minorHAnsi"/>
                <w:b/>
                <w:bCs/>
                <w:color w:val="FFFFFF"/>
                <w:sz w:val="18"/>
                <w:szCs w:val="18"/>
                <w:lang w:eastAsia="en-GB"/>
              </w:rPr>
            </w:pPr>
            <w:r w:rsidRPr="00E4276F">
              <w:rPr>
                <w:rFonts w:asciiTheme="minorHAnsi" w:eastAsia="Times New Roman" w:hAnsiTheme="minorHAnsi" w:cstheme="minorHAnsi"/>
                <w:b/>
                <w:bCs/>
                <w:color w:val="FFFFFF"/>
                <w:sz w:val="18"/>
                <w:szCs w:val="18"/>
                <w:lang w:eastAsia="en-GB"/>
              </w:rPr>
              <w:t>£'s</w:t>
            </w:r>
          </w:p>
        </w:tc>
        <w:tc>
          <w:tcPr>
            <w:tcW w:w="1117" w:type="dxa"/>
            <w:tcBorders>
              <w:top w:val="nil"/>
              <w:left w:val="nil"/>
              <w:bottom w:val="nil"/>
              <w:right w:val="nil"/>
            </w:tcBorders>
            <w:shd w:val="clear" w:color="000000" w:fill="000099"/>
            <w:vAlign w:val="center"/>
            <w:hideMark/>
          </w:tcPr>
          <w:p w14:paraId="71E9B2C3" w14:textId="77777777" w:rsidR="00454BF8" w:rsidRPr="00E4276F" w:rsidRDefault="00454BF8" w:rsidP="00454BF8">
            <w:pPr>
              <w:spacing w:after="0" w:line="240" w:lineRule="auto"/>
              <w:jc w:val="center"/>
              <w:rPr>
                <w:rFonts w:asciiTheme="minorHAnsi" w:eastAsia="Times New Roman" w:hAnsiTheme="minorHAnsi" w:cstheme="minorHAnsi"/>
                <w:b/>
                <w:bCs/>
                <w:color w:val="FFFFFF"/>
                <w:sz w:val="18"/>
                <w:szCs w:val="18"/>
                <w:lang w:eastAsia="en-GB"/>
              </w:rPr>
            </w:pPr>
            <w:r w:rsidRPr="00E4276F">
              <w:rPr>
                <w:rFonts w:asciiTheme="minorHAnsi" w:eastAsia="Times New Roman" w:hAnsiTheme="minorHAnsi" w:cstheme="minorHAnsi"/>
                <w:b/>
                <w:bCs/>
                <w:color w:val="FFFFFF"/>
                <w:sz w:val="18"/>
                <w:szCs w:val="18"/>
                <w:lang w:eastAsia="en-GB"/>
              </w:rPr>
              <w:t>Officers</w:t>
            </w:r>
          </w:p>
        </w:tc>
        <w:tc>
          <w:tcPr>
            <w:tcW w:w="1117" w:type="dxa"/>
            <w:tcBorders>
              <w:top w:val="nil"/>
              <w:left w:val="nil"/>
              <w:bottom w:val="nil"/>
              <w:right w:val="nil"/>
            </w:tcBorders>
            <w:shd w:val="clear" w:color="000000" w:fill="000099"/>
            <w:vAlign w:val="center"/>
            <w:hideMark/>
          </w:tcPr>
          <w:p w14:paraId="2D7BCED0" w14:textId="77777777" w:rsidR="00454BF8" w:rsidRPr="00E4276F" w:rsidRDefault="00454BF8" w:rsidP="00454BF8">
            <w:pPr>
              <w:spacing w:after="0" w:line="240" w:lineRule="auto"/>
              <w:jc w:val="center"/>
              <w:rPr>
                <w:rFonts w:asciiTheme="minorHAnsi" w:eastAsia="Times New Roman" w:hAnsiTheme="minorHAnsi" w:cstheme="minorHAnsi"/>
                <w:b/>
                <w:bCs/>
                <w:color w:val="FFFFFF"/>
                <w:sz w:val="18"/>
                <w:szCs w:val="18"/>
                <w:lang w:eastAsia="en-GB"/>
              </w:rPr>
            </w:pPr>
            <w:r w:rsidRPr="00E4276F">
              <w:rPr>
                <w:rFonts w:asciiTheme="minorHAnsi" w:eastAsia="Times New Roman" w:hAnsiTheme="minorHAnsi" w:cstheme="minorHAnsi"/>
                <w:b/>
                <w:bCs/>
                <w:color w:val="FFFFFF"/>
                <w:sz w:val="18"/>
                <w:szCs w:val="18"/>
                <w:lang w:eastAsia="en-GB"/>
              </w:rPr>
              <w:t>Police Staff</w:t>
            </w:r>
          </w:p>
        </w:tc>
        <w:tc>
          <w:tcPr>
            <w:tcW w:w="1118" w:type="dxa"/>
            <w:tcBorders>
              <w:top w:val="nil"/>
              <w:left w:val="nil"/>
              <w:bottom w:val="nil"/>
              <w:right w:val="nil"/>
            </w:tcBorders>
            <w:shd w:val="clear" w:color="000000" w:fill="000099"/>
            <w:vAlign w:val="center"/>
            <w:hideMark/>
          </w:tcPr>
          <w:p w14:paraId="01B9D1AA" w14:textId="77777777" w:rsidR="00454BF8" w:rsidRPr="00E4276F" w:rsidRDefault="00454BF8" w:rsidP="00454BF8">
            <w:pPr>
              <w:spacing w:after="0" w:line="240" w:lineRule="auto"/>
              <w:jc w:val="center"/>
              <w:rPr>
                <w:rFonts w:asciiTheme="minorHAnsi" w:eastAsia="Times New Roman" w:hAnsiTheme="minorHAnsi" w:cstheme="minorHAnsi"/>
                <w:b/>
                <w:bCs/>
                <w:color w:val="FFFFFF"/>
                <w:sz w:val="18"/>
                <w:szCs w:val="18"/>
                <w:lang w:eastAsia="en-GB"/>
              </w:rPr>
            </w:pPr>
            <w:r w:rsidRPr="00E4276F">
              <w:rPr>
                <w:rFonts w:asciiTheme="minorHAnsi" w:eastAsia="Times New Roman" w:hAnsiTheme="minorHAnsi" w:cstheme="minorHAnsi"/>
                <w:b/>
                <w:bCs/>
                <w:color w:val="FFFFFF"/>
                <w:sz w:val="18"/>
                <w:szCs w:val="18"/>
                <w:lang w:eastAsia="en-GB"/>
              </w:rPr>
              <w:t>Total Employees</w:t>
            </w:r>
          </w:p>
        </w:tc>
      </w:tr>
      <w:tr w:rsidR="004809C8" w:rsidRPr="00454BF8" w14:paraId="60506C22" w14:textId="77777777" w:rsidTr="006F0F50">
        <w:trPr>
          <w:trHeight w:val="285"/>
        </w:trPr>
        <w:tc>
          <w:tcPr>
            <w:tcW w:w="1020" w:type="dxa"/>
            <w:tcBorders>
              <w:top w:val="nil"/>
              <w:left w:val="nil"/>
              <w:bottom w:val="nil"/>
              <w:right w:val="nil"/>
            </w:tcBorders>
            <w:shd w:val="clear" w:color="000000" w:fill="FFFFFF"/>
            <w:vAlign w:val="center"/>
            <w:hideMark/>
          </w:tcPr>
          <w:p w14:paraId="1CD415F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298</w:t>
            </w:r>
          </w:p>
        </w:tc>
        <w:tc>
          <w:tcPr>
            <w:tcW w:w="3283" w:type="dxa"/>
            <w:gridSpan w:val="2"/>
            <w:tcBorders>
              <w:top w:val="nil"/>
              <w:left w:val="nil"/>
              <w:bottom w:val="nil"/>
              <w:right w:val="nil"/>
            </w:tcBorders>
            <w:shd w:val="clear" w:color="000000" w:fill="FFFFFF"/>
            <w:noWrap/>
            <w:vAlign w:val="center"/>
            <w:hideMark/>
          </w:tcPr>
          <w:p w14:paraId="0F5B594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50,000 to 54,999</w:t>
            </w:r>
          </w:p>
        </w:tc>
        <w:tc>
          <w:tcPr>
            <w:tcW w:w="1117" w:type="dxa"/>
            <w:tcBorders>
              <w:top w:val="nil"/>
              <w:left w:val="nil"/>
              <w:bottom w:val="nil"/>
              <w:right w:val="nil"/>
            </w:tcBorders>
            <w:shd w:val="clear" w:color="000000" w:fill="CCECFF"/>
            <w:vAlign w:val="center"/>
            <w:hideMark/>
          </w:tcPr>
          <w:p w14:paraId="3E7BF91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243</w:t>
            </w:r>
          </w:p>
        </w:tc>
        <w:tc>
          <w:tcPr>
            <w:tcW w:w="1117" w:type="dxa"/>
            <w:tcBorders>
              <w:top w:val="nil"/>
              <w:left w:val="nil"/>
              <w:bottom w:val="nil"/>
              <w:right w:val="nil"/>
            </w:tcBorders>
            <w:shd w:val="clear" w:color="000000" w:fill="CCECFF"/>
            <w:vAlign w:val="center"/>
            <w:hideMark/>
          </w:tcPr>
          <w:p w14:paraId="3510B9F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57</w:t>
            </w:r>
          </w:p>
        </w:tc>
        <w:tc>
          <w:tcPr>
            <w:tcW w:w="1118" w:type="dxa"/>
            <w:tcBorders>
              <w:top w:val="nil"/>
              <w:left w:val="nil"/>
              <w:bottom w:val="nil"/>
              <w:right w:val="nil"/>
            </w:tcBorders>
            <w:shd w:val="clear" w:color="000000" w:fill="CCECFF"/>
            <w:vAlign w:val="center"/>
            <w:hideMark/>
          </w:tcPr>
          <w:p w14:paraId="5DBABF7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300</w:t>
            </w:r>
          </w:p>
        </w:tc>
      </w:tr>
      <w:tr w:rsidR="004809C8" w:rsidRPr="00454BF8" w14:paraId="451E8588" w14:textId="77777777" w:rsidTr="006F0F50">
        <w:trPr>
          <w:trHeight w:val="285"/>
        </w:trPr>
        <w:tc>
          <w:tcPr>
            <w:tcW w:w="1020" w:type="dxa"/>
            <w:tcBorders>
              <w:top w:val="nil"/>
              <w:left w:val="nil"/>
              <w:bottom w:val="nil"/>
              <w:right w:val="nil"/>
            </w:tcBorders>
            <w:shd w:val="clear" w:color="000000" w:fill="FFFFFF"/>
            <w:vAlign w:val="center"/>
            <w:hideMark/>
          </w:tcPr>
          <w:p w14:paraId="085132C4"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167</w:t>
            </w:r>
          </w:p>
        </w:tc>
        <w:tc>
          <w:tcPr>
            <w:tcW w:w="3283" w:type="dxa"/>
            <w:gridSpan w:val="2"/>
            <w:tcBorders>
              <w:top w:val="nil"/>
              <w:left w:val="nil"/>
              <w:bottom w:val="nil"/>
              <w:right w:val="nil"/>
            </w:tcBorders>
            <w:shd w:val="clear" w:color="000000" w:fill="FFFFFF"/>
            <w:noWrap/>
            <w:vAlign w:val="center"/>
            <w:hideMark/>
          </w:tcPr>
          <w:p w14:paraId="2E153796"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55,000 to 59,999</w:t>
            </w:r>
          </w:p>
        </w:tc>
        <w:tc>
          <w:tcPr>
            <w:tcW w:w="1117" w:type="dxa"/>
            <w:tcBorders>
              <w:top w:val="nil"/>
              <w:left w:val="nil"/>
              <w:bottom w:val="nil"/>
              <w:right w:val="nil"/>
            </w:tcBorders>
            <w:shd w:val="clear" w:color="000000" w:fill="CCECFF"/>
            <w:vAlign w:val="center"/>
            <w:hideMark/>
          </w:tcPr>
          <w:p w14:paraId="7F0239AC"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219</w:t>
            </w:r>
          </w:p>
        </w:tc>
        <w:tc>
          <w:tcPr>
            <w:tcW w:w="1117" w:type="dxa"/>
            <w:tcBorders>
              <w:top w:val="nil"/>
              <w:left w:val="nil"/>
              <w:bottom w:val="nil"/>
              <w:right w:val="nil"/>
            </w:tcBorders>
            <w:shd w:val="clear" w:color="000000" w:fill="CCECFF"/>
            <w:vAlign w:val="center"/>
            <w:hideMark/>
          </w:tcPr>
          <w:p w14:paraId="136B86E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36</w:t>
            </w:r>
          </w:p>
        </w:tc>
        <w:tc>
          <w:tcPr>
            <w:tcW w:w="1118" w:type="dxa"/>
            <w:tcBorders>
              <w:top w:val="nil"/>
              <w:left w:val="nil"/>
              <w:bottom w:val="nil"/>
              <w:right w:val="nil"/>
            </w:tcBorders>
            <w:shd w:val="clear" w:color="000000" w:fill="CCECFF"/>
            <w:vAlign w:val="center"/>
            <w:hideMark/>
          </w:tcPr>
          <w:p w14:paraId="1F240D4A"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255</w:t>
            </w:r>
          </w:p>
        </w:tc>
      </w:tr>
      <w:tr w:rsidR="004809C8" w:rsidRPr="00454BF8" w14:paraId="24F7AA79" w14:textId="77777777" w:rsidTr="006F0F50">
        <w:trPr>
          <w:trHeight w:val="285"/>
        </w:trPr>
        <w:tc>
          <w:tcPr>
            <w:tcW w:w="1020" w:type="dxa"/>
            <w:tcBorders>
              <w:top w:val="nil"/>
              <w:left w:val="nil"/>
              <w:bottom w:val="nil"/>
              <w:right w:val="nil"/>
            </w:tcBorders>
            <w:shd w:val="clear" w:color="000000" w:fill="FFFFFF"/>
            <w:vAlign w:val="center"/>
            <w:hideMark/>
          </w:tcPr>
          <w:p w14:paraId="3EF58E5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126</w:t>
            </w:r>
          </w:p>
        </w:tc>
        <w:tc>
          <w:tcPr>
            <w:tcW w:w="3283" w:type="dxa"/>
            <w:gridSpan w:val="2"/>
            <w:tcBorders>
              <w:top w:val="nil"/>
              <w:left w:val="nil"/>
              <w:bottom w:val="nil"/>
              <w:right w:val="nil"/>
            </w:tcBorders>
            <w:shd w:val="clear" w:color="000000" w:fill="FFFFFF"/>
            <w:noWrap/>
            <w:vAlign w:val="center"/>
            <w:hideMark/>
          </w:tcPr>
          <w:p w14:paraId="6D629AE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60,000 to 64,999</w:t>
            </w:r>
          </w:p>
        </w:tc>
        <w:tc>
          <w:tcPr>
            <w:tcW w:w="1117" w:type="dxa"/>
            <w:tcBorders>
              <w:top w:val="nil"/>
              <w:left w:val="nil"/>
              <w:bottom w:val="nil"/>
              <w:right w:val="nil"/>
            </w:tcBorders>
            <w:shd w:val="clear" w:color="000000" w:fill="CCECFF"/>
            <w:vAlign w:val="center"/>
            <w:hideMark/>
          </w:tcPr>
          <w:p w14:paraId="7ADEC246"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124</w:t>
            </w:r>
          </w:p>
        </w:tc>
        <w:tc>
          <w:tcPr>
            <w:tcW w:w="1117" w:type="dxa"/>
            <w:tcBorders>
              <w:top w:val="nil"/>
              <w:left w:val="nil"/>
              <w:bottom w:val="nil"/>
              <w:right w:val="nil"/>
            </w:tcBorders>
            <w:shd w:val="clear" w:color="000000" w:fill="CCECFF"/>
            <w:vAlign w:val="center"/>
            <w:hideMark/>
          </w:tcPr>
          <w:p w14:paraId="4ECFF69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22</w:t>
            </w:r>
          </w:p>
        </w:tc>
        <w:tc>
          <w:tcPr>
            <w:tcW w:w="1118" w:type="dxa"/>
            <w:tcBorders>
              <w:top w:val="nil"/>
              <w:left w:val="nil"/>
              <w:bottom w:val="nil"/>
              <w:right w:val="nil"/>
            </w:tcBorders>
            <w:shd w:val="clear" w:color="000000" w:fill="CCECFF"/>
            <w:vAlign w:val="center"/>
            <w:hideMark/>
          </w:tcPr>
          <w:p w14:paraId="1B33956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146</w:t>
            </w:r>
          </w:p>
        </w:tc>
      </w:tr>
      <w:tr w:rsidR="004809C8" w:rsidRPr="00454BF8" w14:paraId="23134D10" w14:textId="77777777" w:rsidTr="006F0F50">
        <w:trPr>
          <w:trHeight w:val="290"/>
        </w:trPr>
        <w:tc>
          <w:tcPr>
            <w:tcW w:w="1020" w:type="dxa"/>
            <w:tcBorders>
              <w:top w:val="nil"/>
              <w:left w:val="nil"/>
              <w:bottom w:val="nil"/>
              <w:right w:val="nil"/>
            </w:tcBorders>
            <w:shd w:val="clear" w:color="000000" w:fill="FFFFFF"/>
            <w:vAlign w:val="center"/>
            <w:hideMark/>
          </w:tcPr>
          <w:p w14:paraId="4C53A8D1"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78</w:t>
            </w:r>
          </w:p>
        </w:tc>
        <w:tc>
          <w:tcPr>
            <w:tcW w:w="3283" w:type="dxa"/>
            <w:gridSpan w:val="2"/>
            <w:tcBorders>
              <w:top w:val="nil"/>
              <w:left w:val="nil"/>
              <w:bottom w:val="nil"/>
              <w:right w:val="nil"/>
            </w:tcBorders>
            <w:shd w:val="clear" w:color="000000" w:fill="FFFFFF"/>
            <w:noWrap/>
            <w:vAlign w:val="center"/>
            <w:hideMark/>
          </w:tcPr>
          <w:p w14:paraId="408030F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65,000 to 69,999</w:t>
            </w:r>
          </w:p>
        </w:tc>
        <w:tc>
          <w:tcPr>
            <w:tcW w:w="1117" w:type="dxa"/>
            <w:tcBorders>
              <w:top w:val="nil"/>
              <w:left w:val="nil"/>
              <w:bottom w:val="nil"/>
              <w:right w:val="nil"/>
            </w:tcBorders>
            <w:shd w:val="clear" w:color="000000" w:fill="CCECFF"/>
            <w:vAlign w:val="center"/>
            <w:hideMark/>
          </w:tcPr>
          <w:p w14:paraId="10E45CAA"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91</w:t>
            </w:r>
          </w:p>
        </w:tc>
        <w:tc>
          <w:tcPr>
            <w:tcW w:w="1117" w:type="dxa"/>
            <w:tcBorders>
              <w:top w:val="nil"/>
              <w:left w:val="nil"/>
              <w:bottom w:val="nil"/>
              <w:right w:val="nil"/>
            </w:tcBorders>
            <w:shd w:val="clear" w:color="000000" w:fill="CCECFF"/>
            <w:vAlign w:val="center"/>
            <w:hideMark/>
          </w:tcPr>
          <w:p w14:paraId="23C397D0"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17</w:t>
            </w:r>
          </w:p>
        </w:tc>
        <w:tc>
          <w:tcPr>
            <w:tcW w:w="1118" w:type="dxa"/>
            <w:tcBorders>
              <w:top w:val="nil"/>
              <w:left w:val="nil"/>
              <w:bottom w:val="nil"/>
              <w:right w:val="nil"/>
            </w:tcBorders>
            <w:shd w:val="clear" w:color="000000" w:fill="CCECFF"/>
            <w:vAlign w:val="center"/>
            <w:hideMark/>
          </w:tcPr>
          <w:p w14:paraId="21A3C6E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108</w:t>
            </w:r>
          </w:p>
        </w:tc>
      </w:tr>
      <w:tr w:rsidR="004809C8" w:rsidRPr="00454BF8" w14:paraId="1E961EE5" w14:textId="77777777" w:rsidTr="006F0F50">
        <w:trPr>
          <w:trHeight w:val="290"/>
        </w:trPr>
        <w:tc>
          <w:tcPr>
            <w:tcW w:w="1020" w:type="dxa"/>
            <w:tcBorders>
              <w:top w:val="nil"/>
              <w:left w:val="nil"/>
              <w:bottom w:val="nil"/>
              <w:right w:val="nil"/>
            </w:tcBorders>
            <w:shd w:val="clear" w:color="000000" w:fill="FFFFFF"/>
            <w:vAlign w:val="center"/>
            <w:hideMark/>
          </w:tcPr>
          <w:p w14:paraId="368025EC"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19</w:t>
            </w:r>
          </w:p>
        </w:tc>
        <w:tc>
          <w:tcPr>
            <w:tcW w:w="3283" w:type="dxa"/>
            <w:gridSpan w:val="2"/>
            <w:tcBorders>
              <w:top w:val="nil"/>
              <w:left w:val="nil"/>
              <w:bottom w:val="nil"/>
              <w:right w:val="nil"/>
            </w:tcBorders>
            <w:shd w:val="clear" w:color="000000" w:fill="FFFFFF"/>
            <w:noWrap/>
            <w:vAlign w:val="center"/>
            <w:hideMark/>
          </w:tcPr>
          <w:p w14:paraId="6D3B90A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70,000 to 74,999</w:t>
            </w:r>
          </w:p>
        </w:tc>
        <w:tc>
          <w:tcPr>
            <w:tcW w:w="1117" w:type="dxa"/>
            <w:tcBorders>
              <w:top w:val="nil"/>
              <w:left w:val="nil"/>
              <w:bottom w:val="nil"/>
              <w:right w:val="nil"/>
            </w:tcBorders>
            <w:shd w:val="clear" w:color="000000" w:fill="CCECFF"/>
            <w:vAlign w:val="center"/>
            <w:hideMark/>
          </w:tcPr>
          <w:p w14:paraId="2129EA5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48</w:t>
            </w:r>
          </w:p>
        </w:tc>
        <w:tc>
          <w:tcPr>
            <w:tcW w:w="1117" w:type="dxa"/>
            <w:tcBorders>
              <w:top w:val="nil"/>
              <w:left w:val="nil"/>
              <w:bottom w:val="nil"/>
              <w:right w:val="nil"/>
            </w:tcBorders>
            <w:shd w:val="clear" w:color="000000" w:fill="CCECFF"/>
            <w:vAlign w:val="center"/>
            <w:hideMark/>
          </w:tcPr>
          <w:p w14:paraId="600F7C3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9</w:t>
            </w:r>
          </w:p>
        </w:tc>
        <w:tc>
          <w:tcPr>
            <w:tcW w:w="1118" w:type="dxa"/>
            <w:tcBorders>
              <w:top w:val="nil"/>
              <w:left w:val="nil"/>
              <w:bottom w:val="nil"/>
              <w:right w:val="nil"/>
            </w:tcBorders>
            <w:shd w:val="clear" w:color="000000" w:fill="CCECFF"/>
            <w:vAlign w:val="center"/>
            <w:hideMark/>
          </w:tcPr>
          <w:p w14:paraId="4D1E4DA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57</w:t>
            </w:r>
          </w:p>
        </w:tc>
      </w:tr>
      <w:tr w:rsidR="004809C8" w:rsidRPr="00454BF8" w14:paraId="6B975FF9" w14:textId="77777777" w:rsidTr="006F0F50">
        <w:trPr>
          <w:trHeight w:val="290"/>
        </w:trPr>
        <w:tc>
          <w:tcPr>
            <w:tcW w:w="1020" w:type="dxa"/>
            <w:tcBorders>
              <w:top w:val="nil"/>
              <w:left w:val="nil"/>
              <w:bottom w:val="nil"/>
              <w:right w:val="nil"/>
            </w:tcBorders>
            <w:shd w:val="clear" w:color="000000" w:fill="FFFFFF"/>
            <w:vAlign w:val="center"/>
            <w:hideMark/>
          </w:tcPr>
          <w:p w14:paraId="002BEA26"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8</w:t>
            </w:r>
          </w:p>
        </w:tc>
        <w:tc>
          <w:tcPr>
            <w:tcW w:w="3283" w:type="dxa"/>
            <w:gridSpan w:val="2"/>
            <w:tcBorders>
              <w:top w:val="nil"/>
              <w:left w:val="nil"/>
              <w:bottom w:val="nil"/>
              <w:right w:val="nil"/>
            </w:tcBorders>
            <w:shd w:val="clear" w:color="000000" w:fill="FFFFFF"/>
            <w:noWrap/>
            <w:vAlign w:val="center"/>
            <w:hideMark/>
          </w:tcPr>
          <w:p w14:paraId="2FC254B3"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75,000 to 79,999</w:t>
            </w:r>
          </w:p>
        </w:tc>
        <w:tc>
          <w:tcPr>
            <w:tcW w:w="1117" w:type="dxa"/>
            <w:tcBorders>
              <w:top w:val="nil"/>
              <w:left w:val="nil"/>
              <w:bottom w:val="nil"/>
              <w:right w:val="nil"/>
            </w:tcBorders>
            <w:shd w:val="clear" w:color="000000" w:fill="CCECFF"/>
            <w:vAlign w:val="center"/>
            <w:hideMark/>
          </w:tcPr>
          <w:p w14:paraId="4D3826E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9</w:t>
            </w:r>
          </w:p>
        </w:tc>
        <w:tc>
          <w:tcPr>
            <w:tcW w:w="1117" w:type="dxa"/>
            <w:tcBorders>
              <w:top w:val="nil"/>
              <w:left w:val="nil"/>
              <w:bottom w:val="nil"/>
              <w:right w:val="nil"/>
            </w:tcBorders>
            <w:shd w:val="clear" w:color="000000" w:fill="CCECFF"/>
            <w:vAlign w:val="center"/>
            <w:hideMark/>
          </w:tcPr>
          <w:p w14:paraId="7E3945E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4</w:t>
            </w:r>
          </w:p>
        </w:tc>
        <w:tc>
          <w:tcPr>
            <w:tcW w:w="1118" w:type="dxa"/>
            <w:tcBorders>
              <w:top w:val="nil"/>
              <w:left w:val="nil"/>
              <w:bottom w:val="nil"/>
              <w:right w:val="nil"/>
            </w:tcBorders>
            <w:shd w:val="clear" w:color="000000" w:fill="CCECFF"/>
            <w:vAlign w:val="center"/>
            <w:hideMark/>
          </w:tcPr>
          <w:p w14:paraId="763BB4E3"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13</w:t>
            </w:r>
          </w:p>
        </w:tc>
      </w:tr>
      <w:tr w:rsidR="004809C8" w:rsidRPr="00454BF8" w14:paraId="6121192C" w14:textId="77777777" w:rsidTr="006F0F50">
        <w:trPr>
          <w:trHeight w:val="290"/>
        </w:trPr>
        <w:tc>
          <w:tcPr>
            <w:tcW w:w="1020" w:type="dxa"/>
            <w:tcBorders>
              <w:top w:val="nil"/>
              <w:left w:val="nil"/>
              <w:bottom w:val="nil"/>
              <w:right w:val="nil"/>
            </w:tcBorders>
            <w:shd w:val="clear" w:color="000000" w:fill="FFFFFF"/>
            <w:vAlign w:val="center"/>
            <w:hideMark/>
          </w:tcPr>
          <w:p w14:paraId="2949C8D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6</w:t>
            </w:r>
          </w:p>
        </w:tc>
        <w:tc>
          <w:tcPr>
            <w:tcW w:w="3283" w:type="dxa"/>
            <w:gridSpan w:val="2"/>
            <w:tcBorders>
              <w:top w:val="nil"/>
              <w:left w:val="nil"/>
              <w:bottom w:val="nil"/>
              <w:right w:val="nil"/>
            </w:tcBorders>
            <w:shd w:val="clear" w:color="000000" w:fill="FFFFFF"/>
            <w:noWrap/>
            <w:vAlign w:val="center"/>
            <w:hideMark/>
          </w:tcPr>
          <w:p w14:paraId="0EABDEC4"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80,000 to 84,999</w:t>
            </w:r>
          </w:p>
        </w:tc>
        <w:tc>
          <w:tcPr>
            <w:tcW w:w="1117" w:type="dxa"/>
            <w:tcBorders>
              <w:top w:val="nil"/>
              <w:left w:val="nil"/>
              <w:bottom w:val="nil"/>
              <w:right w:val="nil"/>
            </w:tcBorders>
            <w:shd w:val="clear" w:color="000000" w:fill="CCECFF"/>
            <w:vAlign w:val="center"/>
            <w:hideMark/>
          </w:tcPr>
          <w:p w14:paraId="728DD12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8</w:t>
            </w:r>
          </w:p>
        </w:tc>
        <w:tc>
          <w:tcPr>
            <w:tcW w:w="1117" w:type="dxa"/>
            <w:tcBorders>
              <w:top w:val="nil"/>
              <w:left w:val="nil"/>
              <w:bottom w:val="nil"/>
              <w:right w:val="nil"/>
            </w:tcBorders>
            <w:shd w:val="clear" w:color="000000" w:fill="CCECFF"/>
            <w:vAlign w:val="center"/>
            <w:hideMark/>
          </w:tcPr>
          <w:p w14:paraId="459EB29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4</w:t>
            </w:r>
          </w:p>
        </w:tc>
        <w:tc>
          <w:tcPr>
            <w:tcW w:w="1118" w:type="dxa"/>
            <w:tcBorders>
              <w:top w:val="nil"/>
              <w:left w:val="nil"/>
              <w:bottom w:val="nil"/>
              <w:right w:val="nil"/>
            </w:tcBorders>
            <w:shd w:val="clear" w:color="000000" w:fill="CCECFF"/>
            <w:vAlign w:val="center"/>
            <w:hideMark/>
          </w:tcPr>
          <w:p w14:paraId="743645C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12</w:t>
            </w:r>
          </w:p>
        </w:tc>
      </w:tr>
      <w:tr w:rsidR="004809C8" w:rsidRPr="00454BF8" w14:paraId="0BC4AE06" w14:textId="77777777" w:rsidTr="006F0F50">
        <w:trPr>
          <w:trHeight w:val="290"/>
        </w:trPr>
        <w:tc>
          <w:tcPr>
            <w:tcW w:w="1020" w:type="dxa"/>
            <w:tcBorders>
              <w:top w:val="nil"/>
              <w:left w:val="nil"/>
              <w:bottom w:val="nil"/>
              <w:right w:val="nil"/>
            </w:tcBorders>
            <w:shd w:val="clear" w:color="000000" w:fill="FFFFFF"/>
            <w:vAlign w:val="center"/>
            <w:hideMark/>
          </w:tcPr>
          <w:p w14:paraId="4DCF9A4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3</w:t>
            </w:r>
          </w:p>
        </w:tc>
        <w:tc>
          <w:tcPr>
            <w:tcW w:w="3283" w:type="dxa"/>
            <w:gridSpan w:val="2"/>
            <w:tcBorders>
              <w:top w:val="nil"/>
              <w:left w:val="nil"/>
              <w:bottom w:val="nil"/>
              <w:right w:val="nil"/>
            </w:tcBorders>
            <w:shd w:val="clear" w:color="000000" w:fill="FFFFFF"/>
            <w:noWrap/>
            <w:vAlign w:val="center"/>
            <w:hideMark/>
          </w:tcPr>
          <w:p w14:paraId="305F7CB3"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85,000 to 89,999</w:t>
            </w:r>
          </w:p>
        </w:tc>
        <w:tc>
          <w:tcPr>
            <w:tcW w:w="1117" w:type="dxa"/>
            <w:tcBorders>
              <w:top w:val="nil"/>
              <w:left w:val="nil"/>
              <w:bottom w:val="nil"/>
              <w:right w:val="nil"/>
            </w:tcBorders>
            <w:shd w:val="clear" w:color="000000" w:fill="CCECFF"/>
            <w:vAlign w:val="center"/>
            <w:hideMark/>
          </w:tcPr>
          <w:p w14:paraId="5A3FBB1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5</w:t>
            </w:r>
          </w:p>
        </w:tc>
        <w:tc>
          <w:tcPr>
            <w:tcW w:w="1117" w:type="dxa"/>
            <w:tcBorders>
              <w:top w:val="nil"/>
              <w:left w:val="nil"/>
              <w:bottom w:val="nil"/>
              <w:right w:val="nil"/>
            </w:tcBorders>
            <w:shd w:val="clear" w:color="000000" w:fill="CCECFF"/>
            <w:vAlign w:val="center"/>
            <w:hideMark/>
          </w:tcPr>
          <w:p w14:paraId="59FA2A70"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8" w:type="dxa"/>
            <w:tcBorders>
              <w:top w:val="nil"/>
              <w:left w:val="nil"/>
              <w:bottom w:val="nil"/>
              <w:right w:val="nil"/>
            </w:tcBorders>
            <w:shd w:val="clear" w:color="000000" w:fill="CCECFF"/>
            <w:vAlign w:val="center"/>
            <w:hideMark/>
          </w:tcPr>
          <w:p w14:paraId="6D3B01E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6</w:t>
            </w:r>
          </w:p>
        </w:tc>
      </w:tr>
      <w:tr w:rsidR="004809C8" w:rsidRPr="00454BF8" w14:paraId="5F97E526" w14:textId="77777777" w:rsidTr="006F0F50">
        <w:trPr>
          <w:trHeight w:val="290"/>
        </w:trPr>
        <w:tc>
          <w:tcPr>
            <w:tcW w:w="1020" w:type="dxa"/>
            <w:tcBorders>
              <w:top w:val="nil"/>
              <w:left w:val="nil"/>
              <w:bottom w:val="nil"/>
              <w:right w:val="nil"/>
            </w:tcBorders>
            <w:shd w:val="clear" w:color="000000" w:fill="FFFFFF"/>
            <w:vAlign w:val="center"/>
            <w:hideMark/>
          </w:tcPr>
          <w:p w14:paraId="1354CB2A"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4</w:t>
            </w:r>
          </w:p>
        </w:tc>
        <w:tc>
          <w:tcPr>
            <w:tcW w:w="3283" w:type="dxa"/>
            <w:gridSpan w:val="2"/>
            <w:tcBorders>
              <w:top w:val="nil"/>
              <w:left w:val="nil"/>
              <w:bottom w:val="nil"/>
              <w:right w:val="nil"/>
            </w:tcBorders>
            <w:shd w:val="clear" w:color="000000" w:fill="FFFFFF"/>
            <w:noWrap/>
            <w:vAlign w:val="center"/>
            <w:hideMark/>
          </w:tcPr>
          <w:p w14:paraId="3702B97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90,000 to 94,999</w:t>
            </w:r>
          </w:p>
        </w:tc>
        <w:tc>
          <w:tcPr>
            <w:tcW w:w="1117" w:type="dxa"/>
            <w:tcBorders>
              <w:top w:val="nil"/>
              <w:left w:val="nil"/>
              <w:bottom w:val="nil"/>
              <w:right w:val="nil"/>
            </w:tcBorders>
            <w:shd w:val="clear" w:color="000000" w:fill="CCECFF"/>
            <w:vAlign w:val="center"/>
            <w:hideMark/>
          </w:tcPr>
          <w:p w14:paraId="7E91CE56"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3</w:t>
            </w:r>
          </w:p>
        </w:tc>
        <w:tc>
          <w:tcPr>
            <w:tcW w:w="1117" w:type="dxa"/>
            <w:tcBorders>
              <w:top w:val="nil"/>
              <w:left w:val="nil"/>
              <w:bottom w:val="nil"/>
              <w:right w:val="nil"/>
            </w:tcBorders>
            <w:shd w:val="clear" w:color="000000" w:fill="CCECFF"/>
            <w:vAlign w:val="center"/>
            <w:hideMark/>
          </w:tcPr>
          <w:p w14:paraId="3AA5BDB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w:t>
            </w:r>
          </w:p>
        </w:tc>
        <w:tc>
          <w:tcPr>
            <w:tcW w:w="1118" w:type="dxa"/>
            <w:tcBorders>
              <w:top w:val="nil"/>
              <w:left w:val="nil"/>
              <w:bottom w:val="nil"/>
              <w:right w:val="nil"/>
            </w:tcBorders>
            <w:shd w:val="clear" w:color="000000" w:fill="CCECFF"/>
            <w:vAlign w:val="center"/>
            <w:hideMark/>
          </w:tcPr>
          <w:p w14:paraId="036BF4B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5</w:t>
            </w:r>
          </w:p>
        </w:tc>
      </w:tr>
      <w:tr w:rsidR="004809C8" w:rsidRPr="00454BF8" w14:paraId="58137F56" w14:textId="77777777" w:rsidTr="006F0F50">
        <w:trPr>
          <w:trHeight w:val="290"/>
        </w:trPr>
        <w:tc>
          <w:tcPr>
            <w:tcW w:w="1020" w:type="dxa"/>
            <w:tcBorders>
              <w:top w:val="nil"/>
              <w:left w:val="nil"/>
              <w:bottom w:val="nil"/>
              <w:right w:val="nil"/>
            </w:tcBorders>
            <w:shd w:val="clear" w:color="000000" w:fill="FFFFFF"/>
            <w:vAlign w:val="center"/>
            <w:hideMark/>
          </w:tcPr>
          <w:p w14:paraId="613EC66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8</w:t>
            </w:r>
          </w:p>
        </w:tc>
        <w:tc>
          <w:tcPr>
            <w:tcW w:w="3283" w:type="dxa"/>
            <w:gridSpan w:val="2"/>
            <w:tcBorders>
              <w:top w:val="nil"/>
              <w:left w:val="nil"/>
              <w:bottom w:val="nil"/>
              <w:right w:val="nil"/>
            </w:tcBorders>
            <w:shd w:val="clear" w:color="000000" w:fill="FFFFFF"/>
            <w:noWrap/>
            <w:vAlign w:val="center"/>
            <w:hideMark/>
          </w:tcPr>
          <w:p w14:paraId="404D86C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95,000 to 99,999</w:t>
            </w:r>
          </w:p>
        </w:tc>
        <w:tc>
          <w:tcPr>
            <w:tcW w:w="1117" w:type="dxa"/>
            <w:tcBorders>
              <w:top w:val="nil"/>
              <w:left w:val="nil"/>
              <w:bottom w:val="nil"/>
              <w:right w:val="nil"/>
            </w:tcBorders>
            <w:shd w:val="clear" w:color="000000" w:fill="CCECFF"/>
            <w:vAlign w:val="center"/>
            <w:hideMark/>
          </w:tcPr>
          <w:p w14:paraId="7939413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7" w:type="dxa"/>
            <w:tcBorders>
              <w:top w:val="nil"/>
              <w:left w:val="nil"/>
              <w:bottom w:val="nil"/>
              <w:right w:val="nil"/>
            </w:tcBorders>
            <w:shd w:val="clear" w:color="000000" w:fill="CCECFF"/>
            <w:vAlign w:val="center"/>
            <w:hideMark/>
          </w:tcPr>
          <w:p w14:paraId="24878D2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w:t>
            </w:r>
          </w:p>
        </w:tc>
        <w:tc>
          <w:tcPr>
            <w:tcW w:w="1118" w:type="dxa"/>
            <w:tcBorders>
              <w:top w:val="nil"/>
              <w:left w:val="nil"/>
              <w:bottom w:val="nil"/>
              <w:right w:val="nil"/>
            </w:tcBorders>
            <w:shd w:val="clear" w:color="000000" w:fill="CCECFF"/>
            <w:vAlign w:val="center"/>
            <w:hideMark/>
          </w:tcPr>
          <w:p w14:paraId="7F40128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3</w:t>
            </w:r>
          </w:p>
        </w:tc>
      </w:tr>
      <w:tr w:rsidR="004809C8" w:rsidRPr="00454BF8" w14:paraId="08845183" w14:textId="77777777" w:rsidTr="006F0F50">
        <w:trPr>
          <w:trHeight w:val="290"/>
        </w:trPr>
        <w:tc>
          <w:tcPr>
            <w:tcW w:w="1020" w:type="dxa"/>
            <w:tcBorders>
              <w:top w:val="nil"/>
              <w:left w:val="nil"/>
              <w:bottom w:val="nil"/>
              <w:right w:val="nil"/>
            </w:tcBorders>
            <w:shd w:val="clear" w:color="000000" w:fill="FFFFFF"/>
            <w:vAlign w:val="center"/>
            <w:hideMark/>
          </w:tcPr>
          <w:p w14:paraId="7F08EC5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w:t>
            </w:r>
          </w:p>
        </w:tc>
        <w:tc>
          <w:tcPr>
            <w:tcW w:w="3283" w:type="dxa"/>
            <w:gridSpan w:val="2"/>
            <w:tcBorders>
              <w:top w:val="nil"/>
              <w:left w:val="nil"/>
              <w:bottom w:val="nil"/>
              <w:right w:val="nil"/>
            </w:tcBorders>
            <w:shd w:val="clear" w:color="000000" w:fill="FFFFFF"/>
            <w:noWrap/>
            <w:vAlign w:val="center"/>
            <w:hideMark/>
          </w:tcPr>
          <w:p w14:paraId="1460C21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100,000 to 104,999</w:t>
            </w:r>
          </w:p>
        </w:tc>
        <w:tc>
          <w:tcPr>
            <w:tcW w:w="1117" w:type="dxa"/>
            <w:tcBorders>
              <w:top w:val="nil"/>
              <w:left w:val="nil"/>
              <w:bottom w:val="nil"/>
              <w:right w:val="nil"/>
            </w:tcBorders>
            <w:shd w:val="clear" w:color="000000" w:fill="CCECFF"/>
            <w:vAlign w:val="center"/>
            <w:hideMark/>
          </w:tcPr>
          <w:p w14:paraId="5F02D494"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5</w:t>
            </w:r>
          </w:p>
        </w:tc>
        <w:tc>
          <w:tcPr>
            <w:tcW w:w="1117" w:type="dxa"/>
            <w:tcBorders>
              <w:top w:val="nil"/>
              <w:left w:val="nil"/>
              <w:bottom w:val="nil"/>
              <w:right w:val="nil"/>
            </w:tcBorders>
            <w:shd w:val="clear" w:color="000000" w:fill="CCECFF"/>
            <w:vAlign w:val="center"/>
            <w:hideMark/>
          </w:tcPr>
          <w:p w14:paraId="0AA2250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8" w:type="dxa"/>
            <w:tcBorders>
              <w:top w:val="nil"/>
              <w:left w:val="nil"/>
              <w:bottom w:val="nil"/>
              <w:right w:val="nil"/>
            </w:tcBorders>
            <w:shd w:val="clear" w:color="000000" w:fill="CCECFF"/>
            <w:vAlign w:val="center"/>
            <w:hideMark/>
          </w:tcPr>
          <w:p w14:paraId="09727F2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6</w:t>
            </w:r>
          </w:p>
        </w:tc>
      </w:tr>
      <w:tr w:rsidR="004809C8" w:rsidRPr="00454BF8" w14:paraId="68A6265E" w14:textId="77777777" w:rsidTr="006F0F50">
        <w:trPr>
          <w:trHeight w:val="290"/>
        </w:trPr>
        <w:tc>
          <w:tcPr>
            <w:tcW w:w="1020" w:type="dxa"/>
            <w:tcBorders>
              <w:top w:val="nil"/>
              <w:left w:val="nil"/>
              <w:bottom w:val="nil"/>
              <w:right w:val="nil"/>
            </w:tcBorders>
            <w:shd w:val="clear" w:color="000000" w:fill="FFFFFF"/>
            <w:vAlign w:val="center"/>
            <w:hideMark/>
          </w:tcPr>
          <w:p w14:paraId="5737C25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1128575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105,000 to 109,999</w:t>
            </w:r>
          </w:p>
        </w:tc>
        <w:tc>
          <w:tcPr>
            <w:tcW w:w="1117" w:type="dxa"/>
            <w:tcBorders>
              <w:top w:val="nil"/>
              <w:left w:val="nil"/>
              <w:bottom w:val="nil"/>
              <w:right w:val="nil"/>
            </w:tcBorders>
            <w:shd w:val="clear" w:color="000000" w:fill="CCECFF"/>
            <w:vAlign w:val="center"/>
            <w:hideMark/>
          </w:tcPr>
          <w:p w14:paraId="53AB20C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w:t>
            </w:r>
          </w:p>
        </w:tc>
        <w:tc>
          <w:tcPr>
            <w:tcW w:w="1117" w:type="dxa"/>
            <w:tcBorders>
              <w:top w:val="nil"/>
              <w:left w:val="nil"/>
              <w:bottom w:val="nil"/>
              <w:right w:val="nil"/>
            </w:tcBorders>
            <w:shd w:val="clear" w:color="000000" w:fill="CCECFF"/>
            <w:vAlign w:val="center"/>
            <w:hideMark/>
          </w:tcPr>
          <w:p w14:paraId="67158EB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4111F30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2</w:t>
            </w:r>
          </w:p>
        </w:tc>
      </w:tr>
      <w:tr w:rsidR="004809C8" w:rsidRPr="00454BF8" w14:paraId="6B185813" w14:textId="77777777" w:rsidTr="006F0F50">
        <w:trPr>
          <w:trHeight w:val="290"/>
        </w:trPr>
        <w:tc>
          <w:tcPr>
            <w:tcW w:w="1020" w:type="dxa"/>
            <w:tcBorders>
              <w:top w:val="nil"/>
              <w:left w:val="nil"/>
              <w:bottom w:val="nil"/>
              <w:right w:val="nil"/>
            </w:tcBorders>
            <w:shd w:val="clear" w:color="000000" w:fill="FFFFFF"/>
            <w:vAlign w:val="center"/>
            <w:hideMark/>
          </w:tcPr>
          <w:p w14:paraId="491ACC86"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3283" w:type="dxa"/>
            <w:gridSpan w:val="2"/>
            <w:tcBorders>
              <w:top w:val="nil"/>
              <w:left w:val="nil"/>
              <w:bottom w:val="nil"/>
              <w:right w:val="nil"/>
            </w:tcBorders>
            <w:shd w:val="clear" w:color="000000" w:fill="FFFFFF"/>
            <w:noWrap/>
            <w:vAlign w:val="center"/>
            <w:hideMark/>
          </w:tcPr>
          <w:p w14:paraId="24250B7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110,000 to 114,999</w:t>
            </w:r>
          </w:p>
        </w:tc>
        <w:tc>
          <w:tcPr>
            <w:tcW w:w="1117" w:type="dxa"/>
            <w:tcBorders>
              <w:top w:val="nil"/>
              <w:left w:val="nil"/>
              <w:bottom w:val="nil"/>
              <w:right w:val="nil"/>
            </w:tcBorders>
            <w:shd w:val="clear" w:color="000000" w:fill="CCECFF"/>
            <w:vAlign w:val="center"/>
            <w:hideMark/>
          </w:tcPr>
          <w:p w14:paraId="3C36C04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1B7C60E1"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0D9D6AD6"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0B920A9F" w14:textId="77777777" w:rsidTr="006F0F50">
        <w:trPr>
          <w:trHeight w:val="290"/>
        </w:trPr>
        <w:tc>
          <w:tcPr>
            <w:tcW w:w="1020" w:type="dxa"/>
            <w:tcBorders>
              <w:top w:val="nil"/>
              <w:left w:val="nil"/>
              <w:bottom w:val="nil"/>
              <w:right w:val="nil"/>
            </w:tcBorders>
            <w:shd w:val="clear" w:color="000000" w:fill="FFFFFF"/>
            <w:vAlign w:val="center"/>
            <w:hideMark/>
          </w:tcPr>
          <w:p w14:paraId="1FF7C3E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7F23E150"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115,000 to 119,999</w:t>
            </w:r>
          </w:p>
        </w:tc>
        <w:tc>
          <w:tcPr>
            <w:tcW w:w="1117" w:type="dxa"/>
            <w:tcBorders>
              <w:top w:val="nil"/>
              <w:left w:val="nil"/>
              <w:bottom w:val="nil"/>
              <w:right w:val="nil"/>
            </w:tcBorders>
            <w:shd w:val="clear" w:color="000000" w:fill="CCECFF"/>
            <w:vAlign w:val="center"/>
            <w:hideMark/>
          </w:tcPr>
          <w:p w14:paraId="1E87BD30"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7" w:type="dxa"/>
            <w:tcBorders>
              <w:top w:val="nil"/>
              <w:left w:val="nil"/>
              <w:bottom w:val="nil"/>
              <w:right w:val="nil"/>
            </w:tcBorders>
            <w:shd w:val="clear" w:color="000000" w:fill="CCECFF"/>
            <w:vAlign w:val="center"/>
            <w:hideMark/>
          </w:tcPr>
          <w:p w14:paraId="5871AF7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1C65E1B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r>
      <w:tr w:rsidR="004809C8" w:rsidRPr="00454BF8" w14:paraId="2F6AEA38" w14:textId="77777777" w:rsidTr="006F0F50">
        <w:trPr>
          <w:trHeight w:val="290"/>
        </w:trPr>
        <w:tc>
          <w:tcPr>
            <w:tcW w:w="1020" w:type="dxa"/>
            <w:tcBorders>
              <w:top w:val="nil"/>
              <w:left w:val="nil"/>
              <w:bottom w:val="nil"/>
              <w:right w:val="nil"/>
            </w:tcBorders>
            <w:shd w:val="clear" w:color="000000" w:fill="FFFFFF"/>
            <w:vAlign w:val="center"/>
            <w:hideMark/>
          </w:tcPr>
          <w:p w14:paraId="7CAE2C0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3283" w:type="dxa"/>
            <w:gridSpan w:val="2"/>
            <w:tcBorders>
              <w:top w:val="nil"/>
              <w:left w:val="nil"/>
              <w:bottom w:val="nil"/>
              <w:right w:val="nil"/>
            </w:tcBorders>
            <w:shd w:val="clear" w:color="000000" w:fill="FFFFFF"/>
            <w:noWrap/>
            <w:vAlign w:val="center"/>
            <w:hideMark/>
          </w:tcPr>
          <w:p w14:paraId="40DB360C"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120,000 to 124,999</w:t>
            </w:r>
          </w:p>
        </w:tc>
        <w:tc>
          <w:tcPr>
            <w:tcW w:w="1117" w:type="dxa"/>
            <w:tcBorders>
              <w:top w:val="nil"/>
              <w:left w:val="nil"/>
              <w:bottom w:val="nil"/>
              <w:right w:val="nil"/>
            </w:tcBorders>
            <w:shd w:val="clear" w:color="000000" w:fill="CCECFF"/>
            <w:vAlign w:val="center"/>
            <w:hideMark/>
          </w:tcPr>
          <w:p w14:paraId="34B544C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291D292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5EC10F0A"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196E4D62" w14:textId="77777777" w:rsidTr="006F0F50">
        <w:trPr>
          <w:trHeight w:val="290"/>
        </w:trPr>
        <w:tc>
          <w:tcPr>
            <w:tcW w:w="1020" w:type="dxa"/>
            <w:tcBorders>
              <w:top w:val="nil"/>
              <w:left w:val="nil"/>
              <w:bottom w:val="nil"/>
              <w:right w:val="nil"/>
            </w:tcBorders>
            <w:shd w:val="clear" w:color="000000" w:fill="FFFFFF"/>
            <w:vAlign w:val="center"/>
            <w:hideMark/>
          </w:tcPr>
          <w:p w14:paraId="33A83C4A"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581DA37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125,000 to 129,999</w:t>
            </w:r>
          </w:p>
        </w:tc>
        <w:tc>
          <w:tcPr>
            <w:tcW w:w="1117" w:type="dxa"/>
            <w:tcBorders>
              <w:top w:val="nil"/>
              <w:left w:val="nil"/>
              <w:bottom w:val="nil"/>
              <w:right w:val="nil"/>
            </w:tcBorders>
            <w:shd w:val="clear" w:color="000000" w:fill="CCECFF"/>
            <w:vAlign w:val="center"/>
            <w:hideMark/>
          </w:tcPr>
          <w:p w14:paraId="0415227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39D7E9FA"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2B37DEE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6D3EE262" w14:textId="77777777" w:rsidTr="006F0F50">
        <w:trPr>
          <w:trHeight w:val="290"/>
        </w:trPr>
        <w:tc>
          <w:tcPr>
            <w:tcW w:w="1020" w:type="dxa"/>
            <w:tcBorders>
              <w:top w:val="nil"/>
              <w:left w:val="nil"/>
              <w:bottom w:val="nil"/>
              <w:right w:val="nil"/>
            </w:tcBorders>
            <w:shd w:val="clear" w:color="000000" w:fill="FFFFFF"/>
            <w:vAlign w:val="center"/>
            <w:hideMark/>
          </w:tcPr>
          <w:p w14:paraId="379B74C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3283" w:type="dxa"/>
            <w:gridSpan w:val="2"/>
            <w:tcBorders>
              <w:top w:val="nil"/>
              <w:left w:val="nil"/>
              <w:bottom w:val="nil"/>
              <w:right w:val="nil"/>
            </w:tcBorders>
            <w:shd w:val="clear" w:color="000000" w:fill="FFFFFF"/>
            <w:noWrap/>
            <w:vAlign w:val="center"/>
            <w:hideMark/>
          </w:tcPr>
          <w:p w14:paraId="61DCD24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130,000 to 134,999</w:t>
            </w:r>
          </w:p>
        </w:tc>
        <w:tc>
          <w:tcPr>
            <w:tcW w:w="1117" w:type="dxa"/>
            <w:tcBorders>
              <w:top w:val="nil"/>
              <w:left w:val="nil"/>
              <w:bottom w:val="nil"/>
              <w:right w:val="nil"/>
            </w:tcBorders>
            <w:shd w:val="clear" w:color="000000" w:fill="CCECFF"/>
            <w:vAlign w:val="center"/>
            <w:hideMark/>
          </w:tcPr>
          <w:p w14:paraId="6F7B1C7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7" w:type="dxa"/>
            <w:tcBorders>
              <w:top w:val="nil"/>
              <w:left w:val="nil"/>
              <w:bottom w:val="nil"/>
              <w:right w:val="nil"/>
            </w:tcBorders>
            <w:shd w:val="clear" w:color="000000" w:fill="CCECFF"/>
            <w:vAlign w:val="center"/>
            <w:hideMark/>
          </w:tcPr>
          <w:p w14:paraId="61010AE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000C26F3"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r>
      <w:tr w:rsidR="004809C8" w:rsidRPr="00454BF8" w14:paraId="61A1FF50" w14:textId="77777777" w:rsidTr="006F0F50">
        <w:trPr>
          <w:trHeight w:val="290"/>
        </w:trPr>
        <w:tc>
          <w:tcPr>
            <w:tcW w:w="1020" w:type="dxa"/>
            <w:tcBorders>
              <w:top w:val="nil"/>
              <w:left w:val="nil"/>
              <w:bottom w:val="nil"/>
              <w:right w:val="nil"/>
            </w:tcBorders>
            <w:shd w:val="clear" w:color="000000" w:fill="FFFFFF"/>
            <w:vAlign w:val="center"/>
            <w:hideMark/>
          </w:tcPr>
          <w:p w14:paraId="207FCCF4"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61E67DC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135,000 to 139,999</w:t>
            </w:r>
          </w:p>
        </w:tc>
        <w:tc>
          <w:tcPr>
            <w:tcW w:w="1117" w:type="dxa"/>
            <w:tcBorders>
              <w:top w:val="nil"/>
              <w:left w:val="nil"/>
              <w:bottom w:val="nil"/>
              <w:right w:val="nil"/>
            </w:tcBorders>
            <w:shd w:val="clear" w:color="000000" w:fill="CCECFF"/>
            <w:vAlign w:val="center"/>
            <w:hideMark/>
          </w:tcPr>
          <w:p w14:paraId="62747D5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7" w:type="dxa"/>
            <w:tcBorders>
              <w:top w:val="nil"/>
              <w:left w:val="nil"/>
              <w:bottom w:val="nil"/>
              <w:right w:val="nil"/>
            </w:tcBorders>
            <w:shd w:val="clear" w:color="000000" w:fill="CCECFF"/>
            <w:vAlign w:val="center"/>
            <w:hideMark/>
          </w:tcPr>
          <w:p w14:paraId="29F9F72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758A9C7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r>
      <w:tr w:rsidR="004809C8" w:rsidRPr="00454BF8" w14:paraId="2101227B" w14:textId="77777777" w:rsidTr="006F0F50">
        <w:trPr>
          <w:trHeight w:val="290"/>
        </w:trPr>
        <w:tc>
          <w:tcPr>
            <w:tcW w:w="1020" w:type="dxa"/>
            <w:tcBorders>
              <w:top w:val="nil"/>
              <w:left w:val="nil"/>
              <w:bottom w:val="nil"/>
              <w:right w:val="nil"/>
            </w:tcBorders>
            <w:shd w:val="clear" w:color="000000" w:fill="FFFFFF"/>
            <w:vAlign w:val="center"/>
            <w:hideMark/>
          </w:tcPr>
          <w:p w14:paraId="1ECC77C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3283" w:type="dxa"/>
            <w:gridSpan w:val="2"/>
            <w:tcBorders>
              <w:top w:val="nil"/>
              <w:left w:val="nil"/>
              <w:bottom w:val="nil"/>
              <w:right w:val="nil"/>
            </w:tcBorders>
            <w:shd w:val="clear" w:color="000000" w:fill="FFFFFF"/>
            <w:noWrap/>
            <w:vAlign w:val="center"/>
            <w:hideMark/>
          </w:tcPr>
          <w:p w14:paraId="251CE83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140,000 to 144,999</w:t>
            </w:r>
          </w:p>
        </w:tc>
        <w:tc>
          <w:tcPr>
            <w:tcW w:w="1117" w:type="dxa"/>
            <w:tcBorders>
              <w:top w:val="nil"/>
              <w:left w:val="nil"/>
              <w:bottom w:val="nil"/>
              <w:right w:val="nil"/>
            </w:tcBorders>
            <w:shd w:val="clear" w:color="000000" w:fill="CCECFF"/>
            <w:vAlign w:val="center"/>
            <w:hideMark/>
          </w:tcPr>
          <w:p w14:paraId="6105394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20744F70"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8" w:type="dxa"/>
            <w:tcBorders>
              <w:top w:val="nil"/>
              <w:left w:val="nil"/>
              <w:bottom w:val="nil"/>
              <w:right w:val="nil"/>
            </w:tcBorders>
            <w:shd w:val="clear" w:color="000000" w:fill="CCECFF"/>
            <w:vAlign w:val="center"/>
            <w:hideMark/>
          </w:tcPr>
          <w:p w14:paraId="291836F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r>
      <w:tr w:rsidR="004809C8" w:rsidRPr="00454BF8" w14:paraId="7CD841DA" w14:textId="77777777" w:rsidTr="006F0F50">
        <w:trPr>
          <w:trHeight w:val="290"/>
        </w:trPr>
        <w:tc>
          <w:tcPr>
            <w:tcW w:w="1020" w:type="dxa"/>
            <w:tcBorders>
              <w:top w:val="nil"/>
              <w:left w:val="nil"/>
              <w:bottom w:val="nil"/>
              <w:right w:val="nil"/>
            </w:tcBorders>
            <w:shd w:val="clear" w:color="000000" w:fill="FFFFFF"/>
            <w:vAlign w:val="center"/>
            <w:hideMark/>
          </w:tcPr>
          <w:p w14:paraId="43949B7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371D8C82"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145,000 to 149,999</w:t>
            </w:r>
          </w:p>
        </w:tc>
        <w:tc>
          <w:tcPr>
            <w:tcW w:w="1117" w:type="dxa"/>
            <w:tcBorders>
              <w:top w:val="nil"/>
              <w:left w:val="nil"/>
              <w:bottom w:val="nil"/>
              <w:right w:val="nil"/>
            </w:tcBorders>
            <w:shd w:val="clear" w:color="000000" w:fill="CCECFF"/>
            <w:vAlign w:val="center"/>
            <w:hideMark/>
          </w:tcPr>
          <w:p w14:paraId="03A4345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4D79A52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4EC1D36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30DC320C" w14:textId="77777777" w:rsidTr="006F0F50">
        <w:trPr>
          <w:trHeight w:val="290"/>
        </w:trPr>
        <w:tc>
          <w:tcPr>
            <w:tcW w:w="1020" w:type="dxa"/>
            <w:tcBorders>
              <w:top w:val="nil"/>
              <w:left w:val="nil"/>
              <w:bottom w:val="nil"/>
              <w:right w:val="nil"/>
            </w:tcBorders>
            <w:shd w:val="clear" w:color="000000" w:fill="FFFFFF"/>
            <w:vAlign w:val="center"/>
            <w:hideMark/>
          </w:tcPr>
          <w:p w14:paraId="0F6338D1"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6C875DB3"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150,000 to 154,999</w:t>
            </w:r>
          </w:p>
        </w:tc>
        <w:tc>
          <w:tcPr>
            <w:tcW w:w="1117" w:type="dxa"/>
            <w:tcBorders>
              <w:top w:val="nil"/>
              <w:left w:val="nil"/>
              <w:bottom w:val="nil"/>
              <w:right w:val="nil"/>
            </w:tcBorders>
            <w:shd w:val="clear" w:color="000000" w:fill="CCECFF"/>
            <w:vAlign w:val="center"/>
            <w:hideMark/>
          </w:tcPr>
          <w:p w14:paraId="20228993"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7" w:type="dxa"/>
            <w:tcBorders>
              <w:top w:val="nil"/>
              <w:left w:val="nil"/>
              <w:bottom w:val="nil"/>
              <w:right w:val="nil"/>
            </w:tcBorders>
            <w:shd w:val="clear" w:color="000000" w:fill="CCECFF"/>
            <w:vAlign w:val="center"/>
            <w:hideMark/>
          </w:tcPr>
          <w:p w14:paraId="6804957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12E6872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r>
      <w:tr w:rsidR="004809C8" w:rsidRPr="00454BF8" w14:paraId="41836E93" w14:textId="77777777" w:rsidTr="006F0F50">
        <w:trPr>
          <w:trHeight w:val="290"/>
        </w:trPr>
        <w:tc>
          <w:tcPr>
            <w:tcW w:w="1020" w:type="dxa"/>
            <w:tcBorders>
              <w:top w:val="nil"/>
              <w:left w:val="nil"/>
              <w:bottom w:val="nil"/>
              <w:right w:val="nil"/>
            </w:tcBorders>
            <w:shd w:val="clear" w:color="000000" w:fill="FFFFFF"/>
            <w:vAlign w:val="center"/>
            <w:hideMark/>
          </w:tcPr>
          <w:p w14:paraId="0A78BD6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550686A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155,000 to 159,999</w:t>
            </w:r>
          </w:p>
        </w:tc>
        <w:tc>
          <w:tcPr>
            <w:tcW w:w="1117" w:type="dxa"/>
            <w:tcBorders>
              <w:top w:val="nil"/>
              <w:left w:val="nil"/>
              <w:bottom w:val="nil"/>
              <w:right w:val="nil"/>
            </w:tcBorders>
            <w:shd w:val="clear" w:color="000000" w:fill="CCECFF"/>
            <w:vAlign w:val="center"/>
            <w:hideMark/>
          </w:tcPr>
          <w:p w14:paraId="7668D95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2F6781B4"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30E7A3C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40A9B603" w14:textId="77777777" w:rsidTr="006F0F50">
        <w:trPr>
          <w:trHeight w:val="290"/>
        </w:trPr>
        <w:tc>
          <w:tcPr>
            <w:tcW w:w="1020" w:type="dxa"/>
            <w:tcBorders>
              <w:top w:val="nil"/>
              <w:left w:val="nil"/>
              <w:bottom w:val="nil"/>
              <w:right w:val="nil"/>
            </w:tcBorders>
            <w:shd w:val="clear" w:color="000000" w:fill="FFFFFF"/>
            <w:vAlign w:val="center"/>
            <w:hideMark/>
          </w:tcPr>
          <w:p w14:paraId="6A35D05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2D86C31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160,000 to 164,999</w:t>
            </w:r>
          </w:p>
        </w:tc>
        <w:tc>
          <w:tcPr>
            <w:tcW w:w="1117" w:type="dxa"/>
            <w:tcBorders>
              <w:top w:val="nil"/>
              <w:left w:val="nil"/>
              <w:bottom w:val="nil"/>
              <w:right w:val="nil"/>
            </w:tcBorders>
            <w:shd w:val="clear" w:color="000000" w:fill="CCECFF"/>
            <w:vAlign w:val="center"/>
            <w:hideMark/>
          </w:tcPr>
          <w:p w14:paraId="25F7449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1A100D29"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74D5945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0910F5F1" w14:textId="77777777" w:rsidTr="006F0F50">
        <w:trPr>
          <w:trHeight w:val="290"/>
        </w:trPr>
        <w:tc>
          <w:tcPr>
            <w:tcW w:w="1020" w:type="dxa"/>
            <w:tcBorders>
              <w:top w:val="nil"/>
              <w:left w:val="nil"/>
              <w:bottom w:val="nil"/>
              <w:right w:val="nil"/>
            </w:tcBorders>
            <w:shd w:val="clear" w:color="000000" w:fill="FFFFFF"/>
            <w:vAlign w:val="center"/>
            <w:hideMark/>
          </w:tcPr>
          <w:p w14:paraId="49B85F3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412A924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165,000 to 169,999</w:t>
            </w:r>
          </w:p>
        </w:tc>
        <w:tc>
          <w:tcPr>
            <w:tcW w:w="1117" w:type="dxa"/>
            <w:tcBorders>
              <w:top w:val="nil"/>
              <w:left w:val="nil"/>
              <w:bottom w:val="nil"/>
              <w:right w:val="nil"/>
            </w:tcBorders>
            <w:shd w:val="clear" w:color="000000" w:fill="CCECFF"/>
            <w:vAlign w:val="center"/>
            <w:hideMark/>
          </w:tcPr>
          <w:p w14:paraId="193BB0C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21FA629F"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1DA61F71"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66DA8441" w14:textId="77777777" w:rsidTr="006F0F50">
        <w:trPr>
          <w:trHeight w:val="290"/>
        </w:trPr>
        <w:tc>
          <w:tcPr>
            <w:tcW w:w="1020" w:type="dxa"/>
            <w:tcBorders>
              <w:top w:val="nil"/>
              <w:left w:val="nil"/>
              <w:bottom w:val="nil"/>
              <w:right w:val="nil"/>
            </w:tcBorders>
            <w:shd w:val="clear" w:color="000000" w:fill="FFFFFF"/>
            <w:vAlign w:val="center"/>
            <w:hideMark/>
          </w:tcPr>
          <w:p w14:paraId="6AB7C164"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268304E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170,000 to 174,999</w:t>
            </w:r>
          </w:p>
        </w:tc>
        <w:tc>
          <w:tcPr>
            <w:tcW w:w="1117" w:type="dxa"/>
            <w:tcBorders>
              <w:top w:val="nil"/>
              <w:left w:val="nil"/>
              <w:bottom w:val="nil"/>
              <w:right w:val="nil"/>
            </w:tcBorders>
            <w:shd w:val="clear" w:color="000000" w:fill="CCECFF"/>
            <w:vAlign w:val="center"/>
            <w:hideMark/>
          </w:tcPr>
          <w:p w14:paraId="0B60CBA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1B7140BA"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62CCD37E"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5E3C3F01" w14:textId="77777777" w:rsidTr="006F0F50">
        <w:trPr>
          <w:trHeight w:val="290"/>
        </w:trPr>
        <w:tc>
          <w:tcPr>
            <w:tcW w:w="1020" w:type="dxa"/>
            <w:tcBorders>
              <w:top w:val="nil"/>
              <w:left w:val="nil"/>
              <w:bottom w:val="nil"/>
              <w:right w:val="nil"/>
            </w:tcBorders>
            <w:shd w:val="clear" w:color="000000" w:fill="FFFFFF"/>
            <w:vAlign w:val="center"/>
            <w:hideMark/>
          </w:tcPr>
          <w:p w14:paraId="681098A3"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3283" w:type="dxa"/>
            <w:gridSpan w:val="2"/>
            <w:tcBorders>
              <w:top w:val="nil"/>
              <w:left w:val="nil"/>
              <w:bottom w:val="nil"/>
              <w:right w:val="nil"/>
            </w:tcBorders>
            <w:shd w:val="clear" w:color="000000" w:fill="FFFFFF"/>
            <w:noWrap/>
            <w:vAlign w:val="center"/>
            <w:hideMark/>
          </w:tcPr>
          <w:p w14:paraId="5FBC9C0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175,000 to 179,999</w:t>
            </w:r>
          </w:p>
        </w:tc>
        <w:tc>
          <w:tcPr>
            <w:tcW w:w="1117" w:type="dxa"/>
            <w:tcBorders>
              <w:top w:val="nil"/>
              <w:left w:val="nil"/>
              <w:bottom w:val="nil"/>
              <w:right w:val="nil"/>
            </w:tcBorders>
            <w:shd w:val="clear" w:color="000000" w:fill="CCECFF"/>
            <w:vAlign w:val="center"/>
            <w:hideMark/>
          </w:tcPr>
          <w:p w14:paraId="61BB7BB5"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7" w:type="dxa"/>
            <w:tcBorders>
              <w:top w:val="nil"/>
              <w:left w:val="nil"/>
              <w:bottom w:val="nil"/>
              <w:right w:val="nil"/>
            </w:tcBorders>
            <w:shd w:val="clear" w:color="000000" w:fill="CCECFF"/>
            <w:vAlign w:val="center"/>
            <w:hideMark/>
          </w:tcPr>
          <w:p w14:paraId="7085B88D"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5505E558"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r>
      <w:tr w:rsidR="004809C8" w:rsidRPr="00454BF8" w14:paraId="3D91FF1C" w14:textId="77777777" w:rsidTr="006F0F50">
        <w:trPr>
          <w:trHeight w:val="290"/>
        </w:trPr>
        <w:tc>
          <w:tcPr>
            <w:tcW w:w="1020" w:type="dxa"/>
            <w:tcBorders>
              <w:top w:val="nil"/>
              <w:left w:val="nil"/>
              <w:bottom w:val="nil"/>
              <w:right w:val="nil"/>
            </w:tcBorders>
            <w:shd w:val="clear" w:color="000000" w:fill="FFFFFF"/>
            <w:vAlign w:val="center"/>
            <w:hideMark/>
          </w:tcPr>
          <w:p w14:paraId="4849E1A1"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3283" w:type="dxa"/>
            <w:gridSpan w:val="2"/>
            <w:tcBorders>
              <w:top w:val="nil"/>
              <w:left w:val="nil"/>
              <w:bottom w:val="nil"/>
              <w:right w:val="nil"/>
            </w:tcBorders>
            <w:shd w:val="clear" w:color="000000" w:fill="FFFFFF"/>
            <w:noWrap/>
            <w:vAlign w:val="center"/>
            <w:hideMark/>
          </w:tcPr>
          <w:p w14:paraId="5561B64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180,000 to 184,999</w:t>
            </w:r>
          </w:p>
        </w:tc>
        <w:tc>
          <w:tcPr>
            <w:tcW w:w="1117" w:type="dxa"/>
            <w:tcBorders>
              <w:top w:val="nil"/>
              <w:left w:val="nil"/>
              <w:bottom w:val="nil"/>
              <w:right w:val="nil"/>
            </w:tcBorders>
            <w:shd w:val="clear" w:color="000000" w:fill="CCECFF"/>
            <w:vAlign w:val="center"/>
            <w:hideMark/>
          </w:tcPr>
          <w:p w14:paraId="209AA500"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c>
          <w:tcPr>
            <w:tcW w:w="1117" w:type="dxa"/>
            <w:tcBorders>
              <w:top w:val="nil"/>
              <w:left w:val="nil"/>
              <w:bottom w:val="nil"/>
              <w:right w:val="nil"/>
            </w:tcBorders>
            <w:shd w:val="clear" w:color="000000" w:fill="CCECFF"/>
            <w:vAlign w:val="center"/>
            <w:hideMark/>
          </w:tcPr>
          <w:p w14:paraId="67B8B75B"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w:t>
            </w:r>
          </w:p>
        </w:tc>
        <w:tc>
          <w:tcPr>
            <w:tcW w:w="1118" w:type="dxa"/>
            <w:tcBorders>
              <w:top w:val="nil"/>
              <w:left w:val="nil"/>
              <w:bottom w:val="nil"/>
              <w:right w:val="nil"/>
            </w:tcBorders>
            <w:shd w:val="clear" w:color="000000" w:fill="CCECFF"/>
            <w:vAlign w:val="center"/>
            <w:hideMark/>
          </w:tcPr>
          <w:p w14:paraId="345F0D67" w14:textId="77777777"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r w:rsidRPr="00E4276F">
              <w:rPr>
                <w:rFonts w:asciiTheme="minorHAnsi" w:eastAsia="Times New Roman" w:hAnsiTheme="minorHAnsi" w:cstheme="minorHAnsi"/>
                <w:color w:val="auto"/>
                <w:sz w:val="18"/>
                <w:szCs w:val="18"/>
                <w:lang w:eastAsia="en-GB"/>
              </w:rPr>
              <w:t>1</w:t>
            </w:r>
          </w:p>
        </w:tc>
      </w:tr>
      <w:tr w:rsidR="00BF28F9" w:rsidRPr="00454BF8" w14:paraId="580A5C0D" w14:textId="77777777" w:rsidTr="006F0F50">
        <w:trPr>
          <w:trHeight w:val="290"/>
        </w:trPr>
        <w:tc>
          <w:tcPr>
            <w:tcW w:w="1020" w:type="dxa"/>
            <w:tcBorders>
              <w:top w:val="single" w:sz="4" w:space="0" w:color="auto"/>
              <w:left w:val="nil"/>
              <w:bottom w:val="single" w:sz="4" w:space="0" w:color="auto"/>
              <w:right w:val="nil"/>
            </w:tcBorders>
            <w:shd w:val="clear" w:color="000000" w:fill="FFFFFF"/>
            <w:vAlign w:val="center"/>
            <w:hideMark/>
          </w:tcPr>
          <w:p w14:paraId="24F4B515" w14:textId="77777777" w:rsidR="00454BF8" w:rsidRPr="00E4276F" w:rsidRDefault="00454BF8" w:rsidP="00454BF8">
            <w:pPr>
              <w:spacing w:after="0" w:line="240" w:lineRule="auto"/>
              <w:jc w:val="center"/>
              <w:rPr>
                <w:rFonts w:asciiTheme="minorHAnsi" w:eastAsia="Times New Roman" w:hAnsiTheme="minorHAnsi" w:cstheme="minorHAnsi"/>
                <w:b/>
                <w:bCs/>
                <w:color w:val="auto"/>
                <w:sz w:val="18"/>
                <w:szCs w:val="18"/>
                <w:lang w:eastAsia="en-GB"/>
              </w:rPr>
            </w:pPr>
            <w:r w:rsidRPr="00E4276F">
              <w:rPr>
                <w:rFonts w:asciiTheme="minorHAnsi" w:eastAsia="Times New Roman" w:hAnsiTheme="minorHAnsi" w:cstheme="minorHAnsi"/>
                <w:b/>
                <w:bCs/>
                <w:color w:val="auto"/>
                <w:sz w:val="18"/>
                <w:szCs w:val="18"/>
                <w:lang w:eastAsia="en-GB"/>
              </w:rPr>
              <w:t>724</w:t>
            </w:r>
          </w:p>
        </w:tc>
        <w:tc>
          <w:tcPr>
            <w:tcW w:w="236" w:type="dxa"/>
            <w:tcBorders>
              <w:top w:val="single" w:sz="4" w:space="0" w:color="auto"/>
              <w:left w:val="nil"/>
              <w:bottom w:val="single" w:sz="4" w:space="0" w:color="auto"/>
              <w:right w:val="nil"/>
            </w:tcBorders>
            <w:shd w:val="clear" w:color="000000" w:fill="FFFFFF"/>
            <w:noWrap/>
            <w:vAlign w:val="center"/>
            <w:hideMark/>
          </w:tcPr>
          <w:p w14:paraId="5AD3AD49" w14:textId="6A9FB3F5"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p>
        </w:tc>
        <w:tc>
          <w:tcPr>
            <w:tcW w:w="3047" w:type="dxa"/>
            <w:tcBorders>
              <w:top w:val="single" w:sz="4" w:space="0" w:color="auto"/>
              <w:left w:val="nil"/>
              <w:bottom w:val="single" w:sz="4" w:space="0" w:color="auto"/>
              <w:right w:val="nil"/>
            </w:tcBorders>
            <w:shd w:val="clear" w:color="000000" w:fill="FFFFFF"/>
            <w:noWrap/>
            <w:vAlign w:val="center"/>
            <w:hideMark/>
          </w:tcPr>
          <w:p w14:paraId="05ABAE60" w14:textId="0BC7BB96" w:rsidR="00454BF8" w:rsidRPr="00E4276F" w:rsidRDefault="00454BF8" w:rsidP="00454BF8">
            <w:pPr>
              <w:spacing w:after="0" w:line="240" w:lineRule="auto"/>
              <w:jc w:val="center"/>
              <w:rPr>
                <w:rFonts w:asciiTheme="minorHAnsi" w:eastAsia="Times New Roman" w:hAnsiTheme="minorHAnsi" w:cstheme="minorHAnsi"/>
                <w:color w:val="auto"/>
                <w:sz w:val="18"/>
                <w:szCs w:val="18"/>
                <w:lang w:eastAsia="en-GB"/>
              </w:rPr>
            </w:pPr>
          </w:p>
        </w:tc>
        <w:tc>
          <w:tcPr>
            <w:tcW w:w="1117" w:type="dxa"/>
            <w:tcBorders>
              <w:top w:val="single" w:sz="4" w:space="0" w:color="auto"/>
              <w:left w:val="nil"/>
              <w:bottom w:val="single" w:sz="4" w:space="0" w:color="auto"/>
              <w:right w:val="nil"/>
            </w:tcBorders>
            <w:shd w:val="clear" w:color="000000" w:fill="CCECFF"/>
            <w:vAlign w:val="center"/>
            <w:hideMark/>
          </w:tcPr>
          <w:p w14:paraId="264D5F16" w14:textId="77777777" w:rsidR="00454BF8" w:rsidRPr="00E4276F" w:rsidRDefault="00454BF8" w:rsidP="00454BF8">
            <w:pPr>
              <w:spacing w:after="0" w:line="240" w:lineRule="auto"/>
              <w:jc w:val="center"/>
              <w:rPr>
                <w:rFonts w:asciiTheme="minorHAnsi" w:eastAsia="Times New Roman" w:hAnsiTheme="minorHAnsi" w:cstheme="minorHAnsi"/>
                <w:b/>
                <w:bCs/>
                <w:color w:val="auto"/>
                <w:sz w:val="18"/>
                <w:szCs w:val="18"/>
                <w:lang w:eastAsia="en-GB"/>
              </w:rPr>
            </w:pPr>
            <w:r w:rsidRPr="00E4276F">
              <w:rPr>
                <w:rFonts w:asciiTheme="minorHAnsi" w:eastAsia="Times New Roman" w:hAnsiTheme="minorHAnsi" w:cstheme="minorHAnsi"/>
                <w:b/>
                <w:bCs/>
                <w:color w:val="auto"/>
                <w:sz w:val="18"/>
                <w:szCs w:val="18"/>
                <w:lang w:eastAsia="en-GB"/>
              </w:rPr>
              <w:t>763</w:t>
            </w:r>
          </w:p>
        </w:tc>
        <w:tc>
          <w:tcPr>
            <w:tcW w:w="1117" w:type="dxa"/>
            <w:tcBorders>
              <w:top w:val="single" w:sz="4" w:space="0" w:color="auto"/>
              <w:left w:val="nil"/>
              <w:bottom w:val="single" w:sz="4" w:space="0" w:color="auto"/>
              <w:right w:val="nil"/>
            </w:tcBorders>
            <w:shd w:val="clear" w:color="000000" w:fill="CCECFF"/>
            <w:vAlign w:val="center"/>
            <w:hideMark/>
          </w:tcPr>
          <w:p w14:paraId="01458A0A" w14:textId="77777777" w:rsidR="00454BF8" w:rsidRPr="00E4276F" w:rsidRDefault="00454BF8" w:rsidP="00454BF8">
            <w:pPr>
              <w:spacing w:after="0" w:line="240" w:lineRule="auto"/>
              <w:jc w:val="center"/>
              <w:rPr>
                <w:rFonts w:asciiTheme="minorHAnsi" w:eastAsia="Times New Roman" w:hAnsiTheme="minorHAnsi" w:cstheme="minorHAnsi"/>
                <w:b/>
                <w:bCs/>
                <w:color w:val="auto"/>
                <w:sz w:val="18"/>
                <w:szCs w:val="18"/>
                <w:lang w:eastAsia="en-GB"/>
              </w:rPr>
            </w:pPr>
            <w:r w:rsidRPr="00E4276F">
              <w:rPr>
                <w:rFonts w:asciiTheme="minorHAnsi" w:eastAsia="Times New Roman" w:hAnsiTheme="minorHAnsi" w:cstheme="minorHAnsi"/>
                <w:b/>
                <w:bCs/>
                <w:color w:val="auto"/>
                <w:sz w:val="18"/>
                <w:szCs w:val="18"/>
                <w:lang w:eastAsia="en-GB"/>
              </w:rPr>
              <w:t>156</w:t>
            </w:r>
          </w:p>
        </w:tc>
        <w:tc>
          <w:tcPr>
            <w:tcW w:w="1118" w:type="dxa"/>
            <w:tcBorders>
              <w:top w:val="single" w:sz="4" w:space="0" w:color="auto"/>
              <w:left w:val="nil"/>
              <w:bottom w:val="single" w:sz="4" w:space="0" w:color="auto"/>
              <w:right w:val="nil"/>
            </w:tcBorders>
            <w:shd w:val="clear" w:color="000000" w:fill="CCECFF"/>
            <w:vAlign w:val="center"/>
            <w:hideMark/>
          </w:tcPr>
          <w:p w14:paraId="63CD5A34" w14:textId="2CB163FD" w:rsidR="00454BF8" w:rsidRPr="00E4276F" w:rsidRDefault="00454BF8" w:rsidP="00454BF8">
            <w:pPr>
              <w:spacing w:after="0" w:line="240" w:lineRule="auto"/>
              <w:jc w:val="center"/>
              <w:rPr>
                <w:rFonts w:asciiTheme="minorHAnsi" w:eastAsia="Times New Roman" w:hAnsiTheme="minorHAnsi" w:cstheme="minorHAnsi"/>
                <w:b/>
                <w:bCs/>
                <w:color w:val="auto"/>
                <w:sz w:val="18"/>
                <w:szCs w:val="18"/>
                <w:lang w:eastAsia="en-GB"/>
              </w:rPr>
            </w:pPr>
            <w:r w:rsidRPr="00E4276F">
              <w:rPr>
                <w:rFonts w:asciiTheme="minorHAnsi" w:eastAsia="Times New Roman" w:hAnsiTheme="minorHAnsi" w:cstheme="minorHAnsi"/>
                <w:b/>
                <w:bCs/>
                <w:color w:val="auto"/>
                <w:sz w:val="18"/>
                <w:szCs w:val="18"/>
                <w:lang w:eastAsia="en-GB"/>
              </w:rPr>
              <w:t>91</w:t>
            </w:r>
            <w:r w:rsidR="00287EFC">
              <w:rPr>
                <w:rFonts w:asciiTheme="minorHAnsi" w:eastAsia="Times New Roman" w:hAnsiTheme="minorHAnsi" w:cstheme="minorHAnsi"/>
                <w:b/>
                <w:bCs/>
                <w:color w:val="auto"/>
                <w:sz w:val="18"/>
                <w:szCs w:val="18"/>
                <w:lang w:eastAsia="en-GB"/>
              </w:rPr>
              <w:t>9</w:t>
            </w:r>
          </w:p>
        </w:tc>
      </w:tr>
    </w:tbl>
    <w:p w14:paraId="0278833B" w14:textId="326345EA" w:rsidR="00A14CAC" w:rsidRDefault="00A14CAC" w:rsidP="003356AE">
      <w:pPr>
        <w:spacing w:line="240" w:lineRule="auto"/>
      </w:pPr>
    </w:p>
    <w:p w14:paraId="4AFCF782" w14:textId="77777777" w:rsidR="002522D4" w:rsidRPr="009B1776" w:rsidRDefault="002522D4" w:rsidP="003356AE">
      <w:pPr>
        <w:spacing w:line="240" w:lineRule="auto"/>
        <w:jc w:val="left"/>
        <w:rPr>
          <w:rFonts w:eastAsia="Calibri" w:cs="Times New Roman"/>
          <w:bCs/>
          <w:color w:val="800000"/>
          <w:sz w:val="24"/>
        </w:rPr>
      </w:pPr>
    </w:p>
    <w:p w14:paraId="65B01349" w14:textId="77777777" w:rsidR="009B1776" w:rsidRPr="009B1776" w:rsidRDefault="002522D4" w:rsidP="003356AE">
      <w:pPr>
        <w:spacing w:line="240" w:lineRule="auto"/>
        <w:sectPr w:rsidR="009B1776" w:rsidRPr="009B1776" w:rsidSect="00FE532F">
          <w:type w:val="continuous"/>
          <w:pgSz w:w="11900" w:h="16840"/>
          <w:pgMar w:top="1418" w:right="987" w:bottom="1418" w:left="1276" w:header="709" w:footer="397" w:gutter="0"/>
          <w:cols w:space="708"/>
          <w:docGrid w:linePitch="360"/>
        </w:sectPr>
      </w:pPr>
      <w:r w:rsidRPr="009B1776">
        <w:t>The disclosure above includes senior officers and requires the outlining of total taxable pay, including personal Additional Voluntary Contributions, whereas the Senior Officers table overleaf outlines the entire remunerations by post.</w:t>
      </w:r>
      <w:r w:rsidR="00B97059" w:rsidRPr="009B1776">
        <w:t xml:space="preserve"> </w:t>
      </w:r>
      <w:r w:rsidRPr="009B1776">
        <w:t xml:space="preserve"> Therefore, the two tables are not completely comparable which will result in differing bandings if the two are compared.</w:t>
      </w:r>
    </w:p>
    <w:p w14:paraId="49DFECA8" w14:textId="72B5D705" w:rsidR="00C15CF0" w:rsidRDefault="002522D4" w:rsidP="003356AE">
      <w:pPr>
        <w:spacing w:line="240" w:lineRule="auto"/>
      </w:pPr>
      <w:r w:rsidRPr="00460A5D">
        <w:lastRenderedPageBreak/>
        <w:t xml:space="preserve">Senior Officers of the organisation requiring disclosure by post or name </w:t>
      </w:r>
      <w:r w:rsidR="00A023A2">
        <w:t>are as follows</w:t>
      </w:r>
      <w:r w:rsidRPr="00460A5D">
        <w:t>:</w:t>
      </w:r>
    </w:p>
    <w:p w14:paraId="516A1C17" w14:textId="77777777" w:rsidR="0030413B" w:rsidRDefault="0030413B" w:rsidP="003356AE">
      <w:pPr>
        <w:spacing w:line="240" w:lineRule="auto"/>
      </w:pPr>
    </w:p>
    <w:tbl>
      <w:tblPr>
        <w:tblW w:w="9724" w:type="dxa"/>
        <w:tblLayout w:type="fixed"/>
        <w:tblLook w:val="04A0" w:firstRow="1" w:lastRow="0" w:firstColumn="1" w:lastColumn="0" w:noHBand="0" w:noVBand="1"/>
      </w:tblPr>
      <w:tblGrid>
        <w:gridCol w:w="2268"/>
        <w:gridCol w:w="709"/>
        <w:gridCol w:w="737"/>
        <w:gridCol w:w="964"/>
        <w:gridCol w:w="1077"/>
        <w:gridCol w:w="964"/>
        <w:gridCol w:w="964"/>
        <w:gridCol w:w="1077"/>
        <w:gridCol w:w="964"/>
      </w:tblGrid>
      <w:tr w:rsidR="00B810AF" w:rsidRPr="0017485E" w14:paraId="08BE1FC1" w14:textId="77777777" w:rsidTr="00BF2BBE">
        <w:trPr>
          <w:trHeight w:val="640"/>
        </w:trPr>
        <w:tc>
          <w:tcPr>
            <w:tcW w:w="2268" w:type="dxa"/>
            <w:tcBorders>
              <w:top w:val="nil"/>
              <w:left w:val="nil"/>
              <w:bottom w:val="nil"/>
              <w:right w:val="nil"/>
            </w:tcBorders>
            <w:shd w:val="clear" w:color="000000" w:fill="000099"/>
            <w:hideMark/>
          </w:tcPr>
          <w:p w14:paraId="61DD80C2" w14:textId="79C815C3" w:rsidR="0017485E" w:rsidRPr="0017485E" w:rsidRDefault="0017485E" w:rsidP="0017485E">
            <w:pPr>
              <w:spacing w:after="0" w:line="240" w:lineRule="auto"/>
              <w:jc w:val="left"/>
              <w:rPr>
                <w:rFonts w:eastAsia="Times New Roman" w:cs="Calibri"/>
                <w:b/>
                <w:bCs/>
                <w:color w:val="FFFFFF"/>
                <w:sz w:val="16"/>
                <w:szCs w:val="16"/>
                <w:lang w:eastAsia="en-GB"/>
              </w:rPr>
            </w:pPr>
            <w:r w:rsidRPr="0017485E">
              <w:rPr>
                <w:rFonts w:eastAsia="Times New Roman" w:cs="Calibri"/>
                <w:b/>
                <w:bCs/>
                <w:color w:val="FFFFFF"/>
                <w:sz w:val="16"/>
                <w:szCs w:val="16"/>
                <w:lang w:eastAsia="en-GB"/>
              </w:rPr>
              <w:t>2025/26</w:t>
            </w:r>
            <w:r w:rsidRPr="0017485E">
              <w:rPr>
                <w:rFonts w:eastAsia="Times New Roman" w:cs="Calibri"/>
                <w:b/>
                <w:bCs/>
                <w:color w:val="FFFFFF"/>
                <w:sz w:val="16"/>
                <w:szCs w:val="16"/>
                <w:lang w:eastAsia="en-GB"/>
              </w:rPr>
              <w:br/>
              <w:t>Post Holder Information</w:t>
            </w:r>
          </w:p>
        </w:tc>
        <w:tc>
          <w:tcPr>
            <w:tcW w:w="709" w:type="dxa"/>
            <w:tcBorders>
              <w:top w:val="nil"/>
              <w:left w:val="nil"/>
              <w:bottom w:val="nil"/>
              <w:right w:val="nil"/>
            </w:tcBorders>
            <w:shd w:val="clear" w:color="000000" w:fill="000099"/>
            <w:hideMark/>
          </w:tcPr>
          <w:p w14:paraId="09A1875E" w14:textId="77777777" w:rsidR="0017485E" w:rsidRPr="0017485E" w:rsidRDefault="0017485E" w:rsidP="00CD40E2">
            <w:pPr>
              <w:spacing w:after="0" w:line="240" w:lineRule="auto"/>
              <w:ind w:left="-107" w:right="-108"/>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Start Date</w:t>
            </w:r>
          </w:p>
        </w:tc>
        <w:tc>
          <w:tcPr>
            <w:tcW w:w="737" w:type="dxa"/>
            <w:tcBorders>
              <w:top w:val="nil"/>
              <w:left w:val="nil"/>
              <w:bottom w:val="nil"/>
              <w:right w:val="nil"/>
            </w:tcBorders>
            <w:shd w:val="clear" w:color="000000" w:fill="000099"/>
            <w:hideMark/>
          </w:tcPr>
          <w:p w14:paraId="14D2E26A" w14:textId="77777777" w:rsidR="0017485E" w:rsidRPr="0017485E" w:rsidRDefault="0017485E" w:rsidP="00CD58DF">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Leaving date</w:t>
            </w:r>
          </w:p>
        </w:tc>
        <w:tc>
          <w:tcPr>
            <w:tcW w:w="964" w:type="dxa"/>
            <w:tcBorders>
              <w:top w:val="nil"/>
              <w:left w:val="nil"/>
              <w:bottom w:val="nil"/>
              <w:right w:val="nil"/>
            </w:tcBorders>
            <w:shd w:val="clear" w:color="000000" w:fill="000099"/>
            <w:hideMark/>
          </w:tcPr>
          <w:p w14:paraId="7944B7FF" w14:textId="11E99C66"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Salary</w:t>
            </w:r>
          </w:p>
        </w:tc>
        <w:tc>
          <w:tcPr>
            <w:tcW w:w="1077" w:type="dxa"/>
            <w:tcBorders>
              <w:top w:val="nil"/>
              <w:left w:val="nil"/>
              <w:bottom w:val="nil"/>
              <w:right w:val="nil"/>
            </w:tcBorders>
            <w:shd w:val="clear" w:color="000000" w:fill="000099"/>
            <w:hideMark/>
          </w:tcPr>
          <w:p w14:paraId="5C53BA61" w14:textId="77777777"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Expenses Allowances</w:t>
            </w:r>
            <w:r w:rsidRPr="0017485E">
              <w:rPr>
                <w:rFonts w:eastAsia="Times New Roman" w:cs="Calibri"/>
                <w:b/>
                <w:bCs/>
                <w:color w:val="FFFFFF"/>
                <w:sz w:val="16"/>
                <w:szCs w:val="16"/>
                <w:vertAlign w:val="superscript"/>
                <w:lang w:eastAsia="en-GB"/>
              </w:rPr>
              <w:t>1</w:t>
            </w:r>
          </w:p>
        </w:tc>
        <w:tc>
          <w:tcPr>
            <w:tcW w:w="964" w:type="dxa"/>
            <w:tcBorders>
              <w:top w:val="nil"/>
              <w:left w:val="nil"/>
              <w:bottom w:val="nil"/>
              <w:right w:val="nil"/>
            </w:tcBorders>
            <w:shd w:val="clear" w:color="000000" w:fill="000099"/>
            <w:hideMark/>
          </w:tcPr>
          <w:p w14:paraId="1322081D" w14:textId="77777777"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Other</w:t>
            </w:r>
            <w:r w:rsidRPr="0017485E">
              <w:rPr>
                <w:rFonts w:eastAsia="Times New Roman" w:cs="Calibri"/>
                <w:b/>
                <w:bCs/>
                <w:color w:val="FFFFFF"/>
                <w:sz w:val="16"/>
                <w:szCs w:val="16"/>
                <w:vertAlign w:val="superscript"/>
                <w:lang w:eastAsia="en-GB"/>
              </w:rPr>
              <w:t>2</w:t>
            </w:r>
          </w:p>
        </w:tc>
        <w:tc>
          <w:tcPr>
            <w:tcW w:w="964" w:type="dxa"/>
            <w:tcBorders>
              <w:top w:val="nil"/>
              <w:left w:val="nil"/>
              <w:bottom w:val="nil"/>
              <w:right w:val="nil"/>
            </w:tcBorders>
            <w:shd w:val="clear" w:color="000000" w:fill="000099"/>
            <w:hideMark/>
          </w:tcPr>
          <w:p w14:paraId="1B9DF117" w14:textId="77777777"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Total Excluding Pension</w:t>
            </w:r>
          </w:p>
        </w:tc>
        <w:tc>
          <w:tcPr>
            <w:tcW w:w="1077" w:type="dxa"/>
            <w:tcBorders>
              <w:top w:val="nil"/>
              <w:left w:val="nil"/>
              <w:bottom w:val="nil"/>
              <w:right w:val="nil"/>
            </w:tcBorders>
            <w:shd w:val="clear" w:color="000000" w:fill="000099"/>
            <w:hideMark/>
          </w:tcPr>
          <w:p w14:paraId="1536CDCF" w14:textId="089037FA"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Employers Contribution</w:t>
            </w:r>
          </w:p>
        </w:tc>
        <w:tc>
          <w:tcPr>
            <w:tcW w:w="964" w:type="dxa"/>
            <w:tcBorders>
              <w:top w:val="nil"/>
              <w:left w:val="nil"/>
              <w:bottom w:val="nil"/>
              <w:right w:val="nil"/>
            </w:tcBorders>
            <w:shd w:val="clear" w:color="000000" w:fill="000099"/>
            <w:hideMark/>
          </w:tcPr>
          <w:p w14:paraId="7282387E" w14:textId="77777777"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Total Including Pension</w:t>
            </w:r>
          </w:p>
        </w:tc>
      </w:tr>
      <w:tr w:rsidR="00B810AF" w:rsidRPr="0017485E" w14:paraId="7AF1FCF1" w14:textId="77777777" w:rsidTr="005E7A69">
        <w:trPr>
          <w:trHeight w:val="260"/>
        </w:trPr>
        <w:tc>
          <w:tcPr>
            <w:tcW w:w="2268" w:type="dxa"/>
            <w:tcBorders>
              <w:top w:val="nil"/>
              <w:left w:val="nil"/>
              <w:bottom w:val="nil"/>
              <w:right w:val="nil"/>
            </w:tcBorders>
            <w:shd w:val="clear" w:color="000000" w:fill="000099"/>
            <w:hideMark/>
          </w:tcPr>
          <w:p w14:paraId="00D4EAD6" w14:textId="77777777" w:rsidR="0017485E" w:rsidRPr="0017485E" w:rsidRDefault="0017485E" w:rsidP="0017485E">
            <w:pPr>
              <w:spacing w:after="0" w:line="240" w:lineRule="auto"/>
              <w:jc w:val="left"/>
              <w:rPr>
                <w:rFonts w:eastAsia="Times New Roman" w:cs="Calibri"/>
                <w:b/>
                <w:bCs/>
                <w:color w:val="FFFFFF"/>
                <w:sz w:val="16"/>
                <w:szCs w:val="16"/>
                <w:lang w:eastAsia="en-GB"/>
              </w:rPr>
            </w:pPr>
            <w:r w:rsidRPr="0017485E">
              <w:rPr>
                <w:rFonts w:eastAsia="Times New Roman" w:cs="Calibri"/>
                <w:b/>
                <w:bCs/>
                <w:color w:val="FFFFFF"/>
                <w:sz w:val="16"/>
                <w:szCs w:val="16"/>
                <w:lang w:eastAsia="en-GB"/>
              </w:rPr>
              <w:t> </w:t>
            </w:r>
          </w:p>
        </w:tc>
        <w:tc>
          <w:tcPr>
            <w:tcW w:w="709" w:type="dxa"/>
            <w:tcBorders>
              <w:top w:val="nil"/>
              <w:left w:val="nil"/>
              <w:bottom w:val="nil"/>
              <w:right w:val="nil"/>
            </w:tcBorders>
            <w:shd w:val="clear" w:color="000000" w:fill="000099"/>
            <w:vAlign w:val="center"/>
            <w:hideMark/>
          </w:tcPr>
          <w:p w14:paraId="0341BE4E" w14:textId="1220DA01" w:rsidR="0017485E" w:rsidRPr="0017485E" w:rsidRDefault="0017485E" w:rsidP="00CD40E2">
            <w:pPr>
              <w:spacing w:after="0" w:line="240" w:lineRule="auto"/>
              <w:ind w:left="-107" w:right="-108"/>
              <w:jc w:val="center"/>
              <w:rPr>
                <w:rFonts w:eastAsia="Times New Roman" w:cs="Calibri"/>
                <w:b/>
                <w:bCs/>
                <w:color w:val="FFFFFF"/>
                <w:sz w:val="16"/>
                <w:szCs w:val="16"/>
                <w:lang w:eastAsia="en-GB"/>
              </w:rPr>
            </w:pPr>
          </w:p>
        </w:tc>
        <w:tc>
          <w:tcPr>
            <w:tcW w:w="737" w:type="dxa"/>
            <w:tcBorders>
              <w:top w:val="nil"/>
              <w:left w:val="nil"/>
              <w:bottom w:val="nil"/>
              <w:right w:val="nil"/>
            </w:tcBorders>
            <w:shd w:val="clear" w:color="000000" w:fill="000099"/>
            <w:vAlign w:val="bottom"/>
            <w:hideMark/>
          </w:tcPr>
          <w:p w14:paraId="0C2E7069" w14:textId="77777777"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 </w:t>
            </w:r>
          </w:p>
        </w:tc>
        <w:tc>
          <w:tcPr>
            <w:tcW w:w="964" w:type="dxa"/>
            <w:tcBorders>
              <w:top w:val="nil"/>
              <w:left w:val="nil"/>
              <w:bottom w:val="nil"/>
              <w:right w:val="nil"/>
            </w:tcBorders>
            <w:shd w:val="clear" w:color="000000" w:fill="000099"/>
            <w:hideMark/>
          </w:tcPr>
          <w:p w14:paraId="6C9B225A" w14:textId="04BFB89A"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w:t>
            </w:r>
          </w:p>
        </w:tc>
        <w:tc>
          <w:tcPr>
            <w:tcW w:w="1077" w:type="dxa"/>
            <w:tcBorders>
              <w:top w:val="nil"/>
              <w:left w:val="nil"/>
              <w:bottom w:val="nil"/>
              <w:right w:val="nil"/>
            </w:tcBorders>
            <w:shd w:val="clear" w:color="000000" w:fill="000099"/>
            <w:hideMark/>
          </w:tcPr>
          <w:p w14:paraId="1681BCB9" w14:textId="520EBA8A"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w:t>
            </w:r>
          </w:p>
        </w:tc>
        <w:tc>
          <w:tcPr>
            <w:tcW w:w="964" w:type="dxa"/>
            <w:tcBorders>
              <w:top w:val="nil"/>
              <w:left w:val="nil"/>
              <w:bottom w:val="nil"/>
              <w:right w:val="nil"/>
            </w:tcBorders>
            <w:shd w:val="clear" w:color="000000" w:fill="000099"/>
            <w:hideMark/>
          </w:tcPr>
          <w:p w14:paraId="0A31C07B" w14:textId="0212E53B"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w:t>
            </w:r>
          </w:p>
        </w:tc>
        <w:tc>
          <w:tcPr>
            <w:tcW w:w="964" w:type="dxa"/>
            <w:tcBorders>
              <w:top w:val="nil"/>
              <w:left w:val="nil"/>
              <w:bottom w:val="nil"/>
              <w:right w:val="nil"/>
            </w:tcBorders>
            <w:shd w:val="clear" w:color="000000" w:fill="000099"/>
            <w:hideMark/>
          </w:tcPr>
          <w:p w14:paraId="31B1D5CC" w14:textId="77777777"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w:t>
            </w:r>
          </w:p>
        </w:tc>
        <w:tc>
          <w:tcPr>
            <w:tcW w:w="1077" w:type="dxa"/>
            <w:tcBorders>
              <w:top w:val="nil"/>
              <w:left w:val="nil"/>
              <w:bottom w:val="nil"/>
              <w:right w:val="nil"/>
            </w:tcBorders>
            <w:shd w:val="clear" w:color="000000" w:fill="000099"/>
            <w:hideMark/>
          </w:tcPr>
          <w:p w14:paraId="0E63C5E9" w14:textId="11A81F5E"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w:t>
            </w:r>
          </w:p>
        </w:tc>
        <w:tc>
          <w:tcPr>
            <w:tcW w:w="964" w:type="dxa"/>
            <w:tcBorders>
              <w:top w:val="nil"/>
              <w:left w:val="nil"/>
              <w:bottom w:val="nil"/>
              <w:right w:val="nil"/>
            </w:tcBorders>
            <w:shd w:val="clear" w:color="000000" w:fill="000099"/>
            <w:hideMark/>
          </w:tcPr>
          <w:p w14:paraId="24AC241C" w14:textId="77777777" w:rsidR="0017485E" w:rsidRPr="0017485E" w:rsidRDefault="0017485E" w:rsidP="0017485E">
            <w:pPr>
              <w:spacing w:after="0" w:line="240" w:lineRule="auto"/>
              <w:jc w:val="center"/>
              <w:rPr>
                <w:rFonts w:eastAsia="Times New Roman" w:cs="Calibri"/>
                <w:b/>
                <w:bCs/>
                <w:color w:val="FFFFFF"/>
                <w:sz w:val="16"/>
                <w:szCs w:val="16"/>
                <w:lang w:eastAsia="en-GB"/>
              </w:rPr>
            </w:pPr>
            <w:r w:rsidRPr="0017485E">
              <w:rPr>
                <w:rFonts w:eastAsia="Times New Roman" w:cs="Calibri"/>
                <w:b/>
                <w:bCs/>
                <w:color w:val="FFFFFF"/>
                <w:sz w:val="16"/>
                <w:szCs w:val="16"/>
                <w:lang w:eastAsia="en-GB"/>
              </w:rPr>
              <w:t>£</w:t>
            </w:r>
          </w:p>
        </w:tc>
      </w:tr>
      <w:tr w:rsidR="00B810AF" w:rsidRPr="0017485E" w14:paraId="4F639FD6" w14:textId="77777777" w:rsidTr="00433C4D">
        <w:trPr>
          <w:trHeight w:val="454"/>
        </w:trPr>
        <w:tc>
          <w:tcPr>
            <w:tcW w:w="2268" w:type="dxa"/>
            <w:tcBorders>
              <w:top w:val="nil"/>
              <w:left w:val="nil"/>
              <w:bottom w:val="nil"/>
              <w:right w:val="nil"/>
            </w:tcBorders>
            <w:shd w:val="clear" w:color="000000" w:fill="FFFFFF"/>
            <w:noWrap/>
            <w:vAlign w:val="center"/>
            <w:hideMark/>
          </w:tcPr>
          <w:p w14:paraId="3081A14A" w14:textId="77777777" w:rsidR="0017485E" w:rsidRPr="0017485E" w:rsidRDefault="0017485E" w:rsidP="0017485E">
            <w:pPr>
              <w:spacing w:after="0" w:line="240" w:lineRule="auto"/>
              <w:jc w:val="left"/>
              <w:rPr>
                <w:rFonts w:eastAsia="Times New Roman" w:cs="Calibri"/>
                <w:color w:val="000000"/>
                <w:sz w:val="16"/>
                <w:szCs w:val="16"/>
                <w:lang w:eastAsia="en-GB"/>
              </w:rPr>
            </w:pPr>
            <w:r w:rsidRPr="0017485E">
              <w:rPr>
                <w:rFonts w:eastAsia="Times New Roman" w:cs="Calibri"/>
                <w:color w:val="000000"/>
                <w:sz w:val="16"/>
                <w:szCs w:val="16"/>
                <w:lang w:eastAsia="en-GB"/>
              </w:rPr>
              <w:t>Ivan Balhatchet - Chief Constable</w:t>
            </w:r>
          </w:p>
        </w:tc>
        <w:tc>
          <w:tcPr>
            <w:tcW w:w="709" w:type="dxa"/>
            <w:tcBorders>
              <w:top w:val="nil"/>
              <w:left w:val="nil"/>
              <w:bottom w:val="nil"/>
              <w:right w:val="nil"/>
            </w:tcBorders>
            <w:shd w:val="clear" w:color="000000" w:fill="FFFFFF"/>
            <w:noWrap/>
            <w:vAlign w:val="center"/>
            <w:hideMark/>
          </w:tcPr>
          <w:p w14:paraId="7815518C" w14:textId="77777777" w:rsidR="0017485E" w:rsidRPr="0017485E" w:rsidRDefault="0017485E" w:rsidP="00CD40E2">
            <w:pPr>
              <w:spacing w:after="0" w:line="240" w:lineRule="auto"/>
              <w:ind w:left="-107" w:right="-108"/>
              <w:jc w:val="center"/>
              <w:rPr>
                <w:rFonts w:eastAsia="Times New Roman" w:cs="Calibri"/>
                <w:color w:val="auto"/>
                <w:sz w:val="16"/>
                <w:szCs w:val="16"/>
                <w:lang w:eastAsia="en-GB"/>
              </w:rPr>
            </w:pPr>
            <w:r w:rsidRPr="0017485E">
              <w:rPr>
                <w:rFonts w:eastAsia="Times New Roman" w:cs="Calibri"/>
                <w:color w:val="auto"/>
                <w:sz w:val="16"/>
                <w:szCs w:val="16"/>
                <w:lang w:eastAsia="en-GB"/>
              </w:rPr>
              <w:t>17/10/23</w:t>
            </w:r>
          </w:p>
        </w:tc>
        <w:tc>
          <w:tcPr>
            <w:tcW w:w="737" w:type="dxa"/>
            <w:tcBorders>
              <w:top w:val="nil"/>
              <w:left w:val="nil"/>
              <w:bottom w:val="nil"/>
              <w:right w:val="nil"/>
            </w:tcBorders>
            <w:shd w:val="clear" w:color="000000" w:fill="FFFFFF"/>
            <w:noWrap/>
            <w:vAlign w:val="center"/>
            <w:hideMark/>
          </w:tcPr>
          <w:p w14:paraId="64E65481" w14:textId="1B7E5690" w:rsidR="0017485E" w:rsidRPr="0017485E" w:rsidRDefault="0017485E" w:rsidP="001F0E4E">
            <w:pPr>
              <w:spacing w:after="0" w:line="240" w:lineRule="auto"/>
              <w:jc w:val="center"/>
              <w:rPr>
                <w:rFonts w:eastAsia="Times New Roman" w:cs="Calibri"/>
                <w:color w:val="000000"/>
                <w:sz w:val="16"/>
                <w:szCs w:val="16"/>
                <w:lang w:eastAsia="en-GB"/>
              </w:rPr>
            </w:pPr>
          </w:p>
        </w:tc>
        <w:tc>
          <w:tcPr>
            <w:tcW w:w="964" w:type="dxa"/>
            <w:tcBorders>
              <w:top w:val="nil"/>
              <w:left w:val="nil"/>
              <w:bottom w:val="nil"/>
              <w:right w:val="nil"/>
            </w:tcBorders>
            <w:shd w:val="clear" w:color="000000" w:fill="C5D9F1"/>
            <w:vAlign w:val="center"/>
            <w:hideMark/>
          </w:tcPr>
          <w:p w14:paraId="7344C163"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184,752</w:t>
            </w:r>
          </w:p>
        </w:tc>
        <w:tc>
          <w:tcPr>
            <w:tcW w:w="1077" w:type="dxa"/>
            <w:tcBorders>
              <w:top w:val="nil"/>
              <w:left w:val="nil"/>
              <w:bottom w:val="nil"/>
              <w:right w:val="nil"/>
            </w:tcBorders>
            <w:shd w:val="clear" w:color="000000" w:fill="C5D9F1"/>
            <w:vAlign w:val="center"/>
            <w:hideMark/>
          </w:tcPr>
          <w:p w14:paraId="2FBBDBB7"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54E8D2EC"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02F0809A"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184,752</w:t>
            </w:r>
          </w:p>
        </w:tc>
        <w:tc>
          <w:tcPr>
            <w:tcW w:w="1077" w:type="dxa"/>
            <w:tcBorders>
              <w:top w:val="nil"/>
              <w:left w:val="nil"/>
              <w:bottom w:val="nil"/>
              <w:right w:val="nil"/>
            </w:tcBorders>
            <w:shd w:val="clear" w:color="000000" w:fill="C5D9F1"/>
            <w:vAlign w:val="center"/>
            <w:hideMark/>
          </w:tcPr>
          <w:p w14:paraId="5F8257C1"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79,092</w:t>
            </w:r>
          </w:p>
        </w:tc>
        <w:tc>
          <w:tcPr>
            <w:tcW w:w="964" w:type="dxa"/>
            <w:tcBorders>
              <w:top w:val="nil"/>
              <w:left w:val="nil"/>
              <w:bottom w:val="nil"/>
              <w:right w:val="nil"/>
            </w:tcBorders>
            <w:shd w:val="clear" w:color="000000" w:fill="C5D9F1"/>
            <w:vAlign w:val="center"/>
            <w:hideMark/>
          </w:tcPr>
          <w:p w14:paraId="266D6FB8"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263,844</w:t>
            </w:r>
          </w:p>
        </w:tc>
      </w:tr>
      <w:tr w:rsidR="00B810AF" w:rsidRPr="0017485E" w14:paraId="70294300" w14:textId="77777777" w:rsidTr="00433C4D">
        <w:trPr>
          <w:trHeight w:val="454"/>
        </w:trPr>
        <w:tc>
          <w:tcPr>
            <w:tcW w:w="2268" w:type="dxa"/>
            <w:tcBorders>
              <w:top w:val="nil"/>
              <w:left w:val="nil"/>
              <w:bottom w:val="nil"/>
              <w:right w:val="nil"/>
            </w:tcBorders>
            <w:shd w:val="clear" w:color="000000" w:fill="FFFFFF"/>
            <w:noWrap/>
            <w:vAlign w:val="center"/>
            <w:hideMark/>
          </w:tcPr>
          <w:p w14:paraId="3BF7C536" w14:textId="77777777" w:rsidR="0017485E" w:rsidRPr="0017485E" w:rsidRDefault="0017485E" w:rsidP="0017485E">
            <w:pPr>
              <w:spacing w:after="0" w:line="240" w:lineRule="auto"/>
              <w:jc w:val="left"/>
              <w:rPr>
                <w:rFonts w:eastAsia="Times New Roman" w:cs="Calibri"/>
                <w:color w:val="auto"/>
                <w:sz w:val="16"/>
                <w:szCs w:val="16"/>
                <w:lang w:eastAsia="en-GB"/>
              </w:rPr>
            </w:pPr>
            <w:r w:rsidRPr="0017485E">
              <w:rPr>
                <w:rFonts w:eastAsia="Times New Roman" w:cs="Calibri"/>
                <w:color w:val="auto"/>
                <w:sz w:val="16"/>
                <w:szCs w:val="16"/>
                <w:lang w:eastAsia="en-GB"/>
              </w:rPr>
              <w:t>Deputy Chief Constable</w:t>
            </w:r>
          </w:p>
        </w:tc>
        <w:tc>
          <w:tcPr>
            <w:tcW w:w="709" w:type="dxa"/>
            <w:tcBorders>
              <w:top w:val="nil"/>
              <w:left w:val="nil"/>
              <w:bottom w:val="nil"/>
              <w:right w:val="nil"/>
            </w:tcBorders>
            <w:shd w:val="clear" w:color="000000" w:fill="FFFFFF"/>
            <w:noWrap/>
            <w:vAlign w:val="center"/>
            <w:hideMark/>
          </w:tcPr>
          <w:p w14:paraId="2B5574BF" w14:textId="77777777" w:rsidR="0017485E" w:rsidRPr="0017485E" w:rsidRDefault="0017485E" w:rsidP="00CD40E2">
            <w:pPr>
              <w:spacing w:after="0" w:line="240" w:lineRule="auto"/>
              <w:ind w:left="-107" w:right="-108"/>
              <w:jc w:val="center"/>
              <w:rPr>
                <w:rFonts w:eastAsia="Times New Roman" w:cs="Calibri"/>
                <w:color w:val="auto"/>
                <w:sz w:val="16"/>
                <w:szCs w:val="16"/>
                <w:lang w:eastAsia="en-GB"/>
              </w:rPr>
            </w:pPr>
            <w:r w:rsidRPr="0017485E">
              <w:rPr>
                <w:rFonts w:eastAsia="Times New Roman" w:cs="Calibri"/>
                <w:color w:val="auto"/>
                <w:sz w:val="16"/>
                <w:szCs w:val="16"/>
                <w:lang w:eastAsia="en-GB"/>
              </w:rPr>
              <w:t>10/06/24</w:t>
            </w:r>
          </w:p>
        </w:tc>
        <w:tc>
          <w:tcPr>
            <w:tcW w:w="737" w:type="dxa"/>
            <w:tcBorders>
              <w:top w:val="nil"/>
              <w:left w:val="nil"/>
              <w:bottom w:val="nil"/>
              <w:right w:val="nil"/>
            </w:tcBorders>
            <w:shd w:val="clear" w:color="000000" w:fill="FFFFFF"/>
            <w:noWrap/>
            <w:vAlign w:val="center"/>
            <w:hideMark/>
          </w:tcPr>
          <w:p w14:paraId="086C8BD9" w14:textId="58CB8DCE" w:rsidR="0017485E" w:rsidRPr="0017485E" w:rsidRDefault="0017485E" w:rsidP="0017485E">
            <w:pPr>
              <w:spacing w:after="0" w:line="240" w:lineRule="auto"/>
              <w:jc w:val="center"/>
              <w:rPr>
                <w:rFonts w:eastAsia="Times New Roman" w:cs="Calibri"/>
                <w:color w:val="auto"/>
                <w:sz w:val="16"/>
                <w:szCs w:val="16"/>
                <w:lang w:eastAsia="en-GB"/>
              </w:rPr>
            </w:pPr>
          </w:p>
        </w:tc>
        <w:tc>
          <w:tcPr>
            <w:tcW w:w="964" w:type="dxa"/>
            <w:tcBorders>
              <w:top w:val="nil"/>
              <w:left w:val="nil"/>
              <w:bottom w:val="nil"/>
              <w:right w:val="nil"/>
            </w:tcBorders>
            <w:shd w:val="clear" w:color="000000" w:fill="C5D9F1"/>
            <w:vAlign w:val="center"/>
            <w:hideMark/>
          </w:tcPr>
          <w:p w14:paraId="473DA9BF"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153,242</w:t>
            </w:r>
          </w:p>
        </w:tc>
        <w:tc>
          <w:tcPr>
            <w:tcW w:w="1077" w:type="dxa"/>
            <w:tcBorders>
              <w:top w:val="nil"/>
              <w:left w:val="nil"/>
              <w:bottom w:val="nil"/>
              <w:right w:val="nil"/>
            </w:tcBorders>
            <w:shd w:val="clear" w:color="000000" w:fill="C5D9F1"/>
            <w:vAlign w:val="center"/>
            <w:hideMark/>
          </w:tcPr>
          <w:p w14:paraId="23A5DAC8"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95</w:t>
            </w:r>
          </w:p>
        </w:tc>
        <w:tc>
          <w:tcPr>
            <w:tcW w:w="964" w:type="dxa"/>
            <w:tcBorders>
              <w:top w:val="nil"/>
              <w:left w:val="nil"/>
              <w:bottom w:val="nil"/>
              <w:right w:val="nil"/>
            </w:tcBorders>
            <w:shd w:val="clear" w:color="000000" w:fill="C5D9F1"/>
            <w:vAlign w:val="center"/>
            <w:hideMark/>
          </w:tcPr>
          <w:p w14:paraId="2CC6EEB1"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66BFD371"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153,337</w:t>
            </w:r>
          </w:p>
        </w:tc>
        <w:tc>
          <w:tcPr>
            <w:tcW w:w="1077" w:type="dxa"/>
            <w:tcBorders>
              <w:top w:val="nil"/>
              <w:left w:val="nil"/>
              <w:bottom w:val="nil"/>
              <w:right w:val="nil"/>
            </w:tcBorders>
            <w:shd w:val="clear" w:color="000000" w:fill="C5D9F1"/>
            <w:vAlign w:val="center"/>
            <w:hideMark/>
          </w:tcPr>
          <w:p w14:paraId="681F7967"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53,256</w:t>
            </w:r>
          </w:p>
        </w:tc>
        <w:tc>
          <w:tcPr>
            <w:tcW w:w="964" w:type="dxa"/>
            <w:tcBorders>
              <w:top w:val="nil"/>
              <w:left w:val="nil"/>
              <w:bottom w:val="nil"/>
              <w:right w:val="nil"/>
            </w:tcBorders>
            <w:shd w:val="clear" w:color="000000" w:fill="C5D9F1"/>
            <w:vAlign w:val="center"/>
            <w:hideMark/>
          </w:tcPr>
          <w:p w14:paraId="1A815F14"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206,593</w:t>
            </w:r>
          </w:p>
        </w:tc>
      </w:tr>
      <w:tr w:rsidR="00B810AF" w:rsidRPr="0017485E" w14:paraId="344ACC93" w14:textId="77777777" w:rsidTr="00433C4D">
        <w:trPr>
          <w:trHeight w:val="454"/>
        </w:trPr>
        <w:tc>
          <w:tcPr>
            <w:tcW w:w="2268" w:type="dxa"/>
            <w:tcBorders>
              <w:top w:val="nil"/>
              <w:left w:val="nil"/>
              <w:bottom w:val="nil"/>
              <w:right w:val="nil"/>
            </w:tcBorders>
            <w:shd w:val="clear" w:color="000000" w:fill="FFFFFF"/>
            <w:noWrap/>
            <w:vAlign w:val="center"/>
            <w:hideMark/>
          </w:tcPr>
          <w:p w14:paraId="79FC54CD" w14:textId="6121190A" w:rsidR="0017485E" w:rsidRPr="0017485E" w:rsidRDefault="0017485E" w:rsidP="0017485E">
            <w:pPr>
              <w:spacing w:after="0" w:line="240" w:lineRule="auto"/>
              <w:jc w:val="left"/>
              <w:rPr>
                <w:rFonts w:eastAsia="Times New Roman" w:cs="Calibri"/>
                <w:color w:val="auto"/>
                <w:sz w:val="16"/>
                <w:szCs w:val="16"/>
                <w:lang w:eastAsia="en-GB"/>
              </w:rPr>
            </w:pPr>
            <w:r w:rsidRPr="0017485E">
              <w:rPr>
                <w:rFonts w:eastAsia="Times New Roman" w:cs="Calibri"/>
                <w:color w:val="auto"/>
                <w:sz w:val="16"/>
                <w:szCs w:val="16"/>
                <w:lang w:eastAsia="en-GB"/>
              </w:rPr>
              <w:t xml:space="preserve">Assistant Chief Constable </w:t>
            </w:r>
            <w:r w:rsidR="00040EE5">
              <w:rPr>
                <w:rFonts w:eastAsia="Times New Roman" w:cs="Calibri"/>
                <w:color w:val="auto"/>
                <w:sz w:val="16"/>
                <w:szCs w:val="16"/>
                <w:lang w:eastAsia="en-GB"/>
              </w:rPr>
              <w:t>-</w:t>
            </w:r>
            <w:r w:rsidRPr="0017485E">
              <w:rPr>
                <w:rFonts w:eastAsia="Times New Roman" w:cs="Calibri"/>
                <w:color w:val="auto"/>
                <w:sz w:val="16"/>
                <w:szCs w:val="16"/>
                <w:lang w:eastAsia="en-GB"/>
              </w:rPr>
              <w:t xml:space="preserve"> Temporary</w:t>
            </w:r>
          </w:p>
        </w:tc>
        <w:tc>
          <w:tcPr>
            <w:tcW w:w="709" w:type="dxa"/>
            <w:tcBorders>
              <w:top w:val="nil"/>
              <w:left w:val="nil"/>
              <w:bottom w:val="nil"/>
              <w:right w:val="nil"/>
            </w:tcBorders>
            <w:shd w:val="clear" w:color="000000" w:fill="FFFFFF"/>
            <w:noWrap/>
            <w:vAlign w:val="center"/>
            <w:hideMark/>
          </w:tcPr>
          <w:p w14:paraId="604E3BC6" w14:textId="77777777" w:rsidR="0017485E" w:rsidRPr="0017485E" w:rsidRDefault="0017485E" w:rsidP="00CD40E2">
            <w:pPr>
              <w:spacing w:after="0" w:line="240" w:lineRule="auto"/>
              <w:ind w:left="-107" w:right="-108"/>
              <w:jc w:val="center"/>
              <w:rPr>
                <w:rFonts w:eastAsia="Times New Roman" w:cs="Calibri"/>
                <w:color w:val="auto"/>
                <w:sz w:val="16"/>
                <w:szCs w:val="16"/>
                <w:lang w:eastAsia="en-GB"/>
              </w:rPr>
            </w:pPr>
            <w:r w:rsidRPr="0017485E">
              <w:rPr>
                <w:rFonts w:eastAsia="Times New Roman" w:cs="Calibri"/>
                <w:color w:val="auto"/>
                <w:sz w:val="16"/>
                <w:szCs w:val="16"/>
                <w:lang w:eastAsia="en-GB"/>
              </w:rPr>
              <w:t>23/02/26</w:t>
            </w:r>
          </w:p>
        </w:tc>
        <w:tc>
          <w:tcPr>
            <w:tcW w:w="737" w:type="dxa"/>
            <w:tcBorders>
              <w:top w:val="nil"/>
              <w:left w:val="nil"/>
              <w:bottom w:val="nil"/>
              <w:right w:val="nil"/>
            </w:tcBorders>
            <w:shd w:val="clear" w:color="000000" w:fill="FFFFFF"/>
            <w:noWrap/>
            <w:vAlign w:val="center"/>
            <w:hideMark/>
          </w:tcPr>
          <w:p w14:paraId="34580C26" w14:textId="140BFA38" w:rsidR="0017485E" w:rsidRPr="0017485E" w:rsidRDefault="0017485E" w:rsidP="0017485E">
            <w:pPr>
              <w:spacing w:after="0" w:line="240" w:lineRule="auto"/>
              <w:jc w:val="center"/>
              <w:rPr>
                <w:rFonts w:eastAsia="Times New Roman" w:cs="Calibri"/>
                <w:color w:val="auto"/>
                <w:szCs w:val="20"/>
                <w:lang w:eastAsia="en-GB"/>
              </w:rPr>
            </w:pPr>
          </w:p>
        </w:tc>
        <w:tc>
          <w:tcPr>
            <w:tcW w:w="964" w:type="dxa"/>
            <w:tcBorders>
              <w:top w:val="nil"/>
              <w:left w:val="nil"/>
              <w:bottom w:val="nil"/>
              <w:right w:val="nil"/>
            </w:tcBorders>
            <w:shd w:val="clear" w:color="000000" w:fill="C5D9F1"/>
            <w:vAlign w:val="center"/>
            <w:hideMark/>
          </w:tcPr>
          <w:p w14:paraId="30D6D2E4"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12,668</w:t>
            </w:r>
          </w:p>
        </w:tc>
        <w:tc>
          <w:tcPr>
            <w:tcW w:w="1077" w:type="dxa"/>
            <w:tcBorders>
              <w:top w:val="nil"/>
              <w:left w:val="nil"/>
              <w:bottom w:val="nil"/>
              <w:right w:val="nil"/>
            </w:tcBorders>
            <w:shd w:val="clear" w:color="000000" w:fill="C5D9F1"/>
            <w:vAlign w:val="center"/>
            <w:hideMark/>
          </w:tcPr>
          <w:p w14:paraId="3C653A70"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127FAAB7"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552</w:t>
            </w:r>
          </w:p>
        </w:tc>
        <w:tc>
          <w:tcPr>
            <w:tcW w:w="964" w:type="dxa"/>
            <w:tcBorders>
              <w:top w:val="nil"/>
              <w:left w:val="nil"/>
              <w:bottom w:val="nil"/>
              <w:right w:val="nil"/>
            </w:tcBorders>
            <w:shd w:val="clear" w:color="000000" w:fill="C5D9F1"/>
            <w:vAlign w:val="center"/>
            <w:hideMark/>
          </w:tcPr>
          <w:p w14:paraId="46C4E1A8"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13,220</w:t>
            </w:r>
          </w:p>
        </w:tc>
        <w:tc>
          <w:tcPr>
            <w:tcW w:w="1077" w:type="dxa"/>
            <w:tcBorders>
              <w:top w:val="nil"/>
              <w:left w:val="nil"/>
              <w:bottom w:val="nil"/>
              <w:right w:val="nil"/>
            </w:tcBorders>
            <w:shd w:val="clear" w:color="000000" w:fill="C5D9F1"/>
            <w:vAlign w:val="center"/>
            <w:hideMark/>
          </w:tcPr>
          <w:p w14:paraId="0A11C632"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4,472</w:t>
            </w:r>
          </w:p>
        </w:tc>
        <w:tc>
          <w:tcPr>
            <w:tcW w:w="964" w:type="dxa"/>
            <w:tcBorders>
              <w:top w:val="nil"/>
              <w:left w:val="nil"/>
              <w:bottom w:val="nil"/>
              <w:right w:val="nil"/>
            </w:tcBorders>
            <w:shd w:val="clear" w:color="000000" w:fill="C5D9F1"/>
            <w:vAlign w:val="center"/>
            <w:hideMark/>
          </w:tcPr>
          <w:p w14:paraId="66ED2FAC"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17,692</w:t>
            </w:r>
          </w:p>
        </w:tc>
      </w:tr>
      <w:tr w:rsidR="00B810AF" w:rsidRPr="0017485E" w14:paraId="27028331" w14:textId="77777777" w:rsidTr="00433C4D">
        <w:trPr>
          <w:trHeight w:val="454"/>
        </w:trPr>
        <w:tc>
          <w:tcPr>
            <w:tcW w:w="2268" w:type="dxa"/>
            <w:tcBorders>
              <w:top w:val="nil"/>
              <w:left w:val="nil"/>
              <w:bottom w:val="nil"/>
              <w:right w:val="nil"/>
            </w:tcBorders>
            <w:shd w:val="clear" w:color="000000" w:fill="FFFFFF"/>
            <w:noWrap/>
            <w:vAlign w:val="center"/>
            <w:hideMark/>
          </w:tcPr>
          <w:p w14:paraId="3496FD3E" w14:textId="69EC9701" w:rsidR="0017485E" w:rsidRPr="0017485E" w:rsidRDefault="0017485E" w:rsidP="0017485E">
            <w:pPr>
              <w:spacing w:after="0" w:line="240" w:lineRule="auto"/>
              <w:jc w:val="left"/>
              <w:rPr>
                <w:rFonts w:eastAsia="Times New Roman" w:cs="Calibri"/>
                <w:color w:val="auto"/>
                <w:sz w:val="16"/>
                <w:szCs w:val="16"/>
                <w:lang w:eastAsia="en-GB"/>
              </w:rPr>
            </w:pPr>
            <w:r w:rsidRPr="0017485E">
              <w:rPr>
                <w:rFonts w:eastAsia="Times New Roman" w:cs="Calibri"/>
                <w:color w:val="auto"/>
                <w:sz w:val="16"/>
                <w:szCs w:val="16"/>
                <w:lang w:eastAsia="en-GB"/>
              </w:rPr>
              <w:t xml:space="preserve">Assistant Chief Constable </w:t>
            </w:r>
            <w:r w:rsidR="00040EE5">
              <w:rPr>
                <w:rFonts w:eastAsia="Times New Roman" w:cs="Calibri"/>
                <w:color w:val="auto"/>
                <w:sz w:val="16"/>
                <w:szCs w:val="16"/>
                <w:lang w:eastAsia="en-GB"/>
              </w:rPr>
              <w:t xml:space="preserve">- </w:t>
            </w:r>
            <w:r w:rsidRPr="0017485E">
              <w:rPr>
                <w:rFonts w:eastAsia="Times New Roman" w:cs="Calibri"/>
                <w:color w:val="auto"/>
                <w:sz w:val="16"/>
                <w:szCs w:val="16"/>
                <w:lang w:eastAsia="en-GB"/>
              </w:rPr>
              <w:t>Protective Services</w:t>
            </w:r>
          </w:p>
        </w:tc>
        <w:tc>
          <w:tcPr>
            <w:tcW w:w="709" w:type="dxa"/>
            <w:tcBorders>
              <w:top w:val="nil"/>
              <w:left w:val="nil"/>
              <w:bottom w:val="nil"/>
              <w:right w:val="nil"/>
            </w:tcBorders>
            <w:shd w:val="clear" w:color="000000" w:fill="FFFFFF"/>
            <w:noWrap/>
            <w:vAlign w:val="center"/>
            <w:hideMark/>
          </w:tcPr>
          <w:p w14:paraId="1F7E0533" w14:textId="77777777" w:rsidR="0017485E" w:rsidRPr="0017485E" w:rsidRDefault="0017485E" w:rsidP="00CD40E2">
            <w:pPr>
              <w:spacing w:after="0" w:line="240" w:lineRule="auto"/>
              <w:ind w:left="-107" w:right="-108"/>
              <w:jc w:val="center"/>
              <w:rPr>
                <w:rFonts w:eastAsia="Times New Roman" w:cs="Calibri"/>
                <w:color w:val="auto"/>
                <w:sz w:val="16"/>
                <w:szCs w:val="16"/>
                <w:lang w:eastAsia="en-GB"/>
              </w:rPr>
            </w:pPr>
            <w:r w:rsidRPr="0017485E">
              <w:rPr>
                <w:rFonts w:eastAsia="Times New Roman" w:cs="Calibri"/>
                <w:color w:val="auto"/>
                <w:sz w:val="16"/>
                <w:szCs w:val="16"/>
                <w:lang w:eastAsia="en-GB"/>
              </w:rPr>
              <w:t>10/06/24</w:t>
            </w:r>
          </w:p>
        </w:tc>
        <w:tc>
          <w:tcPr>
            <w:tcW w:w="737" w:type="dxa"/>
            <w:tcBorders>
              <w:top w:val="nil"/>
              <w:left w:val="nil"/>
              <w:bottom w:val="nil"/>
              <w:right w:val="nil"/>
            </w:tcBorders>
            <w:shd w:val="clear" w:color="000000" w:fill="FFFFFF"/>
            <w:noWrap/>
            <w:vAlign w:val="center"/>
            <w:hideMark/>
          </w:tcPr>
          <w:p w14:paraId="409A288E" w14:textId="2A8AFCC7" w:rsidR="0017485E" w:rsidRPr="0017485E" w:rsidRDefault="0017485E" w:rsidP="0017485E">
            <w:pPr>
              <w:spacing w:after="0" w:line="240" w:lineRule="auto"/>
              <w:jc w:val="center"/>
              <w:rPr>
                <w:rFonts w:eastAsia="Times New Roman" w:cs="Calibri"/>
                <w:color w:val="auto"/>
                <w:sz w:val="16"/>
                <w:szCs w:val="16"/>
                <w:lang w:eastAsia="en-GB"/>
              </w:rPr>
            </w:pPr>
          </w:p>
        </w:tc>
        <w:tc>
          <w:tcPr>
            <w:tcW w:w="964" w:type="dxa"/>
            <w:tcBorders>
              <w:top w:val="nil"/>
              <w:left w:val="nil"/>
              <w:bottom w:val="nil"/>
              <w:right w:val="nil"/>
            </w:tcBorders>
            <w:shd w:val="clear" w:color="000000" w:fill="C5D9F1"/>
            <w:vAlign w:val="center"/>
            <w:hideMark/>
          </w:tcPr>
          <w:p w14:paraId="75129DCF"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129,577</w:t>
            </w:r>
          </w:p>
        </w:tc>
        <w:tc>
          <w:tcPr>
            <w:tcW w:w="1077" w:type="dxa"/>
            <w:tcBorders>
              <w:top w:val="nil"/>
              <w:left w:val="nil"/>
              <w:bottom w:val="nil"/>
              <w:right w:val="nil"/>
            </w:tcBorders>
            <w:shd w:val="clear" w:color="000000" w:fill="C5D9F1"/>
            <w:vAlign w:val="center"/>
            <w:hideMark/>
          </w:tcPr>
          <w:p w14:paraId="663D0050"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415</w:t>
            </w:r>
          </w:p>
        </w:tc>
        <w:tc>
          <w:tcPr>
            <w:tcW w:w="964" w:type="dxa"/>
            <w:tcBorders>
              <w:top w:val="nil"/>
              <w:left w:val="nil"/>
              <w:bottom w:val="nil"/>
              <w:right w:val="nil"/>
            </w:tcBorders>
            <w:shd w:val="clear" w:color="000000" w:fill="C5D9F1"/>
            <w:vAlign w:val="center"/>
            <w:hideMark/>
          </w:tcPr>
          <w:p w14:paraId="4D41EF7A"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5,374</w:t>
            </w:r>
          </w:p>
        </w:tc>
        <w:tc>
          <w:tcPr>
            <w:tcW w:w="964" w:type="dxa"/>
            <w:tcBorders>
              <w:top w:val="nil"/>
              <w:left w:val="nil"/>
              <w:bottom w:val="nil"/>
              <w:right w:val="nil"/>
            </w:tcBorders>
            <w:shd w:val="clear" w:color="000000" w:fill="C5D9F1"/>
            <w:vAlign w:val="center"/>
            <w:hideMark/>
          </w:tcPr>
          <w:p w14:paraId="758D032B"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135,366</w:t>
            </w:r>
          </w:p>
        </w:tc>
        <w:tc>
          <w:tcPr>
            <w:tcW w:w="1077" w:type="dxa"/>
            <w:tcBorders>
              <w:top w:val="nil"/>
              <w:left w:val="nil"/>
              <w:bottom w:val="nil"/>
              <w:right w:val="nil"/>
            </w:tcBorders>
            <w:shd w:val="clear" w:color="000000" w:fill="C5D9F1"/>
            <w:vAlign w:val="center"/>
            <w:hideMark/>
          </w:tcPr>
          <w:p w14:paraId="3DBF7F62"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39,336</w:t>
            </w:r>
          </w:p>
        </w:tc>
        <w:tc>
          <w:tcPr>
            <w:tcW w:w="964" w:type="dxa"/>
            <w:tcBorders>
              <w:top w:val="nil"/>
              <w:left w:val="nil"/>
              <w:bottom w:val="nil"/>
              <w:right w:val="nil"/>
            </w:tcBorders>
            <w:shd w:val="clear" w:color="000000" w:fill="C5D9F1"/>
            <w:vAlign w:val="center"/>
            <w:hideMark/>
          </w:tcPr>
          <w:p w14:paraId="7686A8B1"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174,702</w:t>
            </w:r>
          </w:p>
        </w:tc>
      </w:tr>
      <w:tr w:rsidR="00B810AF" w:rsidRPr="0017485E" w14:paraId="7E42B0D1" w14:textId="77777777" w:rsidTr="00433C4D">
        <w:trPr>
          <w:trHeight w:val="454"/>
        </w:trPr>
        <w:tc>
          <w:tcPr>
            <w:tcW w:w="2268" w:type="dxa"/>
            <w:tcBorders>
              <w:top w:val="nil"/>
              <w:left w:val="nil"/>
              <w:bottom w:val="nil"/>
              <w:right w:val="nil"/>
            </w:tcBorders>
            <w:shd w:val="clear" w:color="000000" w:fill="FFFFFF"/>
            <w:noWrap/>
            <w:vAlign w:val="center"/>
            <w:hideMark/>
          </w:tcPr>
          <w:p w14:paraId="266FB011" w14:textId="179A1549" w:rsidR="0017485E" w:rsidRPr="0017485E" w:rsidRDefault="0017485E" w:rsidP="0017485E">
            <w:pPr>
              <w:spacing w:after="0" w:line="240" w:lineRule="auto"/>
              <w:jc w:val="left"/>
              <w:rPr>
                <w:rFonts w:eastAsia="Times New Roman" w:cs="Calibri"/>
                <w:color w:val="auto"/>
                <w:sz w:val="16"/>
                <w:szCs w:val="16"/>
                <w:lang w:eastAsia="en-GB"/>
              </w:rPr>
            </w:pPr>
            <w:r w:rsidRPr="0017485E">
              <w:rPr>
                <w:rFonts w:eastAsia="Times New Roman" w:cs="Calibri"/>
                <w:color w:val="auto"/>
                <w:sz w:val="16"/>
                <w:szCs w:val="16"/>
                <w:lang w:eastAsia="en-GB"/>
              </w:rPr>
              <w:t xml:space="preserve">Assistant Chief Constable </w:t>
            </w:r>
            <w:r w:rsidR="00040EE5">
              <w:rPr>
                <w:rFonts w:eastAsia="Times New Roman" w:cs="Calibri"/>
                <w:color w:val="auto"/>
                <w:sz w:val="16"/>
                <w:szCs w:val="16"/>
                <w:lang w:eastAsia="en-GB"/>
              </w:rPr>
              <w:t xml:space="preserve">- </w:t>
            </w:r>
            <w:r w:rsidRPr="0017485E">
              <w:rPr>
                <w:rFonts w:eastAsia="Times New Roman" w:cs="Calibri"/>
                <w:color w:val="auto"/>
                <w:sz w:val="16"/>
                <w:szCs w:val="16"/>
                <w:lang w:eastAsia="en-GB"/>
              </w:rPr>
              <w:t>Local Policing</w:t>
            </w:r>
          </w:p>
        </w:tc>
        <w:tc>
          <w:tcPr>
            <w:tcW w:w="709" w:type="dxa"/>
            <w:tcBorders>
              <w:top w:val="nil"/>
              <w:left w:val="nil"/>
              <w:bottom w:val="nil"/>
              <w:right w:val="nil"/>
            </w:tcBorders>
            <w:shd w:val="clear" w:color="000000" w:fill="FFFFFF"/>
            <w:noWrap/>
            <w:vAlign w:val="center"/>
            <w:hideMark/>
          </w:tcPr>
          <w:p w14:paraId="25C237AC" w14:textId="77777777" w:rsidR="0017485E" w:rsidRPr="0017485E" w:rsidRDefault="0017485E" w:rsidP="00CD40E2">
            <w:pPr>
              <w:spacing w:after="0" w:line="240" w:lineRule="auto"/>
              <w:ind w:left="-107" w:right="-108"/>
              <w:jc w:val="center"/>
              <w:rPr>
                <w:rFonts w:eastAsia="Times New Roman" w:cs="Calibri"/>
                <w:color w:val="auto"/>
                <w:sz w:val="16"/>
                <w:szCs w:val="16"/>
                <w:lang w:eastAsia="en-GB"/>
              </w:rPr>
            </w:pPr>
            <w:r w:rsidRPr="0017485E">
              <w:rPr>
                <w:rFonts w:eastAsia="Times New Roman" w:cs="Calibri"/>
                <w:color w:val="auto"/>
                <w:sz w:val="16"/>
                <w:szCs w:val="16"/>
                <w:lang w:eastAsia="en-GB"/>
              </w:rPr>
              <w:t>10/06/24</w:t>
            </w:r>
          </w:p>
        </w:tc>
        <w:tc>
          <w:tcPr>
            <w:tcW w:w="737" w:type="dxa"/>
            <w:tcBorders>
              <w:top w:val="nil"/>
              <w:left w:val="nil"/>
              <w:bottom w:val="nil"/>
              <w:right w:val="nil"/>
            </w:tcBorders>
            <w:shd w:val="clear" w:color="000000" w:fill="FFFFFF"/>
            <w:noWrap/>
            <w:vAlign w:val="center"/>
            <w:hideMark/>
          </w:tcPr>
          <w:p w14:paraId="26DE7D81" w14:textId="31102E3E" w:rsidR="0017485E" w:rsidRPr="0017485E" w:rsidRDefault="0017485E" w:rsidP="0017485E">
            <w:pPr>
              <w:spacing w:after="0" w:line="240" w:lineRule="auto"/>
              <w:jc w:val="center"/>
              <w:rPr>
                <w:rFonts w:eastAsia="Times New Roman" w:cs="Calibri"/>
                <w:color w:val="auto"/>
                <w:sz w:val="16"/>
                <w:szCs w:val="16"/>
                <w:lang w:eastAsia="en-GB"/>
              </w:rPr>
            </w:pPr>
          </w:p>
        </w:tc>
        <w:tc>
          <w:tcPr>
            <w:tcW w:w="964" w:type="dxa"/>
            <w:tcBorders>
              <w:top w:val="nil"/>
              <w:left w:val="nil"/>
              <w:bottom w:val="nil"/>
              <w:right w:val="nil"/>
            </w:tcBorders>
            <w:shd w:val="clear" w:color="000000" w:fill="C5D9F1"/>
            <w:vAlign w:val="center"/>
            <w:hideMark/>
          </w:tcPr>
          <w:p w14:paraId="4081844C"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129,577</w:t>
            </w:r>
          </w:p>
        </w:tc>
        <w:tc>
          <w:tcPr>
            <w:tcW w:w="1077" w:type="dxa"/>
            <w:tcBorders>
              <w:top w:val="nil"/>
              <w:left w:val="nil"/>
              <w:bottom w:val="nil"/>
              <w:right w:val="nil"/>
            </w:tcBorders>
            <w:shd w:val="clear" w:color="000000" w:fill="C5D9F1"/>
            <w:vAlign w:val="center"/>
            <w:hideMark/>
          </w:tcPr>
          <w:p w14:paraId="43BD278F"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4AA36B85"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5,374</w:t>
            </w:r>
          </w:p>
        </w:tc>
        <w:tc>
          <w:tcPr>
            <w:tcW w:w="964" w:type="dxa"/>
            <w:tcBorders>
              <w:top w:val="nil"/>
              <w:left w:val="nil"/>
              <w:bottom w:val="nil"/>
              <w:right w:val="nil"/>
            </w:tcBorders>
            <w:shd w:val="clear" w:color="000000" w:fill="C5D9F1"/>
            <w:vAlign w:val="center"/>
            <w:hideMark/>
          </w:tcPr>
          <w:p w14:paraId="7A60AD99"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134,951</w:t>
            </w:r>
          </w:p>
        </w:tc>
        <w:tc>
          <w:tcPr>
            <w:tcW w:w="1077" w:type="dxa"/>
            <w:tcBorders>
              <w:top w:val="nil"/>
              <w:left w:val="nil"/>
              <w:bottom w:val="nil"/>
              <w:right w:val="nil"/>
            </w:tcBorders>
            <w:shd w:val="clear" w:color="000000" w:fill="C5D9F1"/>
            <w:vAlign w:val="center"/>
            <w:hideMark/>
          </w:tcPr>
          <w:p w14:paraId="69F0B014"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40,186</w:t>
            </w:r>
          </w:p>
        </w:tc>
        <w:tc>
          <w:tcPr>
            <w:tcW w:w="964" w:type="dxa"/>
            <w:tcBorders>
              <w:top w:val="nil"/>
              <w:left w:val="nil"/>
              <w:bottom w:val="nil"/>
              <w:right w:val="nil"/>
            </w:tcBorders>
            <w:shd w:val="clear" w:color="000000" w:fill="C5D9F1"/>
            <w:vAlign w:val="center"/>
            <w:hideMark/>
          </w:tcPr>
          <w:p w14:paraId="519FE5E0"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175,137</w:t>
            </w:r>
          </w:p>
        </w:tc>
      </w:tr>
      <w:tr w:rsidR="00B810AF" w:rsidRPr="0017485E" w14:paraId="266B14E2" w14:textId="77777777" w:rsidTr="00433C4D">
        <w:trPr>
          <w:trHeight w:val="454"/>
        </w:trPr>
        <w:tc>
          <w:tcPr>
            <w:tcW w:w="2268" w:type="dxa"/>
            <w:tcBorders>
              <w:top w:val="nil"/>
              <w:left w:val="nil"/>
              <w:bottom w:val="nil"/>
              <w:right w:val="nil"/>
            </w:tcBorders>
            <w:shd w:val="clear" w:color="000000" w:fill="FFFFFF"/>
            <w:noWrap/>
            <w:vAlign w:val="center"/>
            <w:hideMark/>
          </w:tcPr>
          <w:p w14:paraId="5F863816" w14:textId="77777777" w:rsidR="0017485E" w:rsidRPr="0017485E" w:rsidRDefault="0017485E" w:rsidP="0017485E">
            <w:pPr>
              <w:spacing w:after="0" w:line="240" w:lineRule="auto"/>
              <w:jc w:val="left"/>
              <w:rPr>
                <w:rFonts w:eastAsia="Times New Roman" w:cs="Calibri"/>
                <w:color w:val="auto"/>
                <w:sz w:val="16"/>
                <w:szCs w:val="16"/>
                <w:lang w:eastAsia="en-GB"/>
              </w:rPr>
            </w:pPr>
            <w:r w:rsidRPr="0017485E">
              <w:rPr>
                <w:rFonts w:eastAsia="Times New Roman" w:cs="Calibri"/>
                <w:color w:val="auto"/>
                <w:sz w:val="16"/>
                <w:szCs w:val="16"/>
                <w:lang w:eastAsia="en-GB"/>
              </w:rPr>
              <w:t>Assistant Chief Officer</w:t>
            </w:r>
          </w:p>
        </w:tc>
        <w:tc>
          <w:tcPr>
            <w:tcW w:w="709" w:type="dxa"/>
            <w:tcBorders>
              <w:top w:val="nil"/>
              <w:left w:val="nil"/>
              <w:bottom w:val="nil"/>
              <w:right w:val="nil"/>
            </w:tcBorders>
            <w:shd w:val="clear" w:color="000000" w:fill="FFFFFF"/>
            <w:noWrap/>
            <w:vAlign w:val="center"/>
            <w:hideMark/>
          </w:tcPr>
          <w:p w14:paraId="3B228F11" w14:textId="77777777" w:rsidR="0017485E" w:rsidRPr="0017485E" w:rsidRDefault="0017485E" w:rsidP="00CD40E2">
            <w:pPr>
              <w:spacing w:after="0" w:line="240" w:lineRule="auto"/>
              <w:ind w:left="-107" w:right="-108"/>
              <w:jc w:val="center"/>
              <w:rPr>
                <w:rFonts w:eastAsia="Times New Roman" w:cs="Calibri"/>
                <w:color w:val="auto"/>
                <w:sz w:val="16"/>
                <w:szCs w:val="16"/>
                <w:lang w:eastAsia="en-GB"/>
              </w:rPr>
            </w:pPr>
            <w:r w:rsidRPr="0017485E">
              <w:rPr>
                <w:rFonts w:eastAsia="Times New Roman" w:cs="Calibri"/>
                <w:color w:val="auto"/>
                <w:sz w:val="16"/>
                <w:szCs w:val="16"/>
                <w:lang w:eastAsia="en-GB"/>
              </w:rPr>
              <w:t>01/12/20</w:t>
            </w:r>
          </w:p>
        </w:tc>
        <w:tc>
          <w:tcPr>
            <w:tcW w:w="737" w:type="dxa"/>
            <w:tcBorders>
              <w:top w:val="nil"/>
              <w:left w:val="nil"/>
              <w:bottom w:val="nil"/>
              <w:right w:val="nil"/>
            </w:tcBorders>
            <w:shd w:val="clear" w:color="000000" w:fill="FFFFFF"/>
            <w:noWrap/>
            <w:vAlign w:val="center"/>
            <w:hideMark/>
          </w:tcPr>
          <w:p w14:paraId="37D7484E" w14:textId="54CAD318" w:rsidR="0017485E" w:rsidRPr="0017485E" w:rsidRDefault="0017485E" w:rsidP="0017485E">
            <w:pPr>
              <w:spacing w:after="0" w:line="240" w:lineRule="auto"/>
              <w:jc w:val="center"/>
              <w:rPr>
                <w:rFonts w:eastAsia="Times New Roman" w:cs="Calibri"/>
                <w:color w:val="auto"/>
                <w:sz w:val="16"/>
                <w:szCs w:val="16"/>
                <w:lang w:eastAsia="en-GB"/>
              </w:rPr>
            </w:pPr>
          </w:p>
        </w:tc>
        <w:tc>
          <w:tcPr>
            <w:tcW w:w="964" w:type="dxa"/>
            <w:tcBorders>
              <w:top w:val="nil"/>
              <w:left w:val="nil"/>
              <w:bottom w:val="nil"/>
              <w:right w:val="nil"/>
            </w:tcBorders>
            <w:shd w:val="clear" w:color="000000" w:fill="C5D9F1"/>
            <w:vAlign w:val="center"/>
            <w:hideMark/>
          </w:tcPr>
          <w:p w14:paraId="58FDBCF7"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136,899</w:t>
            </w:r>
          </w:p>
        </w:tc>
        <w:tc>
          <w:tcPr>
            <w:tcW w:w="1077" w:type="dxa"/>
            <w:tcBorders>
              <w:top w:val="nil"/>
              <w:left w:val="nil"/>
              <w:bottom w:val="nil"/>
              <w:right w:val="nil"/>
            </w:tcBorders>
            <w:shd w:val="clear" w:color="000000" w:fill="C5D9F1"/>
            <w:vAlign w:val="center"/>
            <w:hideMark/>
          </w:tcPr>
          <w:p w14:paraId="19472766"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59BF3B76"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5,374</w:t>
            </w:r>
          </w:p>
        </w:tc>
        <w:tc>
          <w:tcPr>
            <w:tcW w:w="964" w:type="dxa"/>
            <w:tcBorders>
              <w:top w:val="nil"/>
              <w:left w:val="nil"/>
              <w:bottom w:val="nil"/>
              <w:right w:val="nil"/>
            </w:tcBorders>
            <w:shd w:val="clear" w:color="000000" w:fill="C5D9F1"/>
            <w:vAlign w:val="center"/>
            <w:hideMark/>
          </w:tcPr>
          <w:p w14:paraId="1858FBAE"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142,273</w:t>
            </w:r>
          </w:p>
        </w:tc>
        <w:tc>
          <w:tcPr>
            <w:tcW w:w="1077" w:type="dxa"/>
            <w:tcBorders>
              <w:top w:val="nil"/>
              <w:left w:val="nil"/>
              <w:bottom w:val="nil"/>
              <w:right w:val="nil"/>
            </w:tcBorders>
            <w:shd w:val="clear" w:color="000000" w:fill="C5D9F1"/>
            <w:vAlign w:val="center"/>
            <w:hideMark/>
          </w:tcPr>
          <w:p w14:paraId="28BC0593"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25,737</w:t>
            </w:r>
          </w:p>
        </w:tc>
        <w:tc>
          <w:tcPr>
            <w:tcW w:w="964" w:type="dxa"/>
            <w:tcBorders>
              <w:top w:val="nil"/>
              <w:left w:val="nil"/>
              <w:bottom w:val="nil"/>
              <w:right w:val="nil"/>
            </w:tcBorders>
            <w:shd w:val="clear" w:color="000000" w:fill="C5D9F1"/>
            <w:vAlign w:val="center"/>
            <w:hideMark/>
          </w:tcPr>
          <w:p w14:paraId="502E9731"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168,010</w:t>
            </w:r>
          </w:p>
        </w:tc>
      </w:tr>
      <w:tr w:rsidR="00B810AF" w:rsidRPr="0017485E" w14:paraId="1C0B11C7" w14:textId="77777777" w:rsidTr="00433C4D">
        <w:trPr>
          <w:trHeight w:val="454"/>
        </w:trPr>
        <w:tc>
          <w:tcPr>
            <w:tcW w:w="2268" w:type="dxa"/>
            <w:tcBorders>
              <w:top w:val="nil"/>
              <w:left w:val="nil"/>
              <w:bottom w:val="nil"/>
              <w:right w:val="nil"/>
            </w:tcBorders>
            <w:shd w:val="clear" w:color="000000" w:fill="FFFFFF"/>
            <w:noWrap/>
            <w:vAlign w:val="center"/>
            <w:hideMark/>
          </w:tcPr>
          <w:p w14:paraId="750CF305" w14:textId="77777777" w:rsidR="0017485E" w:rsidRPr="0017485E" w:rsidRDefault="0017485E" w:rsidP="0017485E">
            <w:pPr>
              <w:spacing w:after="0" w:line="240" w:lineRule="auto"/>
              <w:jc w:val="left"/>
              <w:rPr>
                <w:rFonts w:eastAsia="Times New Roman" w:cs="Calibri"/>
                <w:color w:val="auto"/>
                <w:sz w:val="16"/>
                <w:szCs w:val="16"/>
                <w:lang w:eastAsia="en-GB"/>
              </w:rPr>
            </w:pPr>
            <w:r w:rsidRPr="0017485E">
              <w:rPr>
                <w:rFonts w:eastAsia="Times New Roman" w:cs="Calibri"/>
                <w:color w:val="auto"/>
                <w:sz w:val="16"/>
                <w:szCs w:val="16"/>
                <w:lang w:eastAsia="en-GB"/>
              </w:rPr>
              <w:t>Chief Finance Officer (OCC)</w:t>
            </w:r>
          </w:p>
        </w:tc>
        <w:tc>
          <w:tcPr>
            <w:tcW w:w="709" w:type="dxa"/>
            <w:tcBorders>
              <w:top w:val="nil"/>
              <w:left w:val="nil"/>
              <w:bottom w:val="nil"/>
              <w:right w:val="nil"/>
            </w:tcBorders>
            <w:shd w:val="clear" w:color="000000" w:fill="FFFFFF"/>
            <w:noWrap/>
            <w:vAlign w:val="center"/>
            <w:hideMark/>
          </w:tcPr>
          <w:p w14:paraId="0CD40D9E" w14:textId="77777777" w:rsidR="0017485E" w:rsidRPr="0017485E" w:rsidRDefault="0017485E" w:rsidP="00CD40E2">
            <w:pPr>
              <w:spacing w:after="0" w:line="240" w:lineRule="auto"/>
              <w:ind w:left="-107" w:right="-108"/>
              <w:jc w:val="center"/>
              <w:rPr>
                <w:rFonts w:eastAsia="Times New Roman" w:cs="Calibri"/>
                <w:color w:val="auto"/>
                <w:sz w:val="16"/>
                <w:szCs w:val="16"/>
                <w:lang w:eastAsia="en-GB"/>
              </w:rPr>
            </w:pPr>
            <w:r w:rsidRPr="0017485E">
              <w:rPr>
                <w:rFonts w:eastAsia="Times New Roman" w:cs="Calibri"/>
                <w:color w:val="auto"/>
                <w:sz w:val="16"/>
                <w:szCs w:val="16"/>
                <w:lang w:eastAsia="en-GB"/>
              </w:rPr>
              <w:t>22/12/23</w:t>
            </w:r>
          </w:p>
        </w:tc>
        <w:tc>
          <w:tcPr>
            <w:tcW w:w="737" w:type="dxa"/>
            <w:tcBorders>
              <w:top w:val="nil"/>
              <w:left w:val="nil"/>
              <w:bottom w:val="nil"/>
              <w:right w:val="nil"/>
            </w:tcBorders>
            <w:shd w:val="clear" w:color="000000" w:fill="FFFFFF"/>
            <w:noWrap/>
            <w:vAlign w:val="center"/>
            <w:hideMark/>
          </w:tcPr>
          <w:p w14:paraId="3E1B112F" w14:textId="04112001" w:rsidR="0017485E" w:rsidRPr="0017485E" w:rsidRDefault="0017485E" w:rsidP="0017485E">
            <w:pPr>
              <w:spacing w:after="0" w:line="240" w:lineRule="auto"/>
              <w:jc w:val="center"/>
              <w:rPr>
                <w:rFonts w:eastAsia="Times New Roman" w:cs="Calibri"/>
                <w:color w:val="auto"/>
                <w:sz w:val="16"/>
                <w:szCs w:val="16"/>
                <w:lang w:eastAsia="en-GB"/>
              </w:rPr>
            </w:pPr>
          </w:p>
        </w:tc>
        <w:tc>
          <w:tcPr>
            <w:tcW w:w="964" w:type="dxa"/>
            <w:tcBorders>
              <w:top w:val="nil"/>
              <w:left w:val="nil"/>
              <w:bottom w:val="nil"/>
              <w:right w:val="nil"/>
            </w:tcBorders>
            <w:shd w:val="clear" w:color="000000" w:fill="C5D9F1"/>
            <w:vAlign w:val="center"/>
            <w:hideMark/>
          </w:tcPr>
          <w:p w14:paraId="2F6F070D"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100,834</w:t>
            </w:r>
          </w:p>
        </w:tc>
        <w:tc>
          <w:tcPr>
            <w:tcW w:w="1077" w:type="dxa"/>
            <w:tcBorders>
              <w:top w:val="nil"/>
              <w:left w:val="nil"/>
              <w:bottom w:val="nil"/>
              <w:right w:val="nil"/>
            </w:tcBorders>
            <w:shd w:val="clear" w:color="000000" w:fill="C5D9F1"/>
            <w:vAlign w:val="center"/>
            <w:hideMark/>
          </w:tcPr>
          <w:p w14:paraId="516E426E"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0DF76575"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w:t>
            </w:r>
          </w:p>
        </w:tc>
        <w:tc>
          <w:tcPr>
            <w:tcW w:w="964" w:type="dxa"/>
            <w:tcBorders>
              <w:top w:val="nil"/>
              <w:left w:val="nil"/>
              <w:bottom w:val="nil"/>
              <w:right w:val="nil"/>
            </w:tcBorders>
            <w:shd w:val="clear" w:color="000000" w:fill="C5D9F1"/>
            <w:vAlign w:val="center"/>
            <w:hideMark/>
          </w:tcPr>
          <w:p w14:paraId="66FBF7C4"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100,834</w:t>
            </w:r>
          </w:p>
        </w:tc>
        <w:tc>
          <w:tcPr>
            <w:tcW w:w="1077" w:type="dxa"/>
            <w:tcBorders>
              <w:top w:val="nil"/>
              <w:left w:val="nil"/>
              <w:bottom w:val="nil"/>
              <w:right w:val="nil"/>
            </w:tcBorders>
            <w:shd w:val="clear" w:color="000000" w:fill="C5D9F1"/>
            <w:vAlign w:val="center"/>
            <w:hideMark/>
          </w:tcPr>
          <w:p w14:paraId="6B5D183B"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18,968</w:t>
            </w:r>
          </w:p>
        </w:tc>
        <w:tc>
          <w:tcPr>
            <w:tcW w:w="964" w:type="dxa"/>
            <w:tcBorders>
              <w:top w:val="nil"/>
              <w:left w:val="nil"/>
              <w:bottom w:val="nil"/>
              <w:right w:val="nil"/>
            </w:tcBorders>
            <w:shd w:val="clear" w:color="000000" w:fill="C5D9F1"/>
            <w:vAlign w:val="center"/>
            <w:hideMark/>
          </w:tcPr>
          <w:p w14:paraId="6D777D33" w14:textId="77777777" w:rsidR="0017485E" w:rsidRPr="0017485E" w:rsidRDefault="0017485E" w:rsidP="0017485E">
            <w:pPr>
              <w:spacing w:after="0" w:line="240" w:lineRule="auto"/>
              <w:jc w:val="right"/>
              <w:rPr>
                <w:rFonts w:eastAsia="Times New Roman" w:cs="Calibri"/>
                <w:color w:val="auto"/>
                <w:sz w:val="16"/>
                <w:szCs w:val="16"/>
                <w:lang w:eastAsia="en-GB"/>
              </w:rPr>
            </w:pPr>
            <w:r w:rsidRPr="0017485E">
              <w:rPr>
                <w:rFonts w:eastAsia="Times New Roman" w:cs="Calibri"/>
                <w:color w:val="auto"/>
                <w:sz w:val="16"/>
                <w:szCs w:val="16"/>
                <w:lang w:eastAsia="en-GB"/>
              </w:rPr>
              <w:t>119,802</w:t>
            </w:r>
          </w:p>
        </w:tc>
      </w:tr>
    </w:tbl>
    <w:p w14:paraId="1676FC73" w14:textId="77777777" w:rsidR="0030413B" w:rsidRDefault="0030413B" w:rsidP="003356AE">
      <w:pPr>
        <w:spacing w:line="240" w:lineRule="auto"/>
      </w:pPr>
    </w:p>
    <w:p w14:paraId="2CA0FDFD" w14:textId="77777777" w:rsidR="00B323C0" w:rsidRPr="00B323C0" w:rsidRDefault="00B323C0" w:rsidP="00B323C0">
      <w:pPr>
        <w:spacing w:after="0" w:line="240" w:lineRule="auto"/>
        <w:rPr>
          <w:rFonts w:eastAsia="Times New Roman" w:cs="Calibri"/>
          <w:color w:val="auto"/>
          <w:sz w:val="16"/>
          <w:szCs w:val="16"/>
          <w:lang w:eastAsia="en-GB"/>
        </w:rPr>
      </w:pPr>
      <w:r w:rsidRPr="00B323C0">
        <w:rPr>
          <w:rFonts w:eastAsia="Times New Roman" w:cs="Calibri"/>
          <w:color w:val="auto"/>
          <w:sz w:val="16"/>
          <w:szCs w:val="16"/>
          <w:vertAlign w:val="superscript"/>
          <w:lang w:eastAsia="en-GB"/>
        </w:rPr>
        <w:t>1</w:t>
      </w:r>
      <w:r w:rsidRPr="00B323C0">
        <w:rPr>
          <w:rFonts w:eastAsia="Times New Roman" w:cs="Calibri"/>
          <w:color w:val="auto"/>
          <w:sz w:val="16"/>
          <w:szCs w:val="16"/>
          <w:lang w:eastAsia="en-GB"/>
        </w:rPr>
        <w:t xml:space="preserve"> Expenses Allowances include taxable and non-taxable expenses.</w:t>
      </w:r>
    </w:p>
    <w:p w14:paraId="4C4BBC82" w14:textId="77777777" w:rsidR="00B323C0" w:rsidRPr="00B323C0" w:rsidRDefault="00B323C0" w:rsidP="00B323C0">
      <w:pPr>
        <w:spacing w:after="0" w:line="240" w:lineRule="auto"/>
        <w:rPr>
          <w:rFonts w:eastAsia="Times New Roman" w:cs="Calibri"/>
          <w:color w:val="auto"/>
          <w:sz w:val="16"/>
          <w:szCs w:val="16"/>
          <w:lang w:eastAsia="en-GB"/>
        </w:rPr>
      </w:pPr>
      <w:r w:rsidRPr="00B323C0">
        <w:rPr>
          <w:rFonts w:eastAsia="Times New Roman" w:cs="Calibri"/>
          <w:color w:val="auto"/>
          <w:sz w:val="16"/>
          <w:szCs w:val="16"/>
          <w:vertAlign w:val="superscript"/>
          <w:lang w:eastAsia="en-GB"/>
        </w:rPr>
        <w:t>2</w:t>
      </w:r>
      <w:r w:rsidRPr="00B323C0">
        <w:rPr>
          <w:rFonts w:eastAsia="Times New Roman" w:cs="Calibri"/>
          <w:color w:val="auto"/>
          <w:sz w:val="16"/>
          <w:szCs w:val="16"/>
          <w:lang w:eastAsia="en-GB"/>
        </w:rPr>
        <w:t xml:space="preserve"> Other includes Overtime, Rent Allowance, Housing Allowance, Car Allowance, Chief Officer Team (COT) Medical Allowances, Relocation Allowances.</w:t>
      </w:r>
    </w:p>
    <w:p w14:paraId="1F387486" w14:textId="77777777" w:rsidR="003B5412" w:rsidRDefault="003B5412" w:rsidP="003356AE">
      <w:pPr>
        <w:spacing w:line="240" w:lineRule="auto"/>
        <w:rPr>
          <w:rFonts w:asciiTheme="minorHAnsi" w:hAnsiTheme="minorHAnsi"/>
          <w:color w:val="auto"/>
          <w:sz w:val="24"/>
          <w:lang w:val="en-US"/>
        </w:rPr>
      </w:pPr>
    </w:p>
    <w:tbl>
      <w:tblPr>
        <w:tblW w:w="9696" w:type="dxa"/>
        <w:tblLayout w:type="fixed"/>
        <w:tblLook w:val="04A0" w:firstRow="1" w:lastRow="0" w:firstColumn="1" w:lastColumn="0" w:noHBand="0" w:noVBand="1"/>
      </w:tblPr>
      <w:tblGrid>
        <w:gridCol w:w="2268"/>
        <w:gridCol w:w="709"/>
        <w:gridCol w:w="709"/>
        <w:gridCol w:w="964"/>
        <w:gridCol w:w="1077"/>
        <w:gridCol w:w="964"/>
        <w:gridCol w:w="964"/>
        <w:gridCol w:w="1077"/>
        <w:gridCol w:w="964"/>
      </w:tblGrid>
      <w:tr w:rsidR="00F7425B" w:rsidRPr="00A95B59" w14:paraId="0493DF44" w14:textId="77777777" w:rsidTr="005E7A69">
        <w:trPr>
          <w:trHeight w:val="640"/>
        </w:trPr>
        <w:tc>
          <w:tcPr>
            <w:tcW w:w="2268" w:type="dxa"/>
            <w:tcBorders>
              <w:top w:val="nil"/>
              <w:left w:val="nil"/>
              <w:bottom w:val="nil"/>
              <w:right w:val="nil"/>
            </w:tcBorders>
            <w:shd w:val="clear" w:color="000000" w:fill="000099"/>
            <w:hideMark/>
          </w:tcPr>
          <w:p w14:paraId="7C9BCE5B" w14:textId="77777777" w:rsidR="005E7A69" w:rsidRDefault="00A95B59" w:rsidP="005E7A69">
            <w:pPr>
              <w:spacing w:after="0" w:line="240" w:lineRule="auto"/>
              <w:jc w:val="left"/>
              <w:rPr>
                <w:rFonts w:eastAsia="Times New Roman" w:cs="Calibri"/>
                <w:b/>
                <w:bCs/>
                <w:color w:val="FFFFFF"/>
                <w:sz w:val="16"/>
                <w:szCs w:val="16"/>
                <w:lang w:eastAsia="en-GB"/>
              </w:rPr>
            </w:pPr>
            <w:r w:rsidRPr="00A95B59">
              <w:rPr>
                <w:rFonts w:eastAsia="Times New Roman" w:cs="Calibri"/>
                <w:b/>
                <w:bCs/>
                <w:color w:val="FFFFFF"/>
                <w:sz w:val="16"/>
                <w:szCs w:val="16"/>
                <w:lang w:eastAsia="en-GB"/>
              </w:rPr>
              <w:t>2024/25</w:t>
            </w:r>
          </w:p>
          <w:p w14:paraId="1EE0FBF1" w14:textId="695F004F" w:rsidR="00A95B59" w:rsidRPr="00A95B59" w:rsidRDefault="005E7A69" w:rsidP="00A95B59">
            <w:pPr>
              <w:spacing w:after="0" w:line="240" w:lineRule="auto"/>
              <w:jc w:val="left"/>
              <w:rPr>
                <w:rFonts w:eastAsia="Times New Roman" w:cs="Calibri"/>
                <w:b/>
                <w:bCs/>
                <w:color w:val="FFFFFF"/>
                <w:sz w:val="16"/>
                <w:szCs w:val="16"/>
                <w:lang w:eastAsia="en-GB"/>
              </w:rPr>
            </w:pPr>
            <w:r w:rsidRPr="00A95B59">
              <w:rPr>
                <w:rFonts w:eastAsia="Times New Roman" w:cs="Calibri"/>
                <w:b/>
                <w:bCs/>
                <w:color w:val="FFFFFF"/>
                <w:sz w:val="16"/>
                <w:szCs w:val="16"/>
                <w:lang w:eastAsia="en-GB"/>
              </w:rPr>
              <w:t>Post Holder Information</w:t>
            </w:r>
          </w:p>
        </w:tc>
        <w:tc>
          <w:tcPr>
            <w:tcW w:w="709" w:type="dxa"/>
            <w:tcBorders>
              <w:top w:val="nil"/>
              <w:left w:val="nil"/>
              <w:bottom w:val="nil"/>
              <w:right w:val="nil"/>
            </w:tcBorders>
            <w:shd w:val="clear" w:color="000000" w:fill="000099"/>
            <w:hideMark/>
          </w:tcPr>
          <w:p w14:paraId="382E0B7E" w14:textId="77777777" w:rsidR="00A95B59" w:rsidRPr="00A95B59" w:rsidRDefault="00A95B59" w:rsidP="00CD58DF">
            <w:pPr>
              <w:spacing w:after="0" w:line="240" w:lineRule="auto"/>
              <w:ind w:left="-107" w:right="-106"/>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Start Date</w:t>
            </w:r>
          </w:p>
        </w:tc>
        <w:tc>
          <w:tcPr>
            <w:tcW w:w="709" w:type="dxa"/>
            <w:tcBorders>
              <w:top w:val="nil"/>
              <w:left w:val="nil"/>
              <w:bottom w:val="nil"/>
              <w:right w:val="nil"/>
            </w:tcBorders>
            <w:shd w:val="clear" w:color="000000" w:fill="000099"/>
            <w:hideMark/>
          </w:tcPr>
          <w:p w14:paraId="597BAA6D" w14:textId="77777777" w:rsidR="00A95B59" w:rsidRPr="00A95B59" w:rsidRDefault="00A95B59" w:rsidP="00CD58DF">
            <w:pPr>
              <w:spacing w:after="0" w:line="240" w:lineRule="auto"/>
              <w:ind w:left="-109" w:right="-105"/>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Leaving date</w:t>
            </w:r>
          </w:p>
        </w:tc>
        <w:tc>
          <w:tcPr>
            <w:tcW w:w="964" w:type="dxa"/>
            <w:tcBorders>
              <w:top w:val="nil"/>
              <w:left w:val="nil"/>
              <w:bottom w:val="nil"/>
              <w:right w:val="nil"/>
            </w:tcBorders>
            <w:shd w:val="clear" w:color="000000" w:fill="000099"/>
            <w:hideMark/>
          </w:tcPr>
          <w:p w14:paraId="784606A3" w14:textId="6CB1B47C"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Salary</w:t>
            </w:r>
          </w:p>
        </w:tc>
        <w:tc>
          <w:tcPr>
            <w:tcW w:w="1077" w:type="dxa"/>
            <w:tcBorders>
              <w:top w:val="nil"/>
              <w:left w:val="nil"/>
              <w:bottom w:val="nil"/>
              <w:right w:val="nil"/>
            </w:tcBorders>
            <w:shd w:val="clear" w:color="000000" w:fill="000099"/>
            <w:hideMark/>
          </w:tcPr>
          <w:p w14:paraId="3179A2C3" w14:textId="77777777"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Expenses Allowances</w:t>
            </w:r>
            <w:r w:rsidRPr="00A95B59">
              <w:rPr>
                <w:rFonts w:eastAsia="Times New Roman" w:cs="Calibri"/>
                <w:b/>
                <w:bCs/>
                <w:color w:val="FFFFFF"/>
                <w:sz w:val="16"/>
                <w:szCs w:val="16"/>
                <w:vertAlign w:val="superscript"/>
                <w:lang w:eastAsia="en-GB"/>
              </w:rPr>
              <w:t>1</w:t>
            </w:r>
          </w:p>
        </w:tc>
        <w:tc>
          <w:tcPr>
            <w:tcW w:w="964" w:type="dxa"/>
            <w:tcBorders>
              <w:top w:val="nil"/>
              <w:left w:val="nil"/>
              <w:bottom w:val="nil"/>
              <w:right w:val="nil"/>
            </w:tcBorders>
            <w:shd w:val="clear" w:color="000000" w:fill="000099"/>
            <w:hideMark/>
          </w:tcPr>
          <w:p w14:paraId="2265DCF2" w14:textId="77777777"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Other</w:t>
            </w:r>
            <w:r w:rsidRPr="00A95B59">
              <w:rPr>
                <w:rFonts w:eastAsia="Times New Roman" w:cs="Calibri"/>
                <w:b/>
                <w:bCs/>
                <w:color w:val="FFFFFF"/>
                <w:sz w:val="16"/>
                <w:szCs w:val="16"/>
                <w:vertAlign w:val="superscript"/>
                <w:lang w:eastAsia="en-GB"/>
              </w:rPr>
              <w:t>2</w:t>
            </w:r>
          </w:p>
        </w:tc>
        <w:tc>
          <w:tcPr>
            <w:tcW w:w="964" w:type="dxa"/>
            <w:tcBorders>
              <w:top w:val="nil"/>
              <w:left w:val="nil"/>
              <w:bottom w:val="nil"/>
              <w:right w:val="nil"/>
            </w:tcBorders>
            <w:shd w:val="clear" w:color="000000" w:fill="000099"/>
            <w:hideMark/>
          </w:tcPr>
          <w:p w14:paraId="38D9FC0B" w14:textId="77777777"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Total Excluding Pension</w:t>
            </w:r>
          </w:p>
        </w:tc>
        <w:tc>
          <w:tcPr>
            <w:tcW w:w="1077" w:type="dxa"/>
            <w:tcBorders>
              <w:top w:val="nil"/>
              <w:left w:val="nil"/>
              <w:bottom w:val="nil"/>
              <w:right w:val="nil"/>
            </w:tcBorders>
            <w:shd w:val="clear" w:color="000000" w:fill="000099"/>
            <w:hideMark/>
          </w:tcPr>
          <w:p w14:paraId="1DA6FA74" w14:textId="7B909890"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Employers Contribution</w:t>
            </w:r>
          </w:p>
        </w:tc>
        <w:tc>
          <w:tcPr>
            <w:tcW w:w="964" w:type="dxa"/>
            <w:tcBorders>
              <w:top w:val="nil"/>
              <w:left w:val="nil"/>
              <w:bottom w:val="nil"/>
              <w:right w:val="nil"/>
            </w:tcBorders>
            <w:shd w:val="clear" w:color="000000" w:fill="000099"/>
            <w:hideMark/>
          </w:tcPr>
          <w:p w14:paraId="29E3006B" w14:textId="77777777"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Total Including Pension</w:t>
            </w:r>
          </w:p>
        </w:tc>
      </w:tr>
      <w:tr w:rsidR="00F7425B" w:rsidRPr="00A95B59" w14:paraId="008EA543" w14:textId="77777777" w:rsidTr="005E7A69">
        <w:trPr>
          <w:trHeight w:val="260"/>
        </w:trPr>
        <w:tc>
          <w:tcPr>
            <w:tcW w:w="2268" w:type="dxa"/>
            <w:tcBorders>
              <w:top w:val="nil"/>
              <w:left w:val="nil"/>
              <w:bottom w:val="nil"/>
              <w:right w:val="nil"/>
            </w:tcBorders>
            <w:shd w:val="clear" w:color="000000" w:fill="000099"/>
            <w:hideMark/>
          </w:tcPr>
          <w:p w14:paraId="37E8F7BD" w14:textId="26B9A1D0" w:rsidR="00A95B59" w:rsidRPr="00A95B59" w:rsidRDefault="00A95B59" w:rsidP="00A95B59">
            <w:pPr>
              <w:spacing w:after="0" w:line="240" w:lineRule="auto"/>
              <w:jc w:val="left"/>
              <w:rPr>
                <w:rFonts w:eastAsia="Times New Roman" w:cs="Calibri"/>
                <w:b/>
                <w:bCs/>
                <w:color w:val="FFFFFF"/>
                <w:sz w:val="16"/>
                <w:szCs w:val="16"/>
                <w:lang w:eastAsia="en-GB"/>
              </w:rPr>
            </w:pPr>
          </w:p>
        </w:tc>
        <w:tc>
          <w:tcPr>
            <w:tcW w:w="709" w:type="dxa"/>
            <w:tcBorders>
              <w:top w:val="nil"/>
              <w:left w:val="nil"/>
              <w:bottom w:val="nil"/>
              <w:right w:val="nil"/>
            </w:tcBorders>
            <w:shd w:val="clear" w:color="000000" w:fill="000099"/>
            <w:hideMark/>
          </w:tcPr>
          <w:p w14:paraId="7F74E4CC" w14:textId="7539BF79" w:rsidR="00A95B59" w:rsidRPr="00A95B59" w:rsidRDefault="00A95B59" w:rsidP="00CD58DF">
            <w:pPr>
              <w:spacing w:after="0" w:line="240" w:lineRule="auto"/>
              <w:ind w:left="-107" w:right="-106"/>
              <w:jc w:val="center"/>
              <w:rPr>
                <w:rFonts w:eastAsia="Times New Roman" w:cs="Calibri"/>
                <w:b/>
                <w:bCs/>
                <w:color w:val="FFFFFF"/>
                <w:sz w:val="16"/>
                <w:szCs w:val="16"/>
                <w:lang w:eastAsia="en-GB"/>
              </w:rPr>
            </w:pPr>
          </w:p>
        </w:tc>
        <w:tc>
          <w:tcPr>
            <w:tcW w:w="709" w:type="dxa"/>
            <w:tcBorders>
              <w:top w:val="nil"/>
              <w:left w:val="nil"/>
              <w:bottom w:val="nil"/>
              <w:right w:val="nil"/>
            </w:tcBorders>
            <w:shd w:val="clear" w:color="000000" w:fill="000099"/>
            <w:hideMark/>
          </w:tcPr>
          <w:p w14:paraId="427A6FD4" w14:textId="43738C34" w:rsidR="00A95B59" w:rsidRPr="00A95B59" w:rsidRDefault="00A95B59" w:rsidP="00CD58DF">
            <w:pPr>
              <w:spacing w:after="0" w:line="240" w:lineRule="auto"/>
              <w:ind w:left="-109" w:right="-105"/>
              <w:jc w:val="center"/>
              <w:rPr>
                <w:rFonts w:eastAsia="Times New Roman" w:cs="Calibri"/>
                <w:b/>
                <w:bCs/>
                <w:color w:val="FFFFFF"/>
                <w:sz w:val="16"/>
                <w:szCs w:val="16"/>
                <w:lang w:eastAsia="en-GB"/>
              </w:rPr>
            </w:pPr>
          </w:p>
        </w:tc>
        <w:tc>
          <w:tcPr>
            <w:tcW w:w="964" w:type="dxa"/>
            <w:tcBorders>
              <w:top w:val="nil"/>
              <w:left w:val="nil"/>
              <w:bottom w:val="nil"/>
              <w:right w:val="nil"/>
            </w:tcBorders>
            <w:shd w:val="clear" w:color="000000" w:fill="000099"/>
            <w:hideMark/>
          </w:tcPr>
          <w:p w14:paraId="6E20EC75" w14:textId="394C20A9"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w:t>
            </w:r>
          </w:p>
        </w:tc>
        <w:tc>
          <w:tcPr>
            <w:tcW w:w="1077" w:type="dxa"/>
            <w:tcBorders>
              <w:top w:val="nil"/>
              <w:left w:val="nil"/>
              <w:bottom w:val="nil"/>
              <w:right w:val="nil"/>
            </w:tcBorders>
            <w:shd w:val="clear" w:color="000000" w:fill="000099"/>
            <w:hideMark/>
          </w:tcPr>
          <w:p w14:paraId="001C398C" w14:textId="3032E90F"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w:t>
            </w:r>
          </w:p>
        </w:tc>
        <w:tc>
          <w:tcPr>
            <w:tcW w:w="964" w:type="dxa"/>
            <w:tcBorders>
              <w:top w:val="nil"/>
              <w:left w:val="nil"/>
              <w:bottom w:val="nil"/>
              <w:right w:val="nil"/>
            </w:tcBorders>
            <w:shd w:val="clear" w:color="000000" w:fill="000099"/>
            <w:hideMark/>
          </w:tcPr>
          <w:p w14:paraId="55D858D8" w14:textId="729E2AAC"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w:t>
            </w:r>
          </w:p>
        </w:tc>
        <w:tc>
          <w:tcPr>
            <w:tcW w:w="964" w:type="dxa"/>
            <w:tcBorders>
              <w:top w:val="nil"/>
              <w:left w:val="nil"/>
              <w:bottom w:val="nil"/>
              <w:right w:val="nil"/>
            </w:tcBorders>
            <w:shd w:val="clear" w:color="000000" w:fill="000099"/>
            <w:hideMark/>
          </w:tcPr>
          <w:p w14:paraId="67D53E05" w14:textId="77777777"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w:t>
            </w:r>
          </w:p>
        </w:tc>
        <w:tc>
          <w:tcPr>
            <w:tcW w:w="1077" w:type="dxa"/>
            <w:tcBorders>
              <w:top w:val="nil"/>
              <w:left w:val="nil"/>
              <w:bottom w:val="nil"/>
              <w:right w:val="nil"/>
            </w:tcBorders>
            <w:shd w:val="clear" w:color="000000" w:fill="000099"/>
            <w:hideMark/>
          </w:tcPr>
          <w:p w14:paraId="7AB92F16" w14:textId="51792934"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w:t>
            </w:r>
          </w:p>
        </w:tc>
        <w:tc>
          <w:tcPr>
            <w:tcW w:w="964" w:type="dxa"/>
            <w:tcBorders>
              <w:top w:val="nil"/>
              <w:left w:val="nil"/>
              <w:bottom w:val="nil"/>
              <w:right w:val="nil"/>
            </w:tcBorders>
            <w:shd w:val="clear" w:color="000000" w:fill="000099"/>
            <w:hideMark/>
          </w:tcPr>
          <w:p w14:paraId="2D506710" w14:textId="77777777" w:rsidR="00A95B59" w:rsidRPr="00A95B59" w:rsidRDefault="00A95B59" w:rsidP="00A95B59">
            <w:pPr>
              <w:spacing w:after="0" w:line="240" w:lineRule="auto"/>
              <w:jc w:val="center"/>
              <w:rPr>
                <w:rFonts w:eastAsia="Times New Roman" w:cs="Calibri"/>
                <w:b/>
                <w:bCs/>
                <w:color w:val="FFFFFF"/>
                <w:sz w:val="16"/>
                <w:szCs w:val="16"/>
                <w:lang w:eastAsia="en-GB"/>
              </w:rPr>
            </w:pPr>
            <w:r w:rsidRPr="00A95B59">
              <w:rPr>
                <w:rFonts w:eastAsia="Times New Roman" w:cs="Calibri"/>
                <w:b/>
                <w:bCs/>
                <w:color w:val="FFFFFF"/>
                <w:sz w:val="16"/>
                <w:szCs w:val="16"/>
                <w:lang w:eastAsia="en-GB"/>
              </w:rPr>
              <w:t>£</w:t>
            </w:r>
          </w:p>
        </w:tc>
      </w:tr>
      <w:tr w:rsidR="00F7425B" w:rsidRPr="00A95B59" w14:paraId="2D45A08B" w14:textId="77777777" w:rsidTr="005E7A69">
        <w:trPr>
          <w:trHeight w:val="454"/>
        </w:trPr>
        <w:tc>
          <w:tcPr>
            <w:tcW w:w="2268" w:type="dxa"/>
            <w:tcBorders>
              <w:top w:val="nil"/>
              <w:left w:val="nil"/>
              <w:bottom w:val="nil"/>
              <w:right w:val="nil"/>
            </w:tcBorders>
            <w:shd w:val="clear" w:color="000000" w:fill="FFFFFF"/>
            <w:noWrap/>
            <w:vAlign w:val="center"/>
            <w:hideMark/>
          </w:tcPr>
          <w:p w14:paraId="7B66A3A6"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Nick Adderley - Chief Constable</w:t>
            </w:r>
            <w:r w:rsidRPr="00A95B59">
              <w:rPr>
                <w:rFonts w:eastAsia="Times New Roman" w:cs="Calibri"/>
                <w:color w:val="auto"/>
                <w:sz w:val="16"/>
                <w:szCs w:val="16"/>
                <w:vertAlign w:val="superscript"/>
                <w:lang w:eastAsia="en-GB"/>
              </w:rPr>
              <w:t>3</w:t>
            </w:r>
          </w:p>
        </w:tc>
        <w:tc>
          <w:tcPr>
            <w:tcW w:w="709" w:type="dxa"/>
            <w:tcBorders>
              <w:top w:val="nil"/>
              <w:left w:val="nil"/>
              <w:bottom w:val="nil"/>
              <w:right w:val="nil"/>
            </w:tcBorders>
            <w:shd w:val="clear" w:color="000000" w:fill="FFFFFF"/>
            <w:noWrap/>
            <w:vAlign w:val="center"/>
            <w:hideMark/>
          </w:tcPr>
          <w:p w14:paraId="2BA10CDF"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01/04/23</w:t>
            </w:r>
          </w:p>
        </w:tc>
        <w:tc>
          <w:tcPr>
            <w:tcW w:w="709" w:type="dxa"/>
            <w:tcBorders>
              <w:top w:val="nil"/>
              <w:left w:val="nil"/>
              <w:bottom w:val="nil"/>
              <w:right w:val="nil"/>
            </w:tcBorders>
            <w:shd w:val="clear" w:color="000000" w:fill="FFFFFF"/>
            <w:noWrap/>
            <w:vAlign w:val="center"/>
            <w:hideMark/>
          </w:tcPr>
          <w:p w14:paraId="5C7785E0"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21/06/24</w:t>
            </w:r>
          </w:p>
        </w:tc>
        <w:tc>
          <w:tcPr>
            <w:tcW w:w="964" w:type="dxa"/>
            <w:tcBorders>
              <w:top w:val="nil"/>
              <w:left w:val="nil"/>
              <w:bottom w:val="nil"/>
              <w:right w:val="nil"/>
            </w:tcBorders>
            <w:shd w:val="clear" w:color="000000" w:fill="FFFFFF"/>
            <w:vAlign w:val="center"/>
            <w:hideMark/>
          </w:tcPr>
          <w:p w14:paraId="7057CB6C"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42,361</w:t>
            </w:r>
          </w:p>
        </w:tc>
        <w:tc>
          <w:tcPr>
            <w:tcW w:w="1077" w:type="dxa"/>
            <w:tcBorders>
              <w:top w:val="nil"/>
              <w:left w:val="nil"/>
              <w:bottom w:val="nil"/>
              <w:right w:val="nil"/>
            </w:tcBorders>
            <w:shd w:val="clear" w:color="000000" w:fill="FFFFFF"/>
            <w:vAlign w:val="center"/>
            <w:hideMark/>
          </w:tcPr>
          <w:p w14:paraId="7323E165"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428AE6F0"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65CA59C8"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42,361</w:t>
            </w:r>
          </w:p>
        </w:tc>
        <w:tc>
          <w:tcPr>
            <w:tcW w:w="1077" w:type="dxa"/>
            <w:tcBorders>
              <w:top w:val="nil"/>
              <w:left w:val="nil"/>
              <w:bottom w:val="nil"/>
              <w:right w:val="nil"/>
            </w:tcBorders>
            <w:shd w:val="clear" w:color="000000" w:fill="FFFFFF"/>
            <w:vAlign w:val="center"/>
            <w:hideMark/>
          </w:tcPr>
          <w:p w14:paraId="1EE32A45"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0BD96007"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42,361</w:t>
            </w:r>
          </w:p>
        </w:tc>
      </w:tr>
      <w:tr w:rsidR="00F7425B" w:rsidRPr="00A95B59" w14:paraId="2D761AEF" w14:textId="77777777" w:rsidTr="005E7A69">
        <w:trPr>
          <w:trHeight w:val="454"/>
        </w:trPr>
        <w:tc>
          <w:tcPr>
            <w:tcW w:w="2268" w:type="dxa"/>
            <w:tcBorders>
              <w:top w:val="nil"/>
              <w:left w:val="nil"/>
              <w:bottom w:val="nil"/>
              <w:right w:val="nil"/>
            </w:tcBorders>
            <w:shd w:val="clear" w:color="000000" w:fill="FFFFFF"/>
            <w:noWrap/>
            <w:vAlign w:val="center"/>
            <w:hideMark/>
          </w:tcPr>
          <w:p w14:paraId="632CD095" w14:textId="77777777" w:rsidR="00A95B59" w:rsidRPr="00A95B59" w:rsidRDefault="00A95B59" w:rsidP="00A95B59">
            <w:pPr>
              <w:spacing w:after="0" w:line="240" w:lineRule="auto"/>
              <w:jc w:val="left"/>
              <w:rPr>
                <w:rFonts w:eastAsia="Times New Roman" w:cs="Calibri"/>
                <w:color w:val="000000"/>
                <w:sz w:val="16"/>
                <w:szCs w:val="16"/>
                <w:lang w:eastAsia="en-GB"/>
              </w:rPr>
            </w:pPr>
            <w:r w:rsidRPr="00A95B59">
              <w:rPr>
                <w:rFonts w:eastAsia="Times New Roman" w:cs="Calibri"/>
                <w:color w:val="000000"/>
                <w:sz w:val="16"/>
                <w:szCs w:val="16"/>
                <w:lang w:eastAsia="en-GB"/>
              </w:rPr>
              <w:t>Ivan Balhatchet - Chief Constable</w:t>
            </w:r>
            <w:r w:rsidRPr="00A95B59">
              <w:rPr>
                <w:rFonts w:eastAsia="Times New Roman" w:cs="Calibri"/>
                <w:color w:val="000000"/>
                <w:sz w:val="16"/>
                <w:szCs w:val="16"/>
                <w:vertAlign w:val="superscript"/>
                <w:lang w:eastAsia="en-GB"/>
              </w:rPr>
              <w:t>4</w:t>
            </w:r>
          </w:p>
        </w:tc>
        <w:tc>
          <w:tcPr>
            <w:tcW w:w="709" w:type="dxa"/>
            <w:tcBorders>
              <w:top w:val="nil"/>
              <w:left w:val="nil"/>
              <w:bottom w:val="nil"/>
              <w:right w:val="nil"/>
            </w:tcBorders>
            <w:shd w:val="clear" w:color="000000" w:fill="FFFFFF"/>
            <w:noWrap/>
            <w:vAlign w:val="center"/>
            <w:hideMark/>
          </w:tcPr>
          <w:p w14:paraId="494AC709"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17/10/23</w:t>
            </w:r>
          </w:p>
        </w:tc>
        <w:tc>
          <w:tcPr>
            <w:tcW w:w="709" w:type="dxa"/>
            <w:tcBorders>
              <w:top w:val="nil"/>
              <w:left w:val="nil"/>
              <w:bottom w:val="nil"/>
              <w:right w:val="nil"/>
            </w:tcBorders>
            <w:shd w:val="clear" w:color="000000" w:fill="FFFFFF"/>
            <w:noWrap/>
            <w:vAlign w:val="center"/>
            <w:hideMark/>
          </w:tcPr>
          <w:p w14:paraId="54C2751E"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4313D95D"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171,622</w:t>
            </w:r>
          </w:p>
        </w:tc>
        <w:tc>
          <w:tcPr>
            <w:tcW w:w="1077" w:type="dxa"/>
            <w:tcBorders>
              <w:top w:val="nil"/>
              <w:left w:val="nil"/>
              <w:bottom w:val="nil"/>
              <w:right w:val="nil"/>
            </w:tcBorders>
            <w:shd w:val="clear" w:color="000000" w:fill="FFFFFF"/>
            <w:vAlign w:val="center"/>
            <w:hideMark/>
          </w:tcPr>
          <w:p w14:paraId="6B8699FA"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25CDF9D1"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4,784</w:t>
            </w:r>
          </w:p>
        </w:tc>
        <w:tc>
          <w:tcPr>
            <w:tcW w:w="964" w:type="dxa"/>
            <w:tcBorders>
              <w:top w:val="nil"/>
              <w:left w:val="nil"/>
              <w:bottom w:val="nil"/>
              <w:right w:val="nil"/>
            </w:tcBorders>
            <w:shd w:val="clear" w:color="000000" w:fill="FFFFFF"/>
            <w:vAlign w:val="center"/>
            <w:hideMark/>
          </w:tcPr>
          <w:p w14:paraId="69F59347"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176,406</w:t>
            </w:r>
          </w:p>
        </w:tc>
        <w:tc>
          <w:tcPr>
            <w:tcW w:w="1077" w:type="dxa"/>
            <w:tcBorders>
              <w:top w:val="nil"/>
              <w:left w:val="nil"/>
              <w:bottom w:val="nil"/>
              <w:right w:val="nil"/>
            </w:tcBorders>
            <w:shd w:val="clear" w:color="000000" w:fill="FFFFFF"/>
            <w:vAlign w:val="center"/>
            <w:hideMark/>
          </w:tcPr>
          <w:p w14:paraId="0D1FE828"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51,735</w:t>
            </w:r>
          </w:p>
        </w:tc>
        <w:tc>
          <w:tcPr>
            <w:tcW w:w="964" w:type="dxa"/>
            <w:tcBorders>
              <w:top w:val="nil"/>
              <w:left w:val="nil"/>
              <w:bottom w:val="nil"/>
              <w:right w:val="nil"/>
            </w:tcBorders>
            <w:shd w:val="clear" w:color="000000" w:fill="FFFFFF"/>
            <w:vAlign w:val="center"/>
            <w:hideMark/>
          </w:tcPr>
          <w:p w14:paraId="1C1A0673"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228,141</w:t>
            </w:r>
          </w:p>
        </w:tc>
      </w:tr>
      <w:tr w:rsidR="00F7425B" w:rsidRPr="00A95B59" w14:paraId="3151D655" w14:textId="77777777" w:rsidTr="005E7A69">
        <w:trPr>
          <w:trHeight w:val="454"/>
        </w:trPr>
        <w:tc>
          <w:tcPr>
            <w:tcW w:w="2268" w:type="dxa"/>
            <w:tcBorders>
              <w:top w:val="nil"/>
              <w:left w:val="nil"/>
              <w:bottom w:val="nil"/>
              <w:right w:val="nil"/>
            </w:tcBorders>
            <w:shd w:val="clear" w:color="000000" w:fill="FFFFFF"/>
            <w:noWrap/>
            <w:vAlign w:val="center"/>
            <w:hideMark/>
          </w:tcPr>
          <w:p w14:paraId="26F3FC4C"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Deputy Chief Constable</w:t>
            </w:r>
          </w:p>
        </w:tc>
        <w:tc>
          <w:tcPr>
            <w:tcW w:w="709" w:type="dxa"/>
            <w:tcBorders>
              <w:top w:val="nil"/>
              <w:left w:val="nil"/>
              <w:bottom w:val="nil"/>
              <w:right w:val="nil"/>
            </w:tcBorders>
            <w:shd w:val="clear" w:color="000000" w:fill="FFFFFF"/>
            <w:noWrap/>
            <w:vAlign w:val="center"/>
            <w:hideMark/>
          </w:tcPr>
          <w:p w14:paraId="7922AF4C"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10/06/24</w:t>
            </w:r>
          </w:p>
        </w:tc>
        <w:tc>
          <w:tcPr>
            <w:tcW w:w="709" w:type="dxa"/>
            <w:tcBorders>
              <w:top w:val="nil"/>
              <w:left w:val="nil"/>
              <w:bottom w:val="nil"/>
              <w:right w:val="nil"/>
            </w:tcBorders>
            <w:shd w:val="clear" w:color="000000" w:fill="FFFFFF"/>
            <w:noWrap/>
            <w:vAlign w:val="center"/>
            <w:hideMark/>
          </w:tcPr>
          <w:p w14:paraId="42ABDF96"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56AD4366"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139,406</w:t>
            </w:r>
          </w:p>
        </w:tc>
        <w:tc>
          <w:tcPr>
            <w:tcW w:w="1077" w:type="dxa"/>
            <w:tcBorders>
              <w:top w:val="nil"/>
              <w:left w:val="nil"/>
              <w:bottom w:val="nil"/>
              <w:right w:val="nil"/>
            </w:tcBorders>
            <w:shd w:val="clear" w:color="000000" w:fill="FFFFFF"/>
            <w:vAlign w:val="center"/>
            <w:hideMark/>
          </w:tcPr>
          <w:p w14:paraId="4FFF8BF3"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416</w:t>
            </w:r>
          </w:p>
        </w:tc>
        <w:tc>
          <w:tcPr>
            <w:tcW w:w="964" w:type="dxa"/>
            <w:tcBorders>
              <w:top w:val="nil"/>
              <w:left w:val="nil"/>
              <w:bottom w:val="nil"/>
              <w:right w:val="nil"/>
            </w:tcBorders>
            <w:shd w:val="clear" w:color="000000" w:fill="FFFFFF"/>
            <w:vAlign w:val="center"/>
            <w:hideMark/>
          </w:tcPr>
          <w:p w14:paraId="19A8D8B3"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4,139</w:t>
            </w:r>
          </w:p>
        </w:tc>
        <w:tc>
          <w:tcPr>
            <w:tcW w:w="964" w:type="dxa"/>
            <w:tcBorders>
              <w:top w:val="nil"/>
              <w:left w:val="nil"/>
              <w:bottom w:val="nil"/>
              <w:right w:val="nil"/>
            </w:tcBorders>
            <w:shd w:val="clear" w:color="000000" w:fill="FFFFFF"/>
            <w:vAlign w:val="center"/>
            <w:hideMark/>
          </w:tcPr>
          <w:p w14:paraId="7D8E0252"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143,961</w:t>
            </w:r>
          </w:p>
        </w:tc>
        <w:tc>
          <w:tcPr>
            <w:tcW w:w="1077" w:type="dxa"/>
            <w:tcBorders>
              <w:top w:val="nil"/>
              <w:left w:val="nil"/>
              <w:bottom w:val="nil"/>
              <w:right w:val="nil"/>
            </w:tcBorders>
            <w:shd w:val="clear" w:color="000000" w:fill="FFFFFF"/>
            <w:vAlign w:val="center"/>
            <w:hideMark/>
          </w:tcPr>
          <w:p w14:paraId="4BFC05F0"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46,747</w:t>
            </w:r>
          </w:p>
        </w:tc>
        <w:tc>
          <w:tcPr>
            <w:tcW w:w="964" w:type="dxa"/>
            <w:tcBorders>
              <w:top w:val="nil"/>
              <w:left w:val="nil"/>
              <w:bottom w:val="nil"/>
              <w:right w:val="nil"/>
            </w:tcBorders>
            <w:shd w:val="clear" w:color="000000" w:fill="FFFFFF"/>
            <w:vAlign w:val="center"/>
            <w:hideMark/>
          </w:tcPr>
          <w:p w14:paraId="1E7CB5A9"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190,708</w:t>
            </w:r>
          </w:p>
        </w:tc>
      </w:tr>
      <w:tr w:rsidR="00F7425B" w:rsidRPr="00A95B59" w14:paraId="5B050C7C" w14:textId="77777777" w:rsidTr="005E7A69">
        <w:trPr>
          <w:trHeight w:val="454"/>
        </w:trPr>
        <w:tc>
          <w:tcPr>
            <w:tcW w:w="2268" w:type="dxa"/>
            <w:tcBorders>
              <w:top w:val="nil"/>
              <w:left w:val="nil"/>
              <w:bottom w:val="nil"/>
              <w:right w:val="nil"/>
            </w:tcBorders>
            <w:shd w:val="clear" w:color="000000" w:fill="FFFFFF"/>
            <w:noWrap/>
            <w:vAlign w:val="center"/>
            <w:hideMark/>
          </w:tcPr>
          <w:p w14:paraId="2B984EBA"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Assistant Chief Constable Protective Services</w:t>
            </w:r>
          </w:p>
        </w:tc>
        <w:tc>
          <w:tcPr>
            <w:tcW w:w="709" w:type="dxa"/>
            <w:tcBorders>
              <w:top w:val="nil"/>
              <w:left w:val="nil"/>
              <w:bottom w:val="nil"/>
              <w:right w:val="nil"/>
            </w:tcBorders>
            <w:shd w:val="clear" w:color="000000" w:fill="FFFFFF"/>
            <w:noWrap/>
            <w:vAlign w:val="center"/>
            <w:hideMark/>
          </w:tcPr>
          <w:p w14:paraId="0D10F2DD"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10/06/24</w:t>
            </w:r>
          </w:p>
        </w:tc>
        <w:tc>
          <w:tcPr>
            <w:tcW w:w="709" w:type="dxa"/>
            <w:tcBorders>
              <w:top w:val="nil"/>
              <w:left w:val="nil"/>
              <w:bottom w:val="nil"/>
              <w:right w:val="nil"/>
            </w:tcBorders>
            <w:shd w:val="clear" w:color="000000" w:fill="FFFFFF"/>
            <w:noWrap/>
            <w:vAlign w:val="center"/>
            <w:hideMark/>
          </w:tcPr>
          <w:p w14:paraId="5E41D217"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1E2592FA"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95,646</w:t>
            </w:r>
          </w:p>
        </w:tc>
        <w:tc>
          <w:tcPr>
            <w:tcW w:w="1077" w:type="dxa"/>
            <w:tcBorders>
              <w:top w:val="nil"/>
              <w:left w:val="nil"/>
              <w:bottom w:val="nil"/>
              <w:right w:val="nil"/>
            </w:tcBorders>
            <w:shd w:val="clear" w:color="000000" w:fill="FFFFFF"/>
            <w:vAlign w:val="center"/>
            <w:hideMark/>
          </w:tcPr>
          <w:p w14:paraId="22843366"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122</w:t>
            </w:r>
          </w:p>
        </w:tc>
        <w:tc>
          <w:tcPr>
            <w:tcW w:w="964" w:type="dxa"/>
            <w:tcBorders>
              <w:top w:val="nil"/>
              <w:left w:val="nil"/>
              <w:bottom w:val="nil"/>
              <w:right w:val="nil"/>
            </w:tcBorders>
            <w:shd w:val="clear" w:color="000000" w:fill="FFFFFF"/>
            <w:vAlign w:val="center"/>
            <w:hideMark/>
          </w:tcPr>
          <w:p w14:paraId="44B49AD5"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3,465</w:t>
            </w:r>
          </w:p>
        </w:tc>
        <w:tc>
          <w:tcPr>
            <w:tcW w:w="964" w:type="dxa"/>
            <w:tcBorders>
              <w:top w:val="nil"/>
              <w:left w:val="nil"/>
              <w:bottom w:val="nil"/>
              <w:right w:val="nil"/>
            </w:tcBorders>
            <w:shd w:val="clear" w:color="000000" w:fill="FFFFFF"/>
            <w:vAlign w:val="center"/>
            <w:hideMark/>
          </w:tcPr>
          <w:p w14:paraId="5FA4C1DB"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99,233</w:t>
            </w:r>
          </w:p>
        </w:tc>
        <w:tc>
          <w:tcPr>
            <w:tcW w:w="1077" w:type="dxa"/>
            <w:tcBorders>
              <w:top w:val="nil"/>
              <w:left w:val="nil"/>
              <w:bottom w:val="nil"/>
              <w:right w:val="nil"/>
            </w:tcBorders>
            <w:shd w:val="clear" w:color="000000" w:fill="FFFFFF"/>
            <w:vAlign w:val="center"/>
            <w:hideMark/>
          </w:tcPr>
          <w:p w14:paraId="4EADDEA7"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35,313</w:t>
            </w:r>
          </w:p>
        </w:tc>
        <w:tc>
          <w:tcPr>
            <w:tcW w:w="964" w:type="dxa"/>
            <w:tcBorders>
              <w:top w:val="nil"/>
              <w:left w:val="nil"/>
              <w:bottom w:val="nil"/>
              <w:right w:val="nil"/>
            </w:tcBorders>
            <w:shd w:val="clear" w:color="000000" w:fill="FFFFFF"/>
            <w:vAlign w:val="center"/>
            <w:hideMark/>
          </w:tcPr>
          <w:p w14:paraId="7F437C50"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134,546</w:t>
            </w:r>
          </w:p>
        </w:tc>
      </w:tr>
      <w:tr w:rsidR="00F7425B" w:rsidRPr="00A95B59" w14:paraId="779CF3AD" w14:textId="77777777" w:rsidTr="005E7A69">
        <w:trPr>
          <w:trHeight w:val="454"/>
        </w:trPr>
        <w:tc>
          <w:tcPr>
            <w:tcW w:w="2268" w:type="dxa"/>
            <w:tcBorders>
              <w:top w:val="nil"/>
              <w:left w:val="nil"/>
              <w:bottom w:val="nil"/>
              <w:right w:val="nil"/>
            </w:tcBorders>
            <w:shd w:val="clear" w:color="000000" w:fill="FFFFFF"/>
            <w:noWrap/>
            <w:vAlign w:val="center"/>
            <w:hideMark/>
          </w:tcPr>
          <w:p w14:paraId="6BBCE1F6"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Assistant Chief Constable Local Policing</w:t>
            </w:r>
          </w:p>
        </w:tc>
        <w:tc>
          <w:tcPr>
            <w:tcW w:w="709" w:type="dxa"/>
            <w:tcBorders>
              <w:top w:val="nil"/>
              <w:left w:val="nil"/>
              <w:bottom w:val="nil"/>
              <w:right w:val="nil"/>
            </w:tcBorders>
            <w:shd w:val="clear" w:color="000000" w:fill="FFFFFF"/>
            <w:noWrap/>
            <w:vAlign w:val="center"/>
            <w:hideMark/>
          </w:tcPr>
          <w:p w14:paraId="4835904E"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10/06/24</w:t>
            </w:r>
          </w:p>
        </w:tc>
        <w:tc>
          <w:tcPr>
            <w:tcW w:w="709" w:type="dxa"/>
            <w:tcBorders>
              <w:top w:val="nil"/>
              <w:left w:val="nil"/>
              <w:bottom w:val="nil"/>
              <w:right w:val="nil"/>
            </w:tcBorders>
            <w:shd w:val="clear" w:color="000000" w:fill="FFFFFF"/>
            <w:noWrap/>
            <w:vAlign w:val="center"/>
            <w:hideMark/>
          </w:tcPr>
          <w:p w14:paraId="49EDD694"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444DC83A"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117,085</w:t>
            </w:r>
          </w:p>
        </w:tc>
        <w:tc>
          <w:tcPr>
            <w:tcW w:w="1077" w:type="dxa"/>
            <w:tcBorders>
              <w:top w:val="nil"/>
              <w:left w:val="nil"/>
              <w:bottom w:val="nil"/>
              <w:right w:val="nil"/>
            </w:tcBorders>
            <w:shd w:val="clear" w:color="000000" w:fill="FFFFFF"/>
            <w:vAlign w:val="center"/>
            <w:hideMark/>
          </w:tcPr>
          <w:p w14:paraId="77073873"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69</w:t>
            </w:r>
          </w:p>
        </w:tc>
        <w:tc>
          <w:tcPr>
            <w:tcW w:w="964" w:type="dxa"/>
            <w:tcBorders>
              <w:top w:val="nil"/>
              <w:left w:val="nil"/>
              <w:bottom w:val="nil"/>
              <w:right w:val="nil"/>
            </w:tcBorders>
            <w:shd w:val="clear" w:color="000000" w:fill="FFFFFF"/>
            <w:vAlign w:val="center"/>
            <w:hideMark/>
          </w:tcPr>
          <w:p w14:paraId="6B0D9CBE"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3,758</w:t>
            </w:r>
          </w:p>
        </w:tc>
        <w:tc>
          <w:tcPr>
            <w:tcW w:w="964" w:type="dxa"/>
            <w:tcBorders>
              <w:top w:val="nil"/>
              <w:left w:val="nil"/>
              <w:bottom w:val="nil"/>
              <w:right w:val="nil"/>
            </w:tcBorders>
            <w:shd w:val="clear" w:color="000000" w:fill="FFFFFF"/>
            <w:vAlign w:val="center"/>
            <w:hideMark/>
          </w:tcPr>
          <w:p w14:paraId="044326BA"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120,912</w:t>
            </w:r>
          </w:p>
        </w:tc>
        <w:tc>
          <w:tcPr>
            <w:tcW w:w="1077" w:type="dxa"/>
            <w:tcBorders>
              <w:top w:val="nil"/>
              <w:left w:val="nil"/>
              <w:bottom w:val="nil"/>
              <w:right w:val="nil"/>
            </w:tcBorders>
            <w:shd w:val="clear" w:color="000000" w:fill="FFFFFF"/>
            <w:vAlign w:val="center"/>
            <w:hideMark/>
          </w:tcPr>
          <w:p w14:paraId="1F31713C"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37,881</w:t>
            </w:r>
          </w:p>
        </w:tc>
        <w:tc>
          <w:tcPr>
            <w:tcW w:w="964" w:type="dxa"/>
            <w:tcBorders>
              <w:top w:val="nil"/>
              <w:left w:val="nil"/>
              <w:bottom w:val="nil"/>
              <w:right w:val="nil"/>
            </w:tcBorders>
            <w:shd w:val="clear" w:color="000000" w:fill="FFFFFF"/>
            <w:vAlign w:val="center"/>
            <w:hideMark/>
          </w:tcPr>
          <w:p w14:paraId="46D1BF19"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158,793</w:t>
            </w:r>
          </w:p>
        </w:tc>
      </w:tr>
      <w:tr w:rsidR="00F7425B" w:rsidRPr="00A95B59" w14:paraId="50CA1E0D" w14:textId="77777777" w:rsidTr="005E7A69">
        <w:trPr>
          <w:trHeight w:val="454"/>
        </w:trPr>
        <w:tc>
          <w:tcPr>
            <w:tcW w:w="2268" w:type="dxa"/>
            <w:tcBorders>
              <w:top w:val="nil"/>
              <w:left w:val="nil"/>
              <w:bottom w:val="nil"/>
              <w:right w:val="nil"/>
            </w:tcBorders>
            <w:shd w:val="clear" w:color="000000" w:fill="FFFFFF"/>
            <w:noWrap/>
            <w:vAlign w:val="center"/>
            <w:hideMark/>
          </w:tcPr>
          <w:p w14:paraId="5B3D2CA1"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Assistant Chief Officer</w:t>
            </w:r>
          </w:p>
        </w:tc>
        <w:tc>
          <w:tcPr>
            <w:tcW w:w="709" w:type="dxa"/>
            <w:tcBorders>
              <w:top w:val="nil"/>
              <w:left w:val="nil"/>
              <w:bottom w:val="nil"/>
              <w:right w:val="nil"/>
            </w:tcBorders>
            <w:shd w:val="clear" w:color="000000" w:fill="FFFFFF"/>
            <w:noWrap/>
            <w:vAlign w:val="center"/>
            <w:hideMark/>
          </w:tcPr>
          <w:p w14:paraId="54E61532"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01/12/20</w:t>
            </w:r>
          </w:p>
        </w:tc>
        <w:tc>
          <w:tcPr>
            <w:tcW w:w="709" w:type="dxa"/>
            <w:tcBorders>
              <w:top w:val="nil"/>
              <w:left w:val="nil"/>
              <w:bottom w:val="nil"/>
              <w:right w:val="nil"/>
            </w:tcBorders>
            <w:shd w:val="clear" w:color="000000" w:fill="FFFFFF"/>
            <w:noWrap/>
            <w:vAlign w:val="center"/>
            <w:hideMark/>
          </w:tcPr>
          <w:p w14:paraId="19C810E8"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2B3D63C8"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131,101</w:t>
            </w:r>
          </w:p>
        </w:tc>
        <w:tc>
          <w:tcPr>
            <w:tcW w:w="1077" w:type="dxa"/>
            <w:tcBorders>
              <w:top w:val="nil"/>
              <w:left w:val="nil"/>
              <w:bottom w:val="nil"/>
              <w:right w:val="nil"/>
            </w:tcBorders>
            <w:shd w:val="clear" w:color="000000" w:fill="FFFFFF"/>
            <w:vAlign w:val="center"/>
            <w:hideMark/>
          </w:tcPr>
          <w:p w14:paraId="6D29BEC7"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7588D14D"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7,677</w:t>
            </w:r>
          </w:p>
        </w:tc>
        <w:tc>
          <w:tcPr>
            <w:tcW w:w="964" w:type="dxa"/>
            <w:tcBorders>
              <w:top w:val="nil"/>
              <w:left w:val="nil"/>
              <w:bottom w:val="nil"/>
              <w:right w:val="nil"/>
            </w:tcBorders>
            <w:shd w:val="clear" w:color="000000" w:fill="FFFFFF"/>
            <w:vAlign w:val="center"/>
            <w:hideMark/>
          </w:tcPr>
          <w:p w14:paraId="1CD25E4D"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138,778</w:t>
            </w:r>
          </w:p>
        </w:tc>
        <w:tc>
          <w:tcPr>
            <w:tcW w:w="1077" w:type="dxa"/>
            <w:tcBorders>
              <w:top w:val="nil"/>
              <w:left w:val="nil"/>
              <w:bottom w:val="nil"/>
              <w:right w:val="nil"/>
            </w:tcBorders>
            <w:shd w:val="clear" w:color="000000" w:fill="FFFFFF"/>
            <w:vAlign w:val="center"/>
            <w:hideMark/>
          </w:tcPr>
          <w:p w14:paraId="4D787608"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25,302</w:t>
            </w:r>
          </w:p>
        </w:tc>
        <w:tc>
          <w:tcPr>
            <w:tcW w:w="964" w:type="dxa"/>
            <w:tcBorders>
              <w:top w:val="nil"/>
              <w:left w:val="nil"/>
              <w:bottom w:val="nil"/>
              <w:right w:val="nil"/>
            </w:tcBorders>
            <w:shd w:val="clear" w:color="000000" w:fill="FFFFFF"/>
            <w:vAlign w:val="center"/>
            <w:hideMark/>
          </w:tcPr>
          <w:p w14:paraId="2154E461"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164,080</w:t>
            </w:r>
          </w:p>
        </w:tc>
      </w:tr>
      <w:tr w:rsidR="00F7425B" w:rsidRPr="00A95B59" w14:paraId="2899F0CD" w14:textId="77777777" w:rsidTr="005E7A69">
        <w:trPr>
          <w:trHeight w:val="454"/>
        </w:trPr>
        <w:tc>
          <w:tcPr>
            <w:tcW w:w="2268" w:type="dxa"/>
            <w:tcBorders>
              <w:top w:val="nil"/>
              <w:left w:val="nil"/>
              <w:bottom w:val="nil"/>
              <w:right w:val="nil"/>
            </w:tcBorders>
            <w:shd w:val="clear" w:color="000000" w:fill="FFFFFF"/>
            <w:noWrap/>
            <w:vAlign w:val="center"/>
            <w:hideMark/>
          </w:tcPr>
          <w:p w14:paraId="74EFB721"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Chief Superintendent</w:t>
            </w:r>
          </w:p>
        </w:tc>
        <w:tc>
          <w:tcPr>
            <w:tcW w:w="709" w:type="dxa"/>
            <w:tcBorders>
              <w:top w:val="nil"/>
              <w:left w:val="nil"/>
              <w:bottom w:val="nil"/>
              <w:right w:val="nil"/>
            </w:tcBorders>
            <w:shd w:val="clear" w:color="000000" w:fill="FFFFFF"/>
            <w:noWrap/>
            <w:vAlign w:val="center"/>
            <w:hideMark/>
          </w:tcPr>
          <w:p w14:paraId="2B516819"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01/10/18</w:t>
            </w:r>
          </w:p>
        </w:tc>
        <w:tc>
          <w:tcPr>
            <w:tcW w:w="709" w:type="dxa"/>
            <w:tcBorders>
              <w:top w:val="nil"/>
              <w:left w:val="nil"/>
              <w:bottom w:val="nil"/>
              <w:right w:val="nil"/>
            </w:tcBorders>
            <w:shd w:val="clear" w:color="000000" w:fill="FFFFFF"/>
            <w:noWrap/>
            <w:vAlign w:val="center"/>
            <w:hideMark/>
          </w:tcPr>
          <w:p w14:paraId="6D134B57"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183E34A8"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10,392</w:t>
            </w:r>
          </w:p>
        </w:tc>
        <w:tc>
          <w:tcPr>
            <w:tcW w:w="1077" w:type="dxa"/>
            <w:tcBorders>
              <w:top w:val="nil"/>
              <w:left w:val="nil"/>
              <w:bottom w:val="nil"/>
              <w:right w:val="nil"/>
            </w:tcBorders>
            <w:shd w:val="clear" w:color="000000" w:fill="FFFFFF"/>
            <w:vAlign w:val="center"/>
            <w:hideMark/>
          </w:tcPr>
          <w:p w14:paraId="2576C1D0"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57F6058E"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368</w:t>
            </w:r>
          </w:p>
        </w:tc>
        <w:tc>
          <w:tcPr>
            <w:tcW w:w="964" w:type="dxa"/>
            <w:tcBorders>
              <w:top w:val="nil"/>
              <w:left w:val="nil"/>
              <w:bottom w:val="nil"/>
              <w:right w:val="nil"/>
            </w:tcBorders>
            <w:shd w:val="clear" w:color="000000" w:fill="FFFFFF"/>
            <w:vAlign w:val="center"/>
            <w:hideMark/>
          </w:tcPr>
          <w:p w14:paraId="143FECE2"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10,760</w:t>
            </w:r>
          </w:p>
        </w:tc>
        <w:tc>
          <w:tcPr>
            <w:tcW w:w="1077" w:type="dxa"/>
            <w:tcBorders>
              <w:top w:val="nil"/>
              <w:left w:val="nil"/>
              <w:bottom w:val="nil"/>
              <w:right w:val="nil"/>
            </w:tcBorders>
            <w:shd w:val="clear" w:color="000000" w:fill="FFFFFF"/>
            <w:vAlign w:val="center"/>
            <w:hideMark/>
          </w:tcPr>
          <w:p w14:paraId="736F5AD6"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3,625</w:t>
            </w:r>
          </w:p>
        </w:tc>
        <w:tc>
          <w:tcPr>
            <w:tcW w:w="964" w:type="dxa"/>
            <w:tcBorders>
              <w:top w:val="nil"/>
              <w:left w:val="nil"/>
              <w:bottom w:val="nil"/>
              <w:right w:val="nil"/>
            </w:tcBorders>
            <w:shd w:val="clear" w:color="000000" w:fill="FFFFFF"/>
            <w:vAlign w:val="center"/>
            <w:hideMark/>
          </w:tcPr>
          <w:p w14:paraId="11FCC18D"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14,385</w:t>
            </w:r>
          </w:p>
        </w:tc>
      </w:tr>
      <w:tr w:rsidR="00F7425B" w:rsidRPr="00A95B59" w14:paraId="45142A2E" w14:textId="77777777" w:rsidTr="005E7A69">
        <w:trPr>
          <w:trHeight w:val="454"/>
        </w:trPr>
        <w:tc>
          <w:tcPr>
            <w:tcW w:w="2268" w:type="dxa"/>
            <w:tcBorders>
              <w:top w:val="nil"/>
              <w:left w:val="nil"/>
              <w:bottom w:val="nil"/>
              <w:right w:val="nil"/>
            </w:tcBorders>
            <w:shd w:val="clear" w:color="000000" w:fill="FFFFFF"/>
            <w:noWrap/>
            <w:vAlign w:val="center"/>
            <w:hideMark/>
          </w:tcPr>
          <w:p w14:paraId="34B7B341"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Chief Superintendent</w:t>
            </w:r>
          </w:p>
        </w:tc>
        <w:tc>
          <w:tcPr>
            <w:tcW w:w="709" w:type="dxa"/>
            <w:tcBorders>
              <w:top w:val="nil"/>
              <w:left w:val="nil"/>
              <w:bottom w:val="nil"/>
              <w:right w:val="nil"/>
            </w:tcBorders>
            <w:shd w:val="clear" w:color="000000" w:fill="FFFFFF"/>
            <w:noWrap/>
            <w:vAlign w:val="center"/>
            <w:hideMark/>
          </w:tcPr>
          <w:p w14:paraId="066482BC"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17/09/21</w:t>
            </w:r>
          </w:p>
        </w:tc>
        <w:tc>
          <w:tcPr>
            <w:tcW w:w="709" w:type="dxa"/>
            <w:tcBorders>
              <w:top w:val="nil"/>
              <w:left w:val="nil"/>
              <w:bottom w:val="nil"/>
              <w:right w:val="nil"/>
            </w:tcBorders>
            <w:shd w:val="clear" w:color="000000" w:fill="FFFFFF"/>
            <w:noWrap/>
            <w:vAlign w:val="center"/>
            <w:hideMark/>
          </w:tcPr>
          <w:p w14:paraId="58F809A9"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3E978E68"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110,662</w:t>
            </w:r>
          </w:p>
        </w:tc>
        <w:tc>
          <w:tcPr>
            <w:tcW w:w="1077" w:type="dxa"/>
            <w:tcBorders>
              <w:top w:val="nil"/>
              <w:left w:val="nil"/>
              <w:bottom w:val="nil"/>
              <w:right w:val="nil"/>
            </w:tcBorders>
            <w:shd w:val="clear" w:color="000000" w:fill="FFFFFF"/>
            <w:vAlign w:val="center"/>
            <w:hideMark/>
          </w:tcPr>
          <w:p w14:paraId="573F08D7"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86</w:t>
            </w:r>
          </w:p>
        </w:tc>
        <w:tc>
          <w:tcPr>
            <w:tcW w:w="964" w:type="dxa"/>
            <w:tcBorders>
              <w:top w:val="nil"/>
              <w:left w:val="nil"/>
              <w:bottom w:val="nil"/>
              <w:right w:val="nil"/>
            </w:tcBorders>
            <w:shd w:val="clear" w:color="000000" w:fill="FFFFFF"/>
            <w:vAlign w:val="center"/>
            <w:hideMark/>
          </w:tcPr>
          <w:p w14:paraId="284310E0"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2FEB2303"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110,748</w:t>
            </w:r>
          </w:p>
        </w:tc>
        <w:tc>
          <w:tcPr>
            <w:tcW w:w="1077" w:type="dxa"/>
            <w:tcBorders>
              <w:top w:val="nil"/>
              <w:left w:val="nil"/>
              <w:bottom w:val="nil"/>
              <w:right w:val="nil"/>
            </w:tcBorders>
            <w:shd w:val="clear" w:color="000000" w:fill="FFFFFF"/>
            <w:vAlign w:val="center"/>
            <w:hideMark/>
          </w:tcPr>
          <w:p w14:paraId="6AAB086C"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38,066</w:t>
            </w:r>
          </w:p>
        </w:tc>
        <w:tc>
          <w:tcPr>
            <w:tcW w:w="964" w:type="dxa"/>
            <w:tcBorders>
              <w:top w:val="nil"/>
              <w:left w:val="nil"/>
              <w:bottom w:val="nil"/>
              <w:right w:val="nil"/>
            </w:tcBorders>
            <w:shd w:val="clear" w:color="000000" w:fill="FFFFFF"/>
            <w:vAlign w:val="center"/>
            <w:hideMark/>
          </w:tcPr>
          <w:p w14:paraId="3E6F0B60"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148,814</w:t>
            </w:r>
          </w:p>
        </w:tc>
      </w:tr>
      <w:tr w:rsidR="00F7425B" w:rsidRPr="00A95B59" w14:paraId="57572275" w14:textId="77777777" w:rsidTr="005E7A69">
        <w:trPr>
          <w:trHeight w:val="454"/>
        </w:trPr>
        <w:tc>
          <w:tcPr>
            <w:tcW w:w="2268" w:type="dxa"/>
            <w:tcBorders>
              <w:top w:val="nil"/>
              <w:left w:val="nil"/>
              <w:bottom w:val="nil"/>
              <w:right w:val="nil"/>
            </w:tcBorders>
            <w:shd w:val="clear" w:color="000000" w:fill="FFFFFF"/>
            <w:noWrap/>
            <w:vAlign w:val="center"/>
            <w:hideMark/>
          </w:tcPr>
          <w:p w14:paraId="31A30B6A"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Chief People Officer</w:t>
            </w:r>
          </w:p>
        </w:tc>
        <w:tc>
          <w:tcPr>
            <w:tcW w:w="709" w:type="dxa"/>
            <w:tcBorders>
              <w:top w:val="nil"/>
              <w:left w:val="nil"/>
              <w:bottom w:val="nil"/>
              <w:right w:val="nil"/>
            </w:tcBorders>
            <w:shd w:val="clear" w:color="000000" w:fill="FFFFFF"/>
            <w:noWrap/>
            <w:vAlign w:val="center"/>
            <w:hideMark/>
          </w:tcPr>
          <w:p w14:paraId="56F9C024"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03/04/23</w:t>
            </w:r>
          </w:p>
        </w:tc>
        <w:tc>
          <w:tcPr>
            <w:tcW w:w="709" w:type="dxa"/>
            <w:tcBorders>
              <w:top w:val="nil"/>
              <w:left w:val="nil"/>
              <w:bottom w:val="nil"/>
              <w:right w:val="nil"/>
            </w:tcBorders>
            <w:shd w:val="clear" w:color="000000" w:fill="FFFFFF"/>
            <w:noWrap/>
            <w:vAlign w:val="center"/>
            <w:hideMark/>
          </w:tcPr>
          <w:p w14:paraId="464D0EBA"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153AD3C2"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92,408</w:t>
            </w:r>
          </w:p>
        </w:tc>
        <w:tc>
          <w:tcPr>
            <w:tcW w:w="1077" w:type="dxa"/>
            <w:tcBorders>
              <w:top w:val="nil"/>
              <w:left w:val="nil"/>
              <w:bottom w:val="nil"/>
              <w:right w:val="nil"/>
            </w:tcBorders>
            <w:shd w:val="clear" w:color="000000" w:fill="FFFFFF"/>
            <w:vAlign w:val="center"/>
            <w:hideMark/>
          </w:tcPr>
          <w:p w14:paraId="0CDA7952"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346CE8FA"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51327C69"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92,408</w:t>
            </w:r>
          </w:p>
        </w:tc>
        <w:tc>
          <w:tcPr>
            <w:tcW w:w="1077" w:type="dxa"/>
            <w:tcBorders>
              <w:top w:val="nil"/>
              <w:left w:val="nil"/>
              <w:bottom w:val="nil"/>
              <w:right w:val="nil"/>
            </w:tcBorders>
            <w:shd w:val="clear" w:color="000000" w:fill="FFFFFF"/>
            <w:vAlign w:val="center"/>
            <w:hideMark/>
          </w:tcPr>
          <w:p w14:paraId="18DBADD3"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17,835</w:t>
            </w:r>
          </w:p>
        </w:tc>
        <w:tc>
          <w:tcPr>
            <w:tcW w:w="964" w:type="dxa"/>
            <w:tcBorders>
              <w:top w:val="nil"/>
              <w:left w:val="nil"/>
              <w:bottom w:val="nil"/>
              <w:right w:val="nil"/>
            </w:tcBorders>
            <w:shd w:val="clear" w:color="000000" w:fill="FFFFFF"/>
            <w:vAlign w:val="center"/>
            <w:hideMark/>
          </w:tcPr>
          <w:p w14:paraId="3EA83DC9"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110,243</w:t>
            </w:r>
          </w:p>
        </w:tc>
      </w:tr>
      <w:tr w:rsidR="00F7425B" w:rsidRPr="00A95B59" w14:paraId="4BC5E465" w14:textId="77777777" w:rsidTr="005E7A69">
        <w:trPr>
          <w:trHeight w:val="454"/>
        </w:trPr>
        <w:tc>
          <w:tcPr>
            <w:tcW w:w="2268" w:type="dxa"/>
            <w:tcBorders>
              <w:top w:val="nil"/>
              <w:left w:val="nil"/>
              <w:bottom w:val="nil"/>
              <w:right w:val="nil"/>
            </w:tcBorders>
            <w:shd w:val="clear" w:color="000000" w:fill="FFFFFF"/>
            <w:noWrap/>
            <w:vAlign w:val="center"/>
            <w:hideMark/>
          </w:tcPr>
          <w:p w14:paraId="44D1C58F" w14:textId="77777777" w:rsidR="00A95B59" w:rsidRPr="00A95B59" w:rsidRDefault="00A95B59" w:rsidP="00A95B59">
            <w:pPr>
              <w:spacing w:after="0" w:line="240" w:lineRule="auto"/>
              <w:jc w:val="left"/>
              <w:rPr>
                <w:rFonts w:eastAsia="Times New Roman" w:cs="Calibri"/>
                <w:color w:val="auto"/>
                <w:sz w:val="16"/>
                <w:szCs w:val="16"/>
                <w:lang w:eastAsia="en-GB"/>
              </w:rPr>
            </w:pPr>
            <w:r w:rsidRPr="00A95B59">
              <w:rPr>
                <w:rFonts w:eastAsia="Times New Roman" w:cs="Calibri"/>
                <w:color w:val="auto"/>
                <w:sz w:val="16"/>
                <w:szCs w:val="16"/>
                <w:lang w:eastAsia="en-GB"/>
              </w:rPr>
              <w:t>Chief Finance Officer (OCC)</w:t>
            </w:r>
            <w:r w:rsidRPr="00A95B59">
              <w:rPr>
                <w:rFonts w:eastAsia="Times New Roman" w:cs="Calibri"/>
                <w:color w:val="auto"/>
                <w:sz w:val="16"/>
                <w:szCs w:val="16"/>
                <w:vertAlign w:val="superscript"/>
                <w:lang w:eastAsia="en-GB"/>
              </w:rPr>
              <w:t>5</w:t>
            </w:r>
          </w:p>
        </w:tc>
        <w:tc>
          <w:tcPr>
            <w:tcW w:w="709" w:type="dxa"/>
            <w:tcBorders>
              <w:top w:val="nil"/>
              <w:left w:val="nil"/>
              <w:bottom w:val="nil"/>
              <w:right w:val="nil"/>
            </w:tcBorders>
            <w:shd w:val="clear" w:color="000000" w:fill="FFFFFF"/>
            <w:noWrap/>
            <w:vAlign w:val="center"/>
            <w:hideMark/>
          </w:tcPr>
          <w:p w14:paraId="3E94DDBC" w14:textId="77777777" w:rsidR="00A95B59" w:rsidRPr="00A95B59" w:rsidRDefault="00A95B59" w:rsidP="005E7A69">
            <w:pPr>
              <w:spacing w:after="0" w:line="240" w:lineRule="auto"/>
              <w:ind w:left="-107" w:right="-106"/>
              <w:jc w:val="right"/>
              <w:rPr>
                <w:rFonts w:eastAsia="Times New Roman" w:cs="Calibri"/>
                <w:color w:val="auto"/>
                <w:sz w:val="16"/>
                <w:szCs w:val="16"/>
                <w:lang w:eastAsia="en-GB"/>
              </w:rPr>
            </w:pPr>
            <w:r w:rsidRPr="00A95B59">
              <w:rPr>
                <w:rFonts w:eastAsia="Times New Roman" w:cs="Calibri"/>
                <w:color w:val="auto"/>
                <w:sz w:val="16"/>
                <w:szCs w:val="16"/>
                <w:lang w:eastAsia="en-GB"/>
              </w:rPr>
              <w:t>22/12/23</w:t>
            </w:r>
          </w:p>
        </w:tc>
        <w:tc>
          <w:tcPr>
            <w:tcW w:w="709" w:type="dxa"/>
            <w:tcBorders>
              <w:top w:val="nil"/>
              <w:left w:val="nil"/>
              <w:bottom w:val="nil"/>
              <w:right w:val="nil"/>
            </w:tcBorders>
            <w:shd w:val="clear" w:color="000000" w:fill="FFFFFF"/>
            <w:noWrap/>
            <w:vAlign w:val="center"/>
            <w:hideMark/>
          </w:tcPr>
          <w:p w14:paraId="700B4684" w14:textId="77777777" w:rsidR="00A95B59" w:rsidRPr="00A95B59" w:rsidRDefault="00A95B59" w:rsidP="005E7A69">
            <w:pPr>
              <w:spacing w:after="0" w:line="240" w:lineRule="auto"/>
              <w:ind w:left="-109" w:right="-105"/>
              <w:jc w:val="right"/>
              <w:rPr>
                <w:rFonts w:eastAsia="Times New Roman" w:cs="Calibri"/>
                <w:color w:val="auto"/>
                <w:sz w:val="16"/>
                <w:szCs w:val="16"/>
                <w:lang w:eastAsia="en-GB"/>
              </w:rPr>
            </w:pPr>
            <w:r w:rsidRPr="00A95B59">
              <w:rPr>
                <w:rFonts w:eastAsia="Times New Roman" w:cs="Calibri"/>
                <w:color w:val="auto"/>
                <w:sz w:val="16"/>
                <w:szCs w:val="16"/>
                <w:lang w:eastAsia="en-GB"/>
              </w:rPr>
              <w:t> </w:t>
            </w:r>
          </w:p>
        </w:tc>
        <w:tc>
          <w:tcPr>
            <w:tcW w:w="964" w:type="dxa"/>
            <w:tcBorders>
              <w:top w:val="nil"/>
              <w:left w:val="nil"/>
              <w:bottom w:val="nil"/>
              <w:right w:val="nil"/>
            </w:tcBorders>
            <w:shd w:val="clear" w:color="000000" w:fill="FFFFFF"/>
            <w:vAlign w:val="center"/>
            <w:hideMark/>
          </w:tcPr>
          <w:p w14:paraId="7B9D3241"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96,545</w:t>
            </w:r>
          </w:p>
        </w:tc>
        <w:tc>
          <w:tcPr>
            <w:tcW w:w="1077" w:type="dxa"/>
            <w:tcBorders>
              <w:top w:val="nil"/>
              <w:left w:val="nil"/>
              <w:bottom w:val="nil"/>
              <w:right w:val="nil"/>
            </w:tcBorders>
            <w:shd w:val="clear" w:color="000000" w:fill="FFFFFF"/>
            <w:vAlign w:val="center"/>
            <w:hideMark/>
          </w:tcPr>
          <w:p w14:paraId="589DF500"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3ECCF7E9"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w:t>
            </w:r>
          </w:p>
        </w:tc>
        <w:tc>
          <w:tcPr>
            <w:tcW w:w="964" w:type="dxa"/>
            <w:tcBorders>
              <w:top w:val="nil"/>
              <w:left w:val="nil"/>
              <w:bottom w:val="nil"/>
              <w:right w:val="nil"/>
            </w:tcBorders>
            <w:shd w:val="clear" w:color="000000" w:fill="FFFFFF"/>
            <w:vAlign w:val="center"/>
            <w:hideMark/>
          </w:tcPr>
          <w:p w14:paraId="584F8999"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96,545</w:t>
            </w:r>
          </w:p>
        </w:tc>
        <w:tc>
          <w:tcPr>
            <w:tcW w:w="1077" w:type="dxa"/>
            <w:tcBorders>
              <w:top w:val="nil"/>
              <w:left w:val="nil"/>
              <w:bottom w:val="nil"/>
              <w:right w:val="nil"/>
            </w:tcBorders>
            <w:shd w:val="clear" w:color="000000" w:fill="FFFFFF"/>
            <w:vAlign w:val="center"/>
            <w:hideMark/>
          </w:tcPr>
          <w:p w14:paraId="7E5E9842"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18,648</w:t>
            </w:r>
          </w:p>
        </w:tc>
        <w:tc>
          <w:tcPr>
            <w:tcW w:w="964" w:type="dxa"/>
            <w:tcBorders>
              <w:top w:val="nil"/>
              <w:left w:val="nil"/>
              <w:bottom w:val="nil"/>
              <w:right w:val="nil"/>
            </w:tcBorders>
            <w:shd w:val="clear" w:color="000000" w:fill="FFFFFF"/>
            <w:vAlign w:val="center"/>
            <w:hideMark/>
          </w:tcPr>
          <w:p w14:paraId="0E04087A" w14:textId="77777777" w:rsidR="00A95B59" w:rsidRPr="00A95B59" w:rsidRDefault="00A95B59" w:rsidP="00A95B59">
            <w:pPr>
              <w:spacing w:after="0" w:line="240" w:lineRule="auto"/>
              <w:jc w:val="right"/>
              <w:rPr>
                <w:rFonts w:eastAsia="Times New Roman" w:cs="Calibri"/>
                <w:color w:val="auto"/>
                <w:sz w:val="16"/>
                <w:szCs w:val="16"/>
                <w:lang w:eastAsia="en-GB"/>
              </w:rPr>
            </w:pPr>
            <w:r w:rsidRPr="00A95B59">
              <w:rPr>
                <w:rFonts w:eastAsia="Times New Roman" w:cs="Calibri"/>
                <w:color w:val="auto"/>
                <w:sz w:val="16"/>
                <w:szCs w:val="16"/>
                <w:lang w:eastAsia="en-GB"/>
              </w:rPr>
              <w:t>115,193</w:t>
            </w:r>
          </w:p>
        </w:tc>
      </w:tr>
    </w:tbl>
    <w:p w14:paraId="49D0ACB7" w14:textId="294F4EE1" w:rsidR="004F654C" w:rsidRDefault="004F654C" w:rsidP="003356AE">
      <w:pPr>
        <w:spacing w:line="240" w:lineRule="auto"/>
        <w:rPr>
          <w:rFonts w:asciiTheme="minorHAnsi" w:hAnsiTheme="minorHAnsi"/>
          <w:color w:val="auto"/>
          <w:sz w:val="24"/>
          <w:lang w:val="en-US"/>
        </w:rPr>
      </w:pPr>
    </w:p>
    <w:p w14:paraId="621BED2E" w14:textId="2B241428" w:rsidR="00057A91" w:rsidRPr="00637873" w:rsidRDefault="00057A91" w:rsidP="003356AE">
      <w:pPr>
        <w:spacing w:line="240" w:lineRule="auto"/>
        <w:rPr>
          <w:sz w:val="16"/>
          <w:szCs w:val="16"/>
        </w:rPr>
      </w:pPr>
      <w:r w:rsidRPr="00637873">
        <w:rPr>
          <w:sz w:val="16"/>
          <w:szCs w:val="16"/>
          <w:vertAlign w:val="superscript"/>
        </w:rPr>
        <w:t>(1)</w:t>
      </w:r>
      <w:r w:rsidRPr="00637873">
        <w:rPr>
          <w:sz w:val="16"/>
          <w:szCs w:val="16"/>
        </w:rPr>
        <w:t xml:space="preserve"> Expenses Allowances include taxable and non-taxable expenses</w:t>
      </w:r>
    </w:p>
    <w:p w14:paraId="6466D60D" w14:textId="54EE4557" w:rsidR="00057A91" w:rsidRPr="00637873" w:rsidRDefault="00057A91" w:rsidP="003356AE">
      <w:pPr>
        <w:spacing w:line="240" w:lineRule="auto"/>
        <w:rPr>
          <w:sz w:val="16"/>
          <w:szCs w:val="16"/>
        </w:rPr>
      </w:pPr>
      <w:r w:rsidRPr="00637873">
        <w:rPr>
          <w:rFonts w:eastAsia="Times New Roman" w:cs="Segoe UI"/>
          <w:color w:val="1A1A1A"/>
          <w:sz w:val="16"/>
          <w:szCs w:val="16"/>
          <w:vertAlign w:val="superscript"/>
          <w:lang w:eastAsia="en-GB"/>
        </w:rPr>
        <w:t>(2)</w:t>
      </w:r>
      <w:r w:rsidRPr="00637873">
        <w:rPr>
          <w:rFonts w:eastAsia="Times New Roman" w:cs="Segoe UI"/>
          <w:color w:val="1A1A1A"/>
          <w:sz w:val="16"/>
          <w:szCs w:val="16"/>
          <w:lang w:eastAsia="en-GB"/>
        </w:rPr>
        <w:t xml:space="preserve"> </w:t>
      </w:r>
      <w:r w:rsidRPr="00637873">
        <w:rPr>
          <w:sz w:val="16"/>
          <w:szCs w:val="16"/>
        </w:rPr>
        <w:t>Other includes Rent Allowance, Housing Allowance</w:t>
      </w:r>
      <w:r>
        <w:rPr>
          <w:sz w:val="16"/>
          <w:szCs w:val="16"/>
        </w:rPr>
        <w:t>,</w:t>
      </w:r>
      <w:r w:rsidRPr="00637873">
        <w:rPr>
          <w:sz w:val="16"/>
          <w:szCs w:val="16"/>
        </w:rPr>
        <w:t xml:space="preserve"> Car Allowance, Relocation Allowances</w:t>
      </w:r>
      <w:r>
        <w:rPr>
          <w:sz w:val="16"/>
          <w:szCs w:val="16"/>
        </w:rPr>
        <w:t>.</w:t>
      </w:r>
    </w:p>
    <w:p w14:paraId="504EB33F" w14:textId="4979F845" w:rsidR="008308D5" w:rsidRPr="00B40FC3" w:rsidRDefault="00B40FC3" w:rsidP="003356AE">
      <w:pPr>
        <w:spacing w:line="240" w:lineRule="auto"/>
        <w:rPr>
          <w:sz w:val="18"/>
          <w:szCs w:val="16"/>
        </w:rPr>
      </w:pPr>
      <w:r w:rsidRPr="00530462">
        <w:rPr>
          <w:rFonts w:eastAsia="Times New Roman" w:cs="Segoe UI"/>
          <w:color w:val="1A1A1A"/>
          <w:sz w:val="18"/>
          <w:szCs w:val="16"/>
          <w:vertAlign w:val="superscript"/>
          <w:lang w:eastAsia="en-GB"/>
        </w:rPr>
        <w:t>(</w:t>
      </w:r>
      <w:r>
        <w:rPr>
          <w:rFonts w:eastAsia="Times New Roman" w:cs="Segoe UI"/>
          <w:color w:val="1A1A1A"/>
          <w:sz w:val="18"/>
          <w:szCs w:val="16"/>
          <w:vertAlign w:val="superscript"/>
          <w:lang w:eastAsia="en-GB"/>
        </w:rPr>
        <w:t>3</w:t>
      </w:r>
      <w:r w:rsidRPr="00530462">
        <w:rPr>
          <w:rFonts w:eastAsia="Times New Roman" w:cs="Segoe UI"/>
          <w:color w:val="1A1A1A"/>
          <w:sz w:val="18"/>
          <w:szCs w:val="16"/>
          <w:vertAlign w:val="superscript"/>
          <w:lang w:eastAsia="en-GB"/>
        </w:rPr>
        <w:t>)</w:t>
      </w:r>
      <w:r>
        <w:rPr>
          <w:rFonts w:eastAsia="Times New Roman" w:cs="Segoe UI"/>
          <w:color w:val="1A1A1A"/>
          <w:sz w:val="18"/>
          <w:szCs w:val="16"/>
          <w:vertAlign w:val="superscript"/>
          <w:lang w:eastAsia="en-GB"/>
        </w:rPr>
        <w:t xml:space="preserve"> </w:t>
      </w:r>
      <w:r w:rsidRPr="008D613C">
        <w:rPr>
          <w:sz w:val="16"/>
          <w:szCs w:val="16"/>
        </w:rPr>
        <w:t>Nick Adderley, who served as Chief Constable from 6 August 2018, temporarily retired from Northamptonshire Police in February 2023, returning in April 2023.</w:t>
      </w:r>
      <w:r w:rsidR="006779E7">
        <w:rPr>
          <w:sz w:val="16"/>
          <w:szCs w:val="16"/>
        </w:rPr>
        <w:t xml:space="preserve"> </w:t>
      </w:r>
      <w:r w:rsidRPr="008D613C">
        <w:rPr>
          <w:sz w:val="16"/>
          <w:szCs w:val="16"/>
        </w:rPr>
        <w:t xml:space="preserve"> This brief break was necessitated by pension regulations affecting officers with 30 years of service, which would have otherwise made continued employment financially unviable.</w:t>
      </w:r>
    </w:p>
    <w:p w14:paraId="0C3C29C9" w14:textId="4CBA621D" w:rsidR="00A124B1" w:rsidRDefault="00057A91" w:rsidP="003356AE">
      <w:pPr>
        <w:spacing w:line="240" w:lineRule="auto"/>
        <w:rPr>
          <w:sz w:val="16"/>
          <w:szCs w:val="16"/>
        </w:rPr>
      </w:pPr>
      <w:r w:rsidRPr="00637873">
        <w:rPr>
          <w:rFonts w:eastAsia="Times New Roman" w:cs="Segoe UI"/>
          <w:color w:val="1A1A1A"/>
          <w:sz w:val="16"/>
          <w:szCs w:val="16"/>
          <w:vertAlign w:val="superscript"/>
          <w:lang w:eastAsia="en-GB"/>
        </w:rPr>
        <w:t>(</w:t>
      </w:r>
      <w:r w:rsidR="00921228">
        <w:rPr>
          <w:rFonts w:eastAsia="Times New Roman" w:cs="Segoe UI"/>
          <w:color w:val="1A1A1A"/>
          <w:sz w:val="16"/>
          <w:szCs w:val="16"/>
          <w:vertAlign w:val="superscript"/>
          <w:lang w:eastAsia="en-GB"/>
        </w:rPr>
        <w:t>4</w:t>
      </w:r>
      <w:r w:rsidRPr="00014F7A">
        <w:rPr>
          <w:rFonts w:eastAsia="Times New Roman" w:cs="Segoe UI"/>
          <w:color w:val="1A1A1A"/>
          <w:sz w:val="16"/>
          <w:szCs w:val="16"/>
          <w:vertAlign w:val="superscript"/>
          <w:lang w:eastAsia="en-GB"/>
        </w:rPr>
        <w:t>)</w:t>
      </w:r>
      <w:r w:rsidRPr="00014F7A">
        <w:rPr>
          <w:rFonts w:eastAsia="Times New Roman" w:cs="Segoe UI"/>
          <w:color w:val="1A1A1A"/>
          <w:sz w:val="16"/>
          <w:szCs w:val="16"/>
          <w:lang w:eastAsia="en-GB"/>
        </w:rPr>
        <w:t xml:space="preserve"> </w:t>
      </w:r>
      <w:r w:rsidR="00727732" w:rsidRPr="00727732">
        <w:rPr>
          <w:sz w:val="16"/>
          <w:szCs w:val="16"/>
        </w:rPr>
        <w:t>The Current Chief Constable was Acting Chief Constable from 17 October 2023 until he was confirmed in post on the 1 February 2025, following the dismissal for gross misconduct of the previous postholder in June 2024.</w:t>
      </w:r>
    </w:p>
    <w:p w14:paraId="1C9A2F5E" w14:textId="1933B7EE" w:rsidR="00CF7AA8" w:rsidRDefault="006A4589" w:rsidP="00CF7AA8">
      <w:pPr>
        <w:spacing w:line="240" w:lineRule="auto"/>
        <w:rPr>
          <w:sz w:val="16"/>
          <w:szCs w:val="16"/>
        </w:rPr>
      </w:pPr>
      <w:r w:rsidRPr="006A4589">
        <w:rPr>
          <w:rFonts w:eastAsia="Times New Roman" w:cs="Segoe UI"/>
          <w:color w:val="1A1A1A"/>
          <w:sz w:val="16"/>
          <w:szCs w:val="16"/>
          <w:vertAlign w:val="superscript"/>
          <w:lang w:eastAsia="en-GB"/>
        </w:rPr>
        <w:t>(5)</w:t>
      </w:r>
      <w:r w:rsidRPr="006A4589">
        <w:rPr>
          <w:sz w:val="16"/>
          <w:szCs w:val="16"/>
        </w:rPr>
        <w:t xml:space="preserve"> The Chief Finance Officer began in this role on an interim basis on 22 December 2023, transitioning to a permanent appointment on 11 November 2024.</w:t>
      </w:r>
    </w:p>
    <w:p w14:paraId="5402BF53" w14:textId="77777777" w:rsidR="00CF7AA8" w:rsidRDefault="00CF7AA8">
      <w:pPr>
        <w:spacing w:after="0" w:line="240" w:lineRule="auto"/>
        <w:jc w:val="left"/>
        <w:rPr>
          <w:sz w:val="16"/>
          <w:szCs w:val="16"/>
        </w:rPr>
      </w:pPr>
      <w:r>
        <w:rPr>
          <w:sz w:val="16"/>
          <w:szCs w:val="16"/>
        </w:rPr>
        <w:br w:type="page"/>
      </w:r>
    </w:p>
    <w:p w14:paraId="0F85420F" w14:textId="0713B3C0" w:rsidR="00E214C4" w:rsidRDefault="002522D4" w:rsidP="003356AE">
      <w:pPr>
        <w:pStyle w:val="NoteHeader"/>
        <w:spacing w:line="240" w:lineRule="auto"/>
      </w:pPr>
      <w:bookmarkStart w:id="77" w:name="_Toc517077279"/>
      <w:bookmarkStart w:id="78" w:name="_Toc9272505"/>
      <w:bookmarkStart w:id="79" w:name="_Toc9592051"/>
      <w:bookmarkStart w:id="80" w:name="_Toc109632202"/>
      <w:bookmarkStart w:id="81" w:name="_Toc230858558"/>
      <w:r w:rsidRPr="00BC33FA">
        <w:lastRenderedPageBreak/>
        <w:t>Note 5A - Note to the Expenditure and Funding Analysis</w:t>
      </w:r>
      <w:bookmarkEnd w:id="77"/>
      <w:bookmarkEnd w:id="78"/>
      <w:bookmarkEnd w:id="79"/>
      <w:bookmarkEnd w:id="80"/>
      <w:bookmarkEnd w:id="81"/>
    </w:p>
    <w:p w14:paraId="75F7BC85" w14:textId="6119B5E0" w:rsidR="006F1DE5" w:rsidRDefault="006F1DE5"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4076"/>
        <w:gridCol w:w="1250"/>
        <w:gridCol w:w="1250"/>
        <w:gridCol w:w="1250"/>
        <w:gridCol w:w="1246"/>
      </w:tblGrid>
      <w:tr w:rsidR="00484DBB" w:rsidRPr="00484DBB" w14:paraId="689F0170" w14:textId="77777777" w:rsidTr="0022775C">
        <w:trPr>
          <w:trHeight w:val="283"/>
        </w:trPr>
        <w:tc>
          <w:tcPr>
            <w:tcW w:w="2246" w:type="pct"/>
            <w:tcBorders>
              <w:top w:val="nil"/>
              <w:left w:val="nil"/>
              <w:bottom w:val="nil"/>
              <w:right w:val="nil"/>
            </w:tcBorders>
            <w:shd w:val="clear" w:color="000000" w:fill="000099"/>
            <w:vAlign w:val="center"/>
            <w:hideMark/>
          </w:tcPr>
          <w:p w14:paraId="4EE3E4E9" w14:textId="77777777" w:rsidR="00484DBB" w:rsidRPr="00484DBB" w:rsidRDefault="00484DBB" w:rsidP="00484DBB">
            <w:pPr>
              <w:spacing w:after="0" w:line="240" w:lineRule="auto"/>
              <w:jc w:val="left"/>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2025/26</w:t>
            </w:r>
          </w:p>
        </w:tc>
        <w:tc>
          <w:tcPr>
            <w:tcW w:w="689" w:type="pct"/>
            <w:tcBorders>
              <w:top w:val="nil"/>
              <w:left w:val="nil"/>
              <w:bottom w:val="nil"/>
              <w:right w:val="nil"/>
            </w:tcBorders>
            <w:shd w:val="clear" w:color="000000" w:fill="000099"/>
            <w:vAlign w:val="center"/>
            <w:hideMark/>
          </w:tcPr>
          <w:p w14:paraId="17D19D0F"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Net Capital Statutory Adjustments</w:t>
            </w:r>
          </w:p>
        </w:tc>
        <w:tc>
          <w:tcPr>
            <w:tcW w:w="689" w:type="pct"/>
            <w:tcBorders>
              <w:top w:val="nil"/>
              <w:left w:val="nil"/>
              <w:bottom w:val="nil"/>
              <w:right w:val="nil"/>
            </w:tcBorders>
            <w:shd w:val="clear" w:color="000000" w:fill="000099"/>
            <w:vAlign w:val="center"/>
            <w:hideMark/>
          </w:tcPr>
          <w:p w14:paraId="5F82F6D4"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Net Pensions Statutory Adjustments</w:t>
            </w:r>
          </w:p>
        </w:tc>
        <w:tc>
          <w:tcPr>
            <w:tcW w:w="689" w:type="pct"/>
            <w:tcBorders>
              <w:top w:val="nil"/>
              <w:left w:val="nil"/>
              <w:bottom w:val="nil"/>
              <w:right w:val="nil"/>
            </w:tcBorders>
            <w:shd w:val="clear" w:color="000000" w:fill="000099"/>
            <w:vAlign w:val="center"/>
            <w:hideMark/>
          </w:tcPr>
          <w:p w14:paraId="3E440D90"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Other Statutory Adjustments</w:t>
            </w:r>
          </w:p>
        </w:tc>
        <w:tc>
          <w:tcPr>
            <w:tcW w:w="689" w:type="pct"/>
            <w:tcBorders>
              <w:top w:val="nil"/>
              <w:left w:val="nil"/>
              <w:bottom w:val="nil"/>
              <w:right w:val="nil"/>
            </w:tcBorders>
            <w:shd w:val="clear" w:color="000000" w:fill="000099"/>
            <w:vAlign w:val="center"/>
            <w:hideMark/>
          </w:tcPr>
          <w:p w14:paraId="53C93264"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Total Adjustments</w:t>
            </w:r>
          </w:p>
        </w:tc>
      </w:tr>
      <w:tr w:rsidR="00484DBB" w:rsidRPr="00484DBB" w14:paraId="1A34BF13" w14:textId="77777777" w:rsidTr="0022775C">
        <w:trPr>
          <w:trHeight w:val="283"/>
        </w:trPr>
        <w:tc>
          <w:tcPr>
            <w:tcW w:w="2246" w:type="pct"/>
            <w:tcBorders>
              <w:top w:val="nil"/>
              <w:left w:val="nil"/>
              <w:bottom w:val="nil"/>
              <w:right w:val="nil"/>
            </w:tcBorders>
            <w:shd w:val="clear" w:color="000000" w:fill="000099"/>
            <w:vAlign w:val="center"/>
            <w:hideMark/>
          </w:tcPr>
          <w:p w14:paraId="37072118" w14:textId="77777777" w:rsidR="00484DBB" w:rsidRPr="00484DBB" w:rsidRDefault="00484DBB" w:rsidP="00484DBB">
            <w:pPr>
              <w:spacing w:after="0" w:line="240" w:lineRule="auto"/>
              <w:jc w:val="left"/>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 </w:t>
            </w:r>
          </w:p>
        </w:tc>
        <w:tc>
          <w:tcPr>
            <w:tcW w:w="689" w:type="pct"/>
            <w:tcBorders>
              <w:top w:val="nil"/>
              <w:left w:val="nil"/>
              <w:bottom w:val="nil"/>
              <w:right w:val="nil"/>
            </w:tcBorders>
            <w:shd w:val="clear" w:color="000000" w:fill="000099"/>
            <w:vAlign w:val="center"/>
            <w:hideMark/>
          </w:tcPr>
          <w:p w14:paraId="278D75C7"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78EC27E2"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16C30C14"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53B32239" w14:textId="77777777" w:rsidR="00484DBB" w:rsidRPr="00484DBB" w:rsidRDefault="00484DBB" w:rsidP="00484DBB">
            <w:pPr>
              <w:spacing w:after="0" w:line="240" w:lineRule="auto"/>
              <w:jc w:val="center"/>
              <w:rPr>
                <w:rFonts w:asciiTheme="minorHAnsi" w:eastAsia="Times New Roman" w:hAnsiTheme="minorHAnsi" w:cstheme="minorHAnsi"/>
                <w:b/>
                <w:bCs/>
                <w:color w:val="FFFFFF"/>
                <w:sz w:val="18"/>
                <w:szCs w:val="18"/>
                <w:lang w:eastAsia="en-GB"/>
              </w:rPr>
            </w:pPr>
            <w:r w:rsidRPr="00484DBB">
              <w:rPr>
                <w:rFonts w:asciiTheme="minorHAnsi" w:eastAsia="Times New Roman" w:hAnsiTheme="minorHAnsi" w:cstheme="minorHAnsi"/>
                <w:b/>
                <w:bCs/>
                <w:color w:val="FFFFFF"/>
                <w:sz w:val="18"/>
                <w:szCs w:val="18"/>
                <w:lang w:eastAsia="en-GB"/>
              </w:rPr>
              <w:t>£000</w:t>
            </w:r>
          </w:p>
        </w:tc>
      </w:tr>
      <w:tr w:rsidR="00484DBB" w:rsidRPr="00484DBB" w14:paraId="0218A501" w14:textId="77777777" w:rsidTr="0022775C">
        <w:trPr>
          <w:trHeight w:val="283"/>
        </w:trPr>
        <w:tc>
          <w:tcPr>
            <w:tcW w:w="2246" w:type="pct"/>
            <w:tcBorders>
              <w:top w:val="nil"/>
              <w:left w:val="nil"/>
              <w:bottom w:val="nil"/>
              <w:right w:val="nil"/>
            </w:tcBorders>
            <w:shd w:val="clear" w:color="000000" w:fill="FFFFFF"/>
            <w:vAlign w:val="center"/>
            <w:hideMark/>
          </w:tcPr>
          <w:p w14:paraId="7492F1A0" w14:textId="77777777" w:rsidR="00484DBB" w:rsidRPr="00484DBB" w:rsidRDefault="00484DBB" w:rsidP="00484DBB">
            <w:pPr>
              <w:spacing w:after="0" w:line="240" w:lineRule="auto"/>
              <w:jc w:val="lef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Policing Services</w:t>
            </w:r>
          </w:p>
        </w:tc>
        <w:tc>
          <w:tcPr>
            <w:tcW w:w="689" w:type="pct"/>
            <w:tcBorders>
              <w:top w:val="nil"/>
              <w:left w:val="nil"/>
              <w:bottom w:val="nil"/>
              <w:right w:val="nil"/>
            </w:tcBorders>
            <w:shd w:val="clear" w:color="000000" w:fill="CCECFF"/>
            <w:vAlign w:val="bottom"/>
            <w:hideMark/>
          </w:tcPr>
          <w:p w14:paraId="444C6A08"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428C85C1"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000000"/>
                <w:sz w:val="18"/>
                <w:szCs w:val="18"/>
                <w:lang w:eastAsia="en-GB"/>
              </w:rPr>
              <w:t>(17,876)</w:t>
            </w:r>
          </w:p>
        </w:tc>
        <w:tc>
          <w:tcPr>
            <w:tcW w:w="689" w:type="pct"/>
            <w:tcBorders>
              <w:top w:val="nil"/>
              <w:left w:val="nil"/>
              <w:bottom w:val="nil"/>
              <w:right w:val="nil"/>
            </w:tcBorders>
            <w:shd w:val="clear" w:color="000000" w:fill="CCECFF"/>
            <w:vAlign w:val="bottom"/>
            <w:hideMark/>
          </w:tcPr>
          <w:p w14:paraId="23F41694"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000000"/>
                <w:sz w:val="18"/>
                <w:szCs w:val="18"/>
                <w:lang w:eastAsia="en-GB"/>
              </w:rPr>
              <w:t>(1,903)</w:t>
            </w:r>
          </w:p>
        </w:tc>
        <w:tc>
          <w:tcPr>
            <w:tcW w:w="689" w:type="pct"/>
            <w:tcBorders>
              <w:top w:val="nil"/>
              <w:left w:val="nil"/>
              <w:bottom w:val="nil"/>
              <w:right w:val="nil"/>
            </w:tcBorders>
            <w:shd w:val="clear" w:color="000000" w:fill="CCECFF"/>
            <w:vAlign w:val="bottom"/>
            <w:hideMark/>
          </w:tcPr>
          <w:p w14:paraId="661300F5"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000000"/>
                <w:sz w:val="18"/>
                <w:szCs w:val="18"/>
                <w:lang w:eastAsia="en-GB"/>
              </w:rPr>
              <w:t>(19,779)</w:t>
            </w:r>
          </w:p>
        </w:tc>
      </w:tr>
      <w:tr w:rsidR="00484DBB" w:rsidRPr="00484DBB" w14:paraId="05AED38F" w14:textId="77777777" w:rsidTr="0022775C">
        <w:trPr>
          <w:trHeight w:val="283"/>
        </w:trPr>
        <w:tc>
          <w:tcPr>
            <w:tcW w:w="2246" w:type="pct"/>
            <w:tcBorders>
              <w:top w:val="nil"/>
              <w:left w:val="nil"/>
              <w:bottom w:val="nil"/>
              <w:right w:val="nil"/>
            </w:tcBorders>
            <w:shd w:val="clear" w:color="000000" w:fill="FFFFFF"/>
            <w:vAlign w:val="center"/>
            <w:hideMark/>
          </w:tcPr>
          <w:p w14:paraId="067EBD5B" w14:textId="77777777" w:rsidR="00484DBB" w:rsidRPr="00484DBB" w:rsidRDefault="00484DBB" w:rsidP="00484DBB">
            <w:pPr>
              <w:spacing w:after="0" w:line="240" w:lineRule="auto"/>
              <w:jc w:val="left"/>
              <w:rPr>
                <w:rFonts w:asciiTheme="minorHAnsi" w:eastAsia="Times New Roman" w:hAnsiTheme="minorHAnsi" w:cstheme="minorHAnsi"/>
                <w:color w:val="000000"/>
                <w:sz w:val="18"/>
                <w:szCs w:val="18"/>
                <w:lang w:eastAsia="en-GB"/>
              </w:rPr>
            </w:pPr>
            <w:r w:rsidRPr="00484DBB">
              <w:rPr>
                <w:rFonts w:asciiTheme="minorHAnsi" w:eastAsia="Times New Roman" w:hAnsiTheme="minorHAnsi" w:cstheme="minorHAnsi"/>
                <w:color w:val="000000"/>
                <w:sz w:val="18"/>
                <w:szCs w:val="18"/>
                <w:lang w:eastAsia="en-GB"/>
              </w:rPr>
              <w:t>OPFCC &amp; Commissioning</w:t>
            </w:r>
          </w:p>
        </w:tc>
        <w:tc>
          <w:tcPr>
            <w:tcW w:w="689" w:type="pct"/>
            <w:tcBorders>
              <w:top w:val="nil"/>
              <w:left w:val="nil"/>
              <w:bottom w:val="nil"/>
              <w:right w:val="nil"/>
            </w:tcBorders>
            <w:shd w:val="clear" w:color="000000" w:fill="CCECFF"/>
            <w:vAlign w:val="bottom"/>
            <w:hideMark/>
          </w:tcPr>
          <w:p w14:paraId="4733030F"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0B092D5C"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7A1DE195"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6764160D"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r>
      <w:tr w:rsidR="00484DBB" w:rsidRPr="00484DBB" w14:paraId="6D03E2D7" w14:textId="77777777" w:rsidTr="0022775C">
        <w:trPr>
          <w:trHeight w:val="283"/>
        </w:trPr>
        <w:tc>
          <w:tcPr>
            <w:tcW w:w="2246" w:type="pct"/>
            <w:tcBorders>
              <w:top w:val="single" w:sz="4" w:space="0" w:color="auto"/>
              <w:left w:val="nil"/>
              <w:bottom w:val="single" w:sz="4" w:space="0" w:color="auto"/>
              <w:right w:val="nil"/>
            </w:tcBorders>
            <w:shd w:val="clear" w:color="000000" w:fill="FFFFFF"/>
            <w:vAlign w:val="center"/>
            <w:hideMark/>
          </w:tcPr>
          <w:p w14:paraId="1EF6B878" w14:textId="77777777" w:rsidR="00484DBB" w:rsidRPr="00484DBB" w:rsidRDefault="00484DBB" w:rsidP="00484DBB">
            <w:pPr>
              <w:spacing w:after="0" w:line="240" w:lineRule="auto"/>
              <w:jc w:val="left"/>
              <w:rPr>
                <w:rFonts w:asciiTheme="minorHAnsi" w:eastAsia="Times New Roman" w:hAnsiTheme="minorHAnsi" w:cstheme="minorHAnsi"/>
                <w:b/>
                <w:bCs/>
                <w:color w:val="000000"/>
                <w:sz w:val="18"/>
                <w:szCs w:val="18"/>
                <w:lang w:eastAsia="en-GB"/>
              </w:rPr>
            </w:pPr>
            <w:r w:rsidRPr="00484DBB">
              <w:rPr>
                <w:rFonts w:asciiTheme="minorHAnsi" w:eastAsia="Times New Roman" w:hAnsiTheme="minorHAnsi" w:cstheme="minorHAnsi"/>
                <w:b/>
                <w:bCs/>
                <w:color w:val="000000"/>
                <w:sz w:val="18"/>
                <w:szCs w:val="18"/>
                <w:lang w:eastAsia="en-GB"/>
              </w:rPr>
              <w:t>Net Cost of Services</w:t>
            </w:r>
          </w:p>
        </w:tc>
        <w:tc>
          <w:tcPr>
            <w:tcW w:w="689" w:type="pct"/>
            <w:tcBorders>
              <w:top w:val="single" w:sz="4" w:space="0" w:color="auto"/>
              <w:left w:val="nil"/>
              <w:bottom w:val="single" w:sz="4" w:space="0" w:color="auto"/>
              <w:right w:val="nil"/>
            </w:tcBorders>
            <w:shd w:val="clear" w:color="000000" w:fill="CCECFF"/>
            <w:vAlign w:val="bottom"/>
            <w:hideMark/>
          </w:tcPr>
          <w:p w14:paraId="7A0F8AD0"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auto"/>
                <w:sz w:val="18"/>
                <w:szCs w:val="18"/>
                <w:lang w:eastAsia="en-GB"/>
              </w:rPr>
              <w:t>-</w:t>
            </w:r>
          </w:p>
        </w:tc>
        <w:tc>
          <w:tcPr>
            <w:tcW w:w="689" w:type="pct"/>
            <w:tcBorders>
              <w:top w:val="single" w:sz="4" w:space="0" w:color="auto"/>
              <w:left w:val="nil"/>
              <w:bottom w:val="single" w:sz="4" w:space="0" w:color="auto"/>
              <w:right w:val="nil"/>
            </w:tcBorders>
            <w:shd w:val="clear" w:color="000000" w:fill="CCECFF"/>
            <w:vAlign w:val="bottom"/>
            <w:hideMark/>
          </w:tcPr>
          <w:p w14:paraId="414D48BF"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000000"/>
                <w:sz w:val="18"/>
                <w:szCs w:val="18"/>
                <w:lang w:eastAsia="en-GB"/>
              </w:rPr>
              <w:t>(17,876)</w:t>
            </w:r>
          </w:p>
        </w:tc>
        <w:tc>
          <w:tcPr>
            <w:tcW w:w="689" w:type="pct"/>
            <w:tcBorders>
              <w:top w:val="single" w:sz="4" w:space="0" w:color="auto"/>
              <w:left w:val="nil"/>
              <w:bottom w:val="single" w:sz="4" w:space="0" w:color="auto"/>
              <w:right w:val="nil"/>
            </w:tcBorders>
            <w:shd w:val="clear" w:color="000000" w:fill="CCECFF"/>
            <w:vAlign w:val="bottom"/>
            <w:hideMark/>
          </w:tcPr>
          <w:p w14:paraId="4CEC928A"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000000"/>
                <w:sz w:val="18"/>
                <w:szCs w:val="18"/>
                <w:lang w:eastAsia="en-GB"/>
              </w:rPr>
              <w:t>(1,903)</w:t>
            </w:r>
          </w:p>
        </w:tc>
        <w:tc>
          <w:tcPr>
            <w:tcW w:w="689" w:type="pct"/>
            <w:tcBorders>
              <w:top w:val="single" w:sz="4" w:space="0" w:color="auto"/>
              <w:left w:val="nil"/>
              <w:bottom w:val="single" w:sz="4" w:space="0" w:color="auto"/>
              <w:right w:val="nil"/>
            </w:tcBorders>
            <w:shd w:val="clear" w:color="000000" w:fill="CCECFF"/>
            <w:vAlign w:val="bottom"/>
            <w:hideMark/>
          </w:tcPr>
          <w:p w14:paraId="2ABE9917"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000000"/>
                <w:sz w:val="18"/>
                <w:szCs w:val="18"/>
                <w:lang w:eastAsia="en-GB"/>
              </w:rPr>
              <w:t>(19,779)</w:t>
            </w:r>
          </w:p>
        </w:tc>
      </w:tr>
      <w:tr w:rsidR="00484DBB" w:rsidRPr="00484DBB" w14:paraId="62EF2986" w14:textId="77777777" w:rsidTr="0022775C">
        <w:trPr>
          <w:trHeight w:val="283"/>
        </w:trPr>
        <w:tc>
          <w:tcPr>
            <w:tcW w:w="2246" w:type="pct"/>
            <w:tcBorders>
              <w:top w:val="nil"/>
              <w:left w:val="nil"/>
              <w:bottom w:val="nil"/>
              <w:right w:val="nil"/>
            </w:tcBorders>
            <w:shd w:val="clear" w:color="000000" w:fill="FFFFFF"/>
            <w:vAlign w:val="center"/>
            <w:hideMark/>
          </w:tcPr>
          <w:p w14:paraId="492249FE" w14:textId="77777777" w:rsidR="00484DBB" w:rsidRPr="00484DBB" w:rsidRDefault="00484DBB" w:rsidP="00484DBB">
            <w:pPr>
              <w:spacing w:after="0" w:line="240" w:lineRule="auto"/>
              <w:jc w:val="lef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Joint Venture &amp; Associates</w:t>
            </w:r>
          </w:p>
        </w:tc>
        <w:tc>
          <w:tcPr>
            <w:tcW w:w="689" w:type="pct"/>
            <w:tcBorders>
              <w:top w:val="nil"/>
              <w:left w:val="nil"/>
              <w:bottom w:val="nil"/>
              <w:right w:val="nil"/>
            </w:tcBorders>
            <w:shd w:val="clear" w:color="000000" w:fill="CCECFF"/>
            <w:vAlign w:val="bottom"/>
            <w:hideMark/>
          </w:tcPr>
          <w:p w14:paraId="437D60BA"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3BF4960A"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312CC8A3"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1E19E83D"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r>
      <w:tr w:rsidR="00484DBB" w:rsidRPr="00484DBB" w14:paraId="6943B1EB" w14:textId="77777777" w:rsidTr="0022775C">
        <w:trPr>
          <w:trHeight w:val="283"/>
        </w:trPr>
        <w:tc>
          <w:tcPr>
            <w:tcW w:w="2246" w:type="pct"/>
            <w:tcBorders>
              <w:top w:val="nil"/>
              <w:left w:val="nil"/>
              <w:bottom w:val="nil"/>
              <w:right w:val="nil"/>
            </w:tcBorders>
            <w:shd w:val="clear" w:color="000000" w:fill="FFFFFF"/>
            <w:vAlign w:val="center"/>
            <w:hideMark/>
          </w:tcPr>
          <w:p w14:paraId="0C18F0D2" w14:textId="77777777" w:rsidR="00484DBB" w:rsidRPr="00484DBB" w:rsidRDefault="00484DBB" w:rsidP="00484DBB">
            <w:pPr>
              <w:spacing w:after="0" w:line="240" w:lineRule="auto"/>
              <w:jc w:val="lef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Other Income and Expenditure</w:t>
            </w:r>
          </w:p>
        </w:tc>
        <w:tc>
          <w:tcPr>
            <w:tcW w:w="689" w:type="pct"/>
            <w:tcBorders>
              <w:top w:val="nil"/>
              <w:left w:val="nil"/>
              <w:bottom w:val="nil"/>
              <w:right w:val="nil"/>
            </w:tcBorders>
            <w:shd w:val="clear" w:color="000000" w:fill="CCECFF"/>
            <w:vAlign w:val="bottom"/>
            <w:hideMark/>
          </w:tcPr>
          <w:p w14:paraId="33DB546C"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00428C8E"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1416C47C"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487C728F"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r>
      <w:tr w:rsidR="00484DBB" w:rsidRPr="00484DBB" w14:paraId="735365F7" w14:textId="77777777" w:rsidTr="0022775C">
        <w:trPr>
          <w:trHeight w:val="283"/>
        </w:trPr>
        <w:tc>
          <w:tcPr>
            <w:tcW w:w="2246" w:type="pct"/>
            <w:tcBorders>
              <w:top w:val="nil"/>
              <w:left w:val="nil"/>
              <w:bottom w:val="nil"/>
              <w:right w:val="nil"/>
            </w:tcBorders>
            <w:shd w:val="clear" w:color="000000" w:fill="FFFFFF"/>
            <w:vAlign w:val="center"/>
            <w:hideMark/>
          </w:tcPr>
          <w:p w14:paraId="650D6BD8" w14:textId="77777777" w:rsidR="00484DBB" w:rsidRPr="00484DBB" w:rsidRDefault="00484DBB" w:rsidP="00484DBB">
            <w:pPr>
              <w:spacing w:after="0" w:line="240" w:lineRule="auto"/>
              <w:jc w:val="lef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Exceptional Item</w:t>
            </w:r>
          </w:p>
        </w:tc>
        <w:tc>
          <w:tcPr>
            <w:tcW w:w="689" w:type="pct"/>
            <w:tcBorders>
              <w:top w:val="nil"/>
              <w:left w:val="nil"/>
              <w:bottom w:val="nil"/>
              <w:right w:val="nil"/>
            </w:tcBorders>
            <w:shd w:val="clear" w:color="000000" w:fill="CCECFF"/>
            <w:vAlign w:val="bottom"/>
            <w:hideMark/>
          </w:tcPr>
          <w:p w14:paraId="4EEF37C0"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4A3AAB5F"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47CD478F"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293F0FF1" w14:textId="77777777" w:rsidR="00484DBB" w:rsidRPr="00484DBB" w:rsidRDefault="00484DBB" w:rsidP="00484DBB">
            <w:pPr>
              <w:spacing w:after="0" w:line="240" w:lineRule="auto"/>
              <w:jc w:val="right"/>
              <w:rPr>
                <w:rFonts w:asciiTheme="minorHAnsi" w:eastAsia="Times New Roman" w:hAnsiTheme="minorHAnsi" w:cstheme="minorHAnsi"/>
                <w:color w:val="auto"/>
                <w:sz w:val="18"/>
                <w:szCs w:val="18"/>
                <w:lang w:eastAsia="en-GB"/>
              </w:rPr>
            </w:pPr>
            <w:r w:rsidRPr="00484DBB">
              <w:rPr>
                <w:rFonts w:asciiTheme="minorHAnsi" w:eastAsia="Times New Roman" w:hAnsiTheme="minorHAnsi" w:cstheme="minorHAnsi"/>
                <w:color w:val="auto"/>
                <w:sz w:val="18"/>
                <w:szCs w:val="18"/>
                <w:lang w:eastAsia="en-GB"/>
              </w:rPr>
              <w:t>-</w:t>
            </w:r>
          </w:p>
        </w:tc>
      </w:tr>
      <w:tr w:rsidR="00484DBB" w:rsidRPr="00484DBB" w14:paraId="54363A44" w14:textId="77777777" w:rsidTr="0022775C">
        <w:trPr>
          <w:trHeight w:val="283"/>
        </w:trPr>
        <w:tc>
          <w:tcPr>
            <w:tcW w:w="2246" w:type="pct"/>
            <w:tcBorders>
              <w:top w:val="single" w:sz="4" w:space="0" w:color="auto"/>
              <w:left w:val="nil"/>
              <w:bottom w:val="single" w:sz="4" w:space="0" w:color="auto"/>
              <w:right w:val="nil"/>
            </w:tcBorders>
            <w:shd w:val="clear" w:color="000000" w:fill="FFFFFF"/>
            <w:vAlign w:val="center"/>
            <w:hideMark/>
          </w:tcPr>
          <w:p w14:paraId="617BB7A1" w14:textId="77777777" w:rsidR="00484DBB" w:rsidRPr="00484DBB" w:rsidRDefault="00484DBB" w:rsidP="00484DBB">
            <w:pPr>
              <w:spacing w:after="0" w:line="240" w:lineRule="auto"/>
              <w:jc w:val="lef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auto"/>
                <w:sz w:val="18"/>
                <w:szCs w:val="18"/>
                <w:lang w:eastAsia="en-GB"/>
              </w:rPr>
              <w:t>Difference between the Statutory Charge and the (Surplus)/Deficit in the Comprehensive Income and Expenditure Statement</w:t>
            </w:r>
          </w:p>
        </w:tc>
        <w:tc>
          <w:tcPr>
            <w:tcW w:w="689" w:type="pct"/>
            <w:tcBorders>
              <w:top w:val="single" w:sz="4" w:space="0" w:color="auto"/>
              <w:left w:val="nil"/>
              <w:bottom w:val="single" w:sz="4" w:space="0" w:color="auto"/>
              <w:right w:val="nil"/>
            </w:tcBorders>
            <w:shd w:val="clear" w:color="000000" w:fill="CCECFF"/>
            <w:vAlign w:val="center"/>
            <w:hideMark/>
          </w:tcPr>
          <w:p w14:paraId="624081EA"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auto"/>
                <w:sz w:val="18"/>
                <w:szCs w:val="18"/>
                <w:lang w:eastAsia="en-GB"/>
              </w:rPr>
              <w:t>-</w:t>
            </w:r>
          </w:p>
        </w:tc>
        <w:tc>
          <w:tcPr>
            <w:tcW w:w="689" w:type="pct"/>
            <w:tcBorders>
              <w:top w:val="single" w:sz="4" w:space="0" w:color="auto"/>
              <w:left w:val="nil"/>
              <w:bottom w:val="single" w:sz="4" w:space="0" w:color="auto"/>
              <w:right w:val="nil"/>
            </w:tcBorders>
            <w:shd w:val="clear" w:color="000000" w:fill="CCECFF"/>
            <w:vAlign w:val="center"/>
            <w:hideMark/>
          </w:tcPr>
          <w:p w14:paraId="5FC4D376"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000000"/>
                <w:sz w:val="18"/>
                <w:szCs w:val="18"/>
                <w:lang w:eastAsia="en-GB"/>
              </w:rPr>
              <w:t>(17,876)</w:t>
            </w:r>
          </w:p>
        </w:tc>
        <w:tc>
          <w:tcPr>
            <w:tcW w:w="689" w:type="pct"/>
            <w:tcBorders>
              <w:top w:val="single" w:sz="4" w:space="0" w:color="auto"/>
              <w:left w:val="nil"/>
              <w:bottom w:val="single" w:sz="4" w:space="0" w:color="auto"/>
              <w:right w:val="nil"/>
            </w:tcBorders>
            <w:shd w:val="clear" w:color="000000" w:fill="CCECFF"/>
            <w:vAlign w:val="center"/>
            <w:hideMark/>
          </w:tcPr>
          <w:p w14:paraId="1CF12D76"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000000"/>
                <w:sz w:val="18"/>
                <w:szCs w:val="18"/>
                <w:lang w:eastAsia="en-GB"/>
              </w:rPr>
              <w:t>(1,903)</w:t>
            </w:r>
          </w:p>
        </w:tc>
        <w:tc>
          <w:tcPr>
            <w:tcW w:w="689" w:type="pct"/>
            <w:tcBorders>
              <w:top w:val="single" w:sz="4" w:space="0" w:color="auto"/>
              <w:left w:val="nil"/>
              <w:bottom w:val="single" w:sz="4" w:space="0" w:color="auto"/>
              <w:right w:val="nil"/>
            </w:tcBorders>
            <w:shd w:val="clear" w:color="000000" w:fill="CCECFF"/>
            <w:vAlign w:val="center"/>
            <w:hideMark/>
          </w:tcPr>
          <w:p w14:paraId="6B69C84E" w14:textId="77777777" w:rsidR="00484DBB" w:rsidRPr="00484DBB" w:rsidRDefault="00484DBB" w:rsidP="00484DBB">
            <w:pPr>
              <w:spacing w:after="0" w:line="240" w:lineRule="auto"/>
              <w:jc w:val="right"/>
              <w:rPr>
                <w:rFonts w:asciiTheme="minorHAnsi" w:eastAsia="Times New Roman" w:hAnsiTheme="minorHAnsi" w:cstheme="minorHAnsi"/>
                <w:b/>
                <w:bCs/>
                <w:color w:val="auto"/>
                <w:sz w:val="18"/>
                <w:szCs w:val="18"/>
                <w:lang w:eastAsia="en-GB"/>
              </w:rPr>
            </w:pPr>
            <w:r w:rsidRPr="00484DBB">
              <w:rPr>
                <w:rFonts w:asciiTheme="minorHAnsi" w:eastAsia="Times New Roman" w:hAnsiTheme="minorHAnsi" w:cstheme="minorHAnsi"/>
                <w:b/>
                <w:bCs/>
                <w:color w:val="000000"/>
                <w:sz w:val="18"/>
                <w:szCs w:val="18"/>
                <w:lang w:eastAsia="en-GB"/>
              </w:rPr>
              <w:t>(19,779)</w:t>
            </w:r>
          </w:p>
        </w:tc>
      </w:tr>
    </w:tbl>
    <w:p w14:paraId="06C687E1" w14:textId="77777777" w:rsidR="007A21ED" w:rsidRPr="008278ED" w:rsidRDefault="007A21ED" w:rsidP="003356AE">
      <w:pPr>
        <w:spacing w:line="240" w:lineRule="auto"/>
        <w:rPr>
          <w:rFonts w:asciiTheme="minorHAnsi" w:hAnsiTheme="minorHAnsi" w:cstheme="minorHAnsi"/>
          <w:sz w:val="18"/>
          <w:szCs w:val="18"/>
        </w:rPr>
      </w:pPr>
    </w:p>
    <w:tbl>
      <w:tblPr>
        <w:tblW w:w="5000" w:type="pct"/>
        <w:tblLook w:val="04A0" w:firstRow="1" w:lastRow="0" w:firstColumn="1" w:lastColumn="0" w:noHBand="0" w:noVBand="1"/>
      </w:tblPr>
      <w:tblGrid>
        <w:gridCol w:w="4076"/>
        <w:gridCol w:w="1250"/>
        <w:gridCol w:w="1250"/>
        <w:gridCol w:w="1250"/>
        <w:gridCol w:w="1246"/>
      </w:tblGrid>
      <w:tr w:rsidR="00BF47DC" w:rsidRPr="00BF47DC" w14:paraId="69EF9F3E" w14:textId="77777777" w:rsidTr="00BF47DC">
        <w:trPr>
          <w:trHeight w:val="283"/>
        </w:trPr>
        <w:tc>
          <w:tcPr>
            <w:tcW w:w="2246" w:type="pct"/>
            <w:tcBorders>
              <w:top w:val="nil"/>
              <w:left w:val="nil"/>
              <w:bottom w:val="nil"/>
              <w:right w:val="nil"/>
            </w:tcBorders>
            <w:shd w:val="clear" w:color="000000" w:fill="000099"/>
            <w:vAlign w:val="center"/>
            <w:hideMark/>
          </w:tcPr>
          <w:p w14:paraId="3D8E575C" w14:textId="77777777" w:rsidR="00BF47DC" w:rsidRPr="00BF47DC" w:rsidRDefault="00BF47DC" w:rsidP="00BF47DC">
            <w:pPr>
              <w:spacing w:after="0" w:line="240" w:lineRule="auto"/>
              <w:jc w:val="left"/>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2024/25</w:t>
            </w:r>
          </w:p>
        </w:tc>
        <w:tc>
          <w:tcPr>
            <w:tcW w:w="689" w:type="pct"/>
            <w:tcBorders>
              <w:top w:val="nil"/>
              <w:left w:val="nil"/>
              <w:bottom w:val="nil"/>
              <w:right w:val="nil"/>
            </w:tcBorders>
            <w:shd w:val="clear" w:color="000000" w:fill="000099"/>
            <w:vAlign w:val="center"/>
            <w:hideMark/>
          </w:tcPr>
          <w:p w14:paraId="18BA4CA6"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Net Capital Statutory Adjustments</w:t>
            </w:r>
          </w:p>
        </w:tc>
        <w:tc>
          <w:tcPr>
            <w:tcW w:w="689" w:type="pct"/>
            <w:tcBorders>
              <w:top w:val="nil"/>
              <w:left w:val="nil"/>
              <w:bottom w:val="nil"/>
              <w:right w:val="nil"/>
            </w:tcBorders>
            <w:shd w:val="clear" w:color="000000" w:fill="000099"/>
            <w:vAlign w:val="center"/>
            <w:hideMark/>
          </w:tcPr>
          <w:p w14:paraId="3E1B492E"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Net Pensions Statutory Adjustments</w:t>
            </w:r>
          </w:p>
        </w:tc>
        <w:tc>
          <w:tcPr>
            <w:tcW w:w="689" w:type="pct"/>
            <w:tcBorders>
              <w:top w:val="nil"/>
              <w:left w:val="nil"/>
              <w:bottom w:val="nil"/>
              <w:right w:val="nil"/>
            </w:tcBorders>
            <w:shd w:val="clear" w:color="000000" w:fill="000099"/>
            <w:vAlign w:val="center"/>
            <w:hideMark/>
          </w:tcPr>
          <w:p w14:paraId="37D3517D"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Other Statutory Adjustments</w:t>
            </w:r>
          </w:p>
        </w:tc>
        <w:tc>
          <w:tcPr>
            <w:tcW w:w="689" w:type="pct"/>
            <w:tcBorders>
              <w:top w:val="nil"/>
              <w:left w:val="nil"/>
              <w:bottom w:val="nil"/>
              <w:right w:val="nil"/>
            </w:tcBorders>
            <w:shd w:val="clear" w:color="000000" w:fill="000099"/>
            <w:vAlign w:val="center"/>
            <w:hideMark/>
          </w:tcPr>
          <w:p w14:paraId="40E9F1D7"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Total Adjustments</w:t>
            </w:r>
          </w:p>
        </w:tc>
      </w:tr>
      <w:tr w:rsidR="00BF47DC" w:rsidRPr="00BF47DC" w14:paraId="0D6B4581" w14:textId="77777777" w:rsidTr="00BF47DC">
        <w:trPr>
          <w:trHeight w:val="283"/>
        </w:trPr>
        <w:tc>
          <w:tcPr>
            <w:tcW w:w="2246" w:type="pct"/>
            <w:tcBorders>
              <w:top w:val="nil"/>
              <w:left w:val="nil"/>
              <w:bottom w:val="nil"/>
              <w:right w:val="nil"/>
            </w:tcBorders>
            <w:shd w:val="clear" w:color="000000" w:fill="000099"/>
            <w:vAlign w:val="center"/>
            <w:hideMark/>
          </w:tcPr>
          <w:p w14:paraId="28BCFB12" w14:textId="77777777" w:rsidR="00BF47DC" w:rsidRPr="00BF47DC" w:rsidRDefault="00BF47DC" w:rsidP="00BF47DC">
            <w:pPr>
              <w:spacing w:after="0" w:line="240" w:lineRule="auto"/>
              <w:jc w:val="left"/>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 </w:t>
            </w:r>
          </w:p>
        </w:tc>
        <w:tc>
          <w:tcPr>
            <w:tcW w:w="689" w:type="pct"/>
            <w:tcBorders>
              <w:top w:val="nil"/>
              <w:left w:val="nil"/>
              <w:bottom w:val="nil"/>
              <w:right w:val="nil"/>
            </w:tcBorders>
            <w:shd w:val="clear" w:color="000000" w:fill="000099"/>
            <w:vAlign w:val="center"/>
            <w:hideMark/>
          </w:tcPr>
          <w:p w14:paraId="74F8AA71"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02AFA724"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27ABCDBF"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0500DEAD" w14:textId="77777777" w:rsidR="00BF47DC" w:rsidRPr="00BF47DC" w:rsidRDefault="00BF47DC" w:rsidP="00BF47DC">
            <w:pPr>
              <w:spacing w:after="0" w:line="240" w:lineRule="auto"/>
              <w:jc w:val="center"/>
              <w:rPr>
                <w:rFonts w:asciiTheme="minorHAnsi" w:eastAsia="Times New Roman" w:hAnsiTheme="minorHAnsi" w:cstheme="minorHAnsi"/>
                <w:b/>
                <w:bCs/>
                <w:color w:val="FFFFFF"/>
                <w:sz w:val="18"/>
                <w:szCs w:val="18"/>
                <w:lang w:eastAsia="en-GB"/>
              </w:rPr>
            </w:pPr>
            <w:r w:rsidRPr="00BF47DC">
              <w:rPr>
                <w:rFonts w:asciiTheme="minorHAnsi" w:eastAsia="Times New Roman" w:hAnsiTheme="minorHAnsi" w:cstheme="minorHAnsi"/>
                <w:b/>
                <w:bCs/>
                <w:color w:val="FFFFFF"/>
                <w:sz w:val="18"/>
                <w:szCs w:val="18"/>
                <w:lang w:eastAsia="en-GB"/>
              </w:rPr>
              <w:t>£000</w:t>
            </w:r>
          </w:p>
        </w:tc>
      </w:tr>
      <w:tr w:rsidR="00BF47DC" w:rsidRPr="00BF47DC" w14:paraId="75F17E8A" w14:textId="77777777" w:rsidTr="00BF47DC">
        <w:trPr>
          <w:trHeight w:val="283"/>
        </w:trPr>
        <w:tc>
          <w:tcPr>
            <w:tcW w:w="2246" w:type="pct"/>
            <w:tcBorders>
              <w:top w:val="nil"/>
              <w:left w:val="nil"/>
              <w:bottom w:val="nil"/>
              <w:right w:val="nil"/>
            </w:tcBorders>
            <w:shd w:val="clear" w:color="000000" w:fill="FFFFFF"/>
            <w:vAlign w:val="center"/>
            <w:hideMark/>
          </w:tcPr>
          <w:p w14:paraId="6756113F" w14:textId="77777777" w:rsidR="00BF47DC" w:rsidRPr="00BF47DC" w:rsidRDefault="00BF47DC" w:rsidP="00BF47DC">
            <w:pPr>
              <w:spacing w:after="0" w:line="240" w:lineRule="auto"/>
              <w:jc w:val="lef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Policing Services</w:t>
            </w:r>
          </w:p>
        </w:tc>
        <w:tc>
          <w:tcPr>
            <w:tcW w:w="689" w:type="pct"/>
            <w:tcBorders>
              <w:top w:val="nil"/>
              <w:left w:val="nil"/>
              <w:bottom w:val="nil"/>
              <w:right w:val="nil"/>
            </w:tcBorders>
            <w:shd w:val="clear" w:color="000000" w:fill="FFFFFF"/>
            <w:vAlign w:val="bottom"/>
            <w:hideMark/>
          </w:tcPr>
          <w:p w14:paraId="6BE07E3E"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1E5800FE"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000000"/>
                <w:sz w:val="18"/>
                <w:szCs w:val="18"/>
                <w:lang w:eastAsia="en-GB"/>
              </w:rPr>
              <w:t>(19,642)</w:t>
            </w:r>
          </w:p>
        </w:tc>
        <w:tc>
          <w:tcPr>
            <w:tcW w:w="689" w:type="pct"/>
            <w:tcBorders>
              <w:top w:val="nil"/>
              <w:left w:val="nil"/>
              <w:bottom w:val="nil"/>
              <w:right w:val="nil"/>
            </w:tcBorders>
            <w:shd w:val="clear" w:color="000000" w:fill="FFFFFF"/>
            <w:vAlign w:val="bottom"/>
            <w:hideMark/>
          </w:tcPr>
          <w:p w14:paraId="312ADC7A"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1,315</w:t>
            </w:r>
          </w:p>
        </w:tc>
        <w:tc>
          <w:tcPr>
            <w:tcW w:w="689" w:type="pct"/>
            <w:tcBorders>
              <w:top w:val="nil"/>
              <w:left w:val="nil"/>
              <w:bottom w:val="nil"/>
              <w:right w:val="nil"/>
            </w:tcBorders>
            <w:shd w:val="clear" w:color="000000" w:fill="FFFFFF"/>
            <w:vAlign w:val="bottom"/>
            <w:hideMark/>
          </w:tcPr>
          <w:p w14:paraId="545903BE"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000000"/>
                <w:sz w:val="18"/>
                <w:szCs w:val="18"/>
                <w:lang w:eastAsia="en-GB"/>
              </w:rPr>
              <w:t>(18,327)</w:t>
            </w:r>
          </w:p>
        </w:tc>
      </w:tr>
      <w:tr w:rsidR="00BF47DC" w:rsidRPr="00BF47DC" w14:paraId="31DBC832" w14:textId="77777777" w:rsidTr="00BF47DC">
        <w:trPr>
          <w:trHeight w:val="283"/>
        </w:trPr>
        <w:tc>
          <w:tcPr>
            <w:tcW w:w="2246" w:type="pct"/>
            <w:tcBorders>
              <w:top w:val="nil"/>
              <w:left w:val="nil"/>
              <w:bottom w:val="nil"/>
              <w:right w:val="nil"/>
            </w:tcBorders>
            <w:shd w:val="clear" w:color="000000" w:fill="FFFFFF"/>
            <w:vAlign w:val="center"/>
            <w:hideMark/>
          </w:tcPr>
          <w:p w14:paraId="4C907143" w14:textId="77777777" w:rsidR="00BF47DC" w:rsidRPr="00BF47DC" w:rsidRDefault="00BF47DC" w:rsidP="00BF47DC">
            <w:pPr>
              <w:spacing w:after="0" w:line="240" w:lineRule="auto"/>
              <w:jc w:val="left"/>
              <w:rPr>
                <w:rFonts w:asciiTheme="minorHAnsi" w:eastAsia="Times New Roman" w:hAnsiTheme="minorHAnsi" w:cstheme="minorHAnsi"/>
                <w:color w:val="000000"/>
                <w:sz w:val="18"/>
                <w:szCs w:val="18"/>
                <w:lang w:eastAsia="en-GB"/>
              </w:rPr>
            </w:pPr>
            <w:r w:rsidRPr="00BF47DC">
              <w:rPr>
                <w:rFonts w:asciiTheme="minorHAnsi" w:eastAsia="Times New Roman" w:hAnsiTheme="minorHAnsi" w:cstheme="minorHAnsi"/>
                <w:color w:val="000000"/>
                <w:sz w:val="18"/>
                <w:szCs w:val="18"/>
                <w:lang w:eastAsia="en-GB"/>
              </w:rPr>
              <w:t>OPFCC &amp; Commissioning</w:t>
            </w:r>
          </w:p>
        </w:tc>
        <w:tc>
          <w:tcPr>
            <w:tcW w:w="689" w:type="pct"/>
            <w:tcBorders>
              <w:top w:val="nil"/>
              <w:left w:val="nil"/>
              <w:bottom w:val="nil"/>
              <w:right w:val="nil"/>
            </w:tcBorders>
            <w:shd w:val="clear" w:color="000000" w:fill="FFFFFF"/>
            <w:vAlign w:val="bottom"/>
            <w:hideMark/>
          </w:tcPr>
          <w:p w14:paraId="5C55FE5D"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6A0C2C9F"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7018ACBF"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7DA8052F"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r>
      <w:tr w:rsidR="00BF47DC" w:rsidRPr="00BF47DC" w14:paraId="20D554B1" w14:textId="77777777" w:rsidTr="00BF47DC">
        <w:trPr>
          <w:trHeight w:val="283"/>
        </w:trPr>
        <w:tc>
          <w:tcPr>
            <w:tcW w:w="2246" w:type="pct"/>
            <w:tcBorders>
              <w:top w:val="single" w:sz="4" w:space="0" w:color="auto"/>
              <w:left w:val="nil"/>
              <w:bottom w:val="single" w:sz="4" w:space="0" w:color="auto"/>
              <w:right w:val="nil"/>
            </w:tcBorders>
            <w:shd w:val="clear" w:color="000000" w:fill="FFFFFF"/>
            <w:vAlign w:val="center"/>
            <w:hideMark/>
          </w:tcPr>
          <w:p w14:paraId="579C0433" w14:textId="77777777" w:rsidR="00BF47DC" w:rsidRPr="00BF47DC" w:rsidRDefault="00BF47DC" w:rsidP="00BF47DC">
            <w:pPr>
              <w:spacing w:after="0" w:line="240" w:lineRule="auto"/>
              <w:jc w:val="left"/>
              <w:rPr>
                <w:rFonts w:asciiTheme="minorHAnsi" w:eastAsia="Times New Roman" w:hAnsiTheme="minorHAnsi" w:cstheme="minorHAnsi"/>
                <w:b/>
                <w:bCs/>
                <w:color w:val="000000"/>
                <w:sz w:val="18"/>
                <w:szCs w:val="18"/>
                <w:lang w:eastAsia="en-GB"/>
              </w:rPr>
            </w:pPr>
            <w:r w:rsidRPr="00BF47DC">
              <w:rPr>
                <w:rFonts w:asciiTheme="minorHAnsi" w:eastAsia="Times New Roman" w:hAnsiTheme="minorHAnsi" w:cstheme="minorHAnsi"/>
                <w:b/>
                <w:bCs/>
                <w:color w:val="000000"/>
                <w:sz w:val="18"/>
                <w:szCs w:val="18"/>
                <w:lang w:eastAsia="en-GB"/>
              </w:rPr>
              <w:t>Net Cost of Services</w:t>
            </w:r>
          </w:p>
        </w:tc>
        <w:tc>
          <w:tcPr>
            <w:tcW w:w="689" w:type="pct"/>
            <w:tcBorders>
              <w:top w:val="single" w:sz="4" w:space="0" w:color="auto"/>
              <w:left w:val="nil"/>
              <w:bottom w:val="single" w:sz="4" w:space="0" w:color="auto"/>
              <w:right w:val="nil"/>
            </w:tcBorders>
            <w:shd w:val="clear" w:color="000000" w:fill="FFFFFF"/>
            <w:vAlign w:val="bottom"/>
            <w:hideMark/>
          </w:tcPr>
          <w:p w14:paraId="1759F0CC"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auto"/>
                <w:sz w:val="18"/>
                <w:szCs w:val="18"/>
                <w:lang w:eastAsia="en-GB"/>
              </w:rPr>
              <w:t>-</w:t>
            </w:r>
          </w:p>
        </w:tc>
        <w:tc>
          <w:tcPr>
            <w:tcW w:w="689" w:type="pct"/>
            <w:tcBorders>
              <w:top w:val="single" w:sz="4" w:space="0" w:color="auto"/>
              <w:left w:val="nil"/>
              <w:bottom w:val="single" w:sz="4" w:space="0" w:color="auto"/>
              <w:right w:val="nil"/>
            </w:tcBorders>
            <w:shd w:val="clear" w:color="000000" w:fill="FFFFFF"/>
            <w:vAlign w:val="bottom"/>
            <w:hideMark/>
          </w:tcPr>
          <w:p w14:paraId="70777489"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000000"/>
                <w:sz w:val="18"/>
                <w:szCs w:val="18"/>
                <w:lang w:eastAsia="en-GB"/>
              </w:rPr>
              <w:t>(19,642)</w:t>
            </w:r>
          </w:p>
        </w:tc>
        <w:tc>
          <w:tcPr>
            <w:tcW w:w="689" w:type="pct"/>
            <w:tcBorders>
              <w:top w:val="single" w:sz="4" w:space="0" w:color="auto"/>
              <w:left w:val="nil"/>
              <w:bottom w:val="single" w:sz="4" w:space="0" w:color="auto"/>
              <w:right w:val="nil"/>
            </w:tcBorders>
            <w:shd w:val="clear" w:color="000000" w:fill="FFFFFF"/>
            <w:vAlign w:val="bottom"/>
            <w:hideMark/>
          </w:tcPr>
          <w:p w14:paraId="31BE8EFA"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auto"/>
                <w:sz w:val="18"/>
                <w:szCs w:val="18"/>
                <w:lang w:eastAsia="en-GB"/>
              </w:rPr>
              <w:t>1,315</w:t>
            </w:r>
          </w:p>
        </w:tc>
        <w:tc>
          <w:tcPr>
            <w:tcW w:w="689" w:type="pct"/>
            <w:tcBorders>
              <w:top w:val="single" w:sz="4" w:space="0" w:color="auto"/>
              <w:left w:val="nil"/>
              <w:bottom w:val="single" w:sz="4" w:space="0" w:color="auto"/>
              <w:right w:val="nil"/>
            </w:tcBorders>
            <w:shd w:val="clear" w:color="000000" w:fill="FFFFFF"/>
            <w:vAlign w:val="bottom"/>
            <w:hideMark/>
          </w:tcPr>
          <w:p w14:paraId="767FD32D"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000000"/>
                <w:sz w:val="18"/>
                <w:szCs w:val="18"/>
                <w:lang w:eastAsia="en-GB"/>
              </w:rPr>
              <w:t>(18,327)</w:t>
            </w:r>
          </w:p>
        </w:tc>
      </w:tr>
      <w:tr w:rsidR="00BF47DC" w:rsidRPr="00BF47DC" w14:paraId="44FD2613" w14:textId="77777777" w:rsidTr="00BF47DC">
        <w:trPr>
          <w:trHeight w:val="283"/>
        </w:trPr>
        <w:tc>
          <w:tcPr>
            <w:tcW w:w="2246" w:type="pct"/>
            <w:tcBorders>
              <w:top w:val="nil"/>
              <w:left w:val="nil"/>
              <w:bottom w:val="nil"/>
              <w:right w:val="nil"/>
            </w:tcBorders>
            <w:shd w:val="clear" w:color="000000" w:fill="FFFFFF"/>
            <w:vAlign w:val="center"/>
            <w:hideMark/>
          </w:tcPr>
          <w:p w14:paraId="331EE125" w14:textId="77777777" w:rsidR="00BF47DC" w:rsidRPr="00BF47DC" w:rsidRDefault="00BF47DC" w:rsidP="00BF47DC">
            <w:pPr>
              <w:spacing w:after="0" w:line="240" w:lineRule="auto"/>
              <w:jc w:val="lef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Joint Venture &amp; Associates</w:t>
            </w:r>
          </w:p>
        </w:tc>
        <w:tc>
          <w:tcPr>
            <w:tcW w:w="689" w:type="pct"/>
            <w:tcBorders>
              <w:top w:val="nil"/>
              <w:left w:val="nil"/>
              <w:bottom w:val="nil"/>
              <w:right w:val="nil"/>
            </w:tcBorders>
            <w:shd w:val="clear" w:color="000000" w:fill="FFFFFF"/>
            <w:vAlign w:val="bottom"/>
            <w:hideMark/>
          </w:tcPr>
          <w:p w14:paraId="42B00FEC"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775FB583"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2DC34832"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37B56554"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r>
      <w:tr w:rsidR="00BF47DC" w:rsidRPr="00BF47DC" w14:paraId="36079ADE" w14:textId="77777777" w:rsidTr="00BF47DC">
        <w:trPr>
          <w:trHeight w:val="283"/>
        </w:trPr>
        <w:tc>
          <w:tcPr>
            <w:tcW w:w="2246" w:type="pct"/>
            <w:tcBorders>
              <w:top w:val="nil"/>
              <w:left w:val="nil"/>
              <w:bottom w:val="nil"/>
              <w:right w:val="nil"/>
            </w:tcBorders>
            <w:shd w:val="clear" w:color="000000" w:fill="FFFFFF"/>
            <w:vAlign w:val="center"/>
            <w:hideMark/>
          </w:tcPr>
          <w:p w14:paraId="3EAA8995" w14:textId="77777777" w:rsidR="00BF47DC" w:rsidRPr="00BF47DC" w:rsidRDefault="00BF47DC" w:rsidP="00BF47DC">
            <w:pPr>
              <w:spacing w:after="0" w:line="240" w:lineRule="auto"/>
              <w:jc w:val="lef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Other Income and Expenditure</w:t>
            </w:r>
          </w:p>
        </w:tc>
        <w:tc>
          <w:tcPr>
            <w:tcW w:w="689" w:type="pct"/>
            <w:tcBorders>
              <w:top w:val="nil"/>
              <w:left w:val="nil"/>
              <w:bottom w:val="nil"/>
              <w:right w:val="nil"/>
            </w:tcBorders>
            <w:shd w:val="clear" w:color="000000" w:fill="FFFFFF"/>
            <w:vAlign w:val="bottom"/>
            <w:hideMark/>
          </w:tcPr>
          <w:p w14:paraId="2F6CFB70"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02F6B728"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4DDD273D"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3837215C"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r>
      <w:tr w:rsidR="00BF47DC" w:rsidRPr="00BF47DC" w14:paraId="2DC113AB" w14:textId="77777777" w:rsidTr="00BF47DC">
        <w:trPr>
          <w:trHeight w:val="283"/>
        </w:trPr>
        <w:tc>
          <w:tcPr>
            <w:tcW w:w="2246" w:type="pct"/>
            <w:tcBorders>
              <w:top w:val="nil"/>
              <w:left w:val="nil"/>
              <w:bottom w:val="nil"/>
              <w:right w:val="nil"/>
            </w:tcBorders>
            <w:shd w:val="clear" w:color="000000" w:fill="FFFFFF"/>
            <w:vAlign w:val="center"/>
            <w:hideMark/>
          </w:tcPr>
          <w:p w14:paraId="5CCD0552" w14:textId="77777777" w:rsidR="00BF47DC" w:rsidRPr="00BF47DC" w:rsidRDefault="00BF47DC" w:rsidP="00BF47DC">
            <w:pPr>
              <w:spacing w:after="0" w:line="240" w:lineRule="auto"/>
              <w:jc w:val="lef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Exceptional Item</w:t>
            </w:r>
          </w:p>
        </w:tc>
        <w:tc>
          <w:tcPr>
            <w:tcW w:w="689" w:type="pct"/>
            <w:tcBorders>
              <w:top w:val="nil"/>
              <w:left w:val="nil"/>
              <w:bottom w:val="nil"/>
              <w:right w:val="nil"/>
            </w:tcBorders>
            <w:shd w:val="clear" w:color="000000" w:fill="FFFFFF"/>
            <w:vAlign w:val="bottom"/>
            <w:hideMark/>
          </w:tcPr>
          <w:p w14:paraId="4052105A"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274A2650"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62AC87D4"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bottom"/>
            <w:hideMark/>
          </w:tcPr>
          <w:p w14:paraId="0FE3B5C6" w14:textId="77777777" w:rsidR="00BF47DC" w:rsidRPr="00BF47DC" w:rsidRDefault="00BF47DC" w:rsidP="00BF47DC">
            <w:pPr>
              <w:spacing w:after="0" w:line="240" w:lineRule="auto"/>
              <w:jc w:val="right"/>
              <w:rPr>
                <w:rFonts w:asciiTheme="minorHAnsi" w:eastAsia="Times New Roman" w:hAnsiTheme="minorHAnsi" w:cstheme="minorHAnsi"/>
                <w:color w:val="auto"/>
                <w:sz w:val="18"/>
                <w:szCs w:val="18"/>
                <w:lang w:eastAsia="en-GB"/>
              </w:rPr>
            </w:pPr>
            <w:r w:rsidRPr="00BF47DC">
              <w:rPr>
                <w:rFonts w:asciiTheme="minorHAnsi" w:eastAsia="Times New Roman" w:hAnsiTheme="minorHAnsi" w:cstheme="minorHAnsi"/>
                <w:color w:val="auto"/>
                <w:sz w:val="18"/>
                <w:szCs w:val="18"/>
                <w:lang w:eastAsia="en-GB"/>
              </w:rPr>
              <w:t>-</w:t>
            </w:r>
          </w:p>
        </w:tc>
      </w:tr>
      <w:tr w:rsidR="00BF47DC" w:rsidRPr="00BF47DC" w14:paraId="0844239D" w14:textId="77777777" w:rsidTr="00BF47DC">
        <w:trPr>
          <w:trHeight w:val="283"/>
        </w:trPr>
        <w:tc>
          <w:tcPr>
            <w:tcW w:w="2246" w:type="pct"/>
            <w:tcBorders>
              <w:top w:val="single" w:sz="4" w:space="0" w:color="auto"/>
              <w:left w:val="nil"/>
              <w:bottom w:val="single" w:sz="4" w:space="0" w:color="auto"/>
              <w:right w:val="nil"/>
            </w:tcBorders>
            <w:shd w:val="clear" w:color="000000" w:fill="FFFFFF"/>
            <w:vAlign w:val="center"/>
            <w:hideMark/>
          </w:tcPr>
          <w:p w14:paraId="631C5D70" w14:textId="77777777" w:rsidR="00BF47DC" w:rsidRPr="00BF47DC" w:rsidRDefault="00BF47DC" w:rsidP="00BF47DC">
            <w:pPr>
              <w:spacing w:after="0" w:line="240" w:lineRule="auto"/>
              <w:jc w:val="lef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auto"/>
                <w:sz w:val="18"/>
                <w:szCs w:val="18"/>
                <w:lang w:eastAsia="en-GB"/>
              </w:rPr>
              <w:t>Difference between the Statutory Charge and the (Surplus) or Deficit in the Comprehensive Income and Expenditure Statement</w:t>
            </w:r>
          </w:p>
        </w:tc>
        <w:tc>
          <w:tcPr>
            <w:tcW w:w="689" w:type="pct"/>
            <w:tcBorders>
              <w:top w:val="single" w:sz="4" w:space="0" w:color="auto"/>
              <w:left w:val="nil"/>
              <w:bottom w:val="single" w:sz="4" w:space="0" w:color="auto"/>
              <w:right w:val="nil"/>
            </w:tcBorders>
            <w:shd w:val="clear" w:color="000000" w:fill="FFFFFF"/>
            <w:vAlign w:val="center"/>
            <w:hideMark/>
          </w:tcPr>
          <w:p w14:paraId="5239751E"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auto"/>
                <w:sz w:val="18"/>
                <w:szCs w:val="18"/>
                <w:lang w:eastAsia="en-GB"/>
              </w:rPr>
              <w:t>-</w:t>
            </w:r>
          </w:p>
        </w:tc>
        <w:tc>
          <w:tcPr>
            <w:tcW w:w="689" w:type="pct"/>
            <w:tcBorders>
              <w:top w:val="single" w:sz="4" w:space="0" w:color="auto"/>
              <w:left w:val="nil"/>
              <w:bottom w:val="single" w:sz="4" w:space="0" w:color="auto"/>
              <w:right w:val="nil"/>
            </w:tcBorders>
            <w:shd w:val="clear" w:color="000000" w:fill="FFFFFF"/>
            <w:vAlign w:val="center"/>
            <w:hideMark/>
          </w:tcPr>
          <w:p w14:paraId="014EDB2A"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000000"/>
                <w:sz w:val="18"/>
                <w:szCs w:val="18"/>
                <w:lang w:eastAsia="en-GB"/>
              </w:rPr>
              <w:t>(19,642)</w:t>
            </w:r>
          </w:p>
        </w:tc>
        <w:tc>
          <w:tcPr>
            <w:tcW w:w="689" w:type="pct"/>
            <w:tcBorders>
              <w:top w:val="single" w:sz="4" w:space="0" w:color="auto"/>
              <w:left w:val="nil"/>
              <w:bottom w:val="single" w:sz="4" w:space="0" w:color="auto"/>
              <w:right w:val="nil"/>
            </w:tcBorders>
            <w:shd w:val="clear" w:color="000000" w:fill="FFFFFF"/>
            <w:vAlign w:val="center"/>
            <w:hideMark/>
          </w:tcPr>
          <w:p w14:paraId="493A96E0"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auto"/>
                <w:sz w:val="18"/>
                <w:szCs w:val="18"/>
                <w:lang w:eastAsia="en-GB"/>
              </w:rPr>
              <w:t>1,315</w:t>
            </w:r>
          </w:p>
        </w:tc>
        <w:tc>
          <w:tcPr>
            <w:tcW w:w="689" w:type="pct"/>
            <w:tcBorders>
              <w:top w:val="single" w:sz="4" w:space="0" w:color="auto"/>
              <w:left w:val="nil"/>
              <w:bottom w:val="single" w:sz="4" w:space="0" w:color="auto"/>
              <w:right w:val="nil"/>
            </w:tcBorders>
            <w:shd w:val="clear" w:color="000000" w:fill="FFFFFF"/>
            <w:vAlign w:val="center"/>
            <w:hideMark/>
          </w:tcPr>
          <w:p w14:paraId="67BAE731" w14:textId="77777777" w:rsidR="00BF47DC" w:rsidRPr="00BF47DC" w:rsidRDefault="00BF47DC" w:rsidP="00BF47DC">
            <w:pPr>
              <w:spacing w:after="0" w:line="240" w:lineRule="auto"/>
              <w:jc w:val="right"/>
              <w:rPr>
                <w:rFonts w:asciiTheme="minorHAnsi" w:eastAsia="Times New Roman" w:hAnsiTheme="minorHAnsi" w:cstheme="minorHAnsi"/>
                <w:b/>
                <w:bCs/>
                <w:color w:val="auto"/>
                <w:sz w:val="18"/>
                <w:szCs w:val="18"/>
                <w:lang w:eastAsia="en-GB"/>
              </w:rPr>
            </w:pPr>
            <w:r w:rsidRPr="00BF47DC">
              <w:rPr>
                <w:rFonts w:asciiTheme="minorHAnsi" w:eastAsia="Times New Roman" w:hAnsiTheme="minorHAnsi" w:cstheme="minorHAnsi"/>
                <w:b/>
                <w:bCs/>
                <w:color w:val="000000"/>
                <w:sz w:val="18"/>
                <w:szCs w:val="18"/>
                <w:lang w:eastAsia="en-GB"/>
              </w:rPr>
              <w:t>(18,327)</w:t>
            </w:r>
          </w:p>
        </w:tc>
      </w:tr>
    </w:tbl>
    <w:p w14:paraId="2BBF487B" w14:textId="5242C2D8" w:rsidR="00703734" w:rsidRDefault="00703734" w:rsidP="00041EFE">
      <w:bookmarkStart w:id="82" w:name="_Toc517077280"/>
      <w:bookmarkStart w:id="83" w:name="_Toc9272506"/>
      <w:bookmarkStart w:id="84" w:name="_Toc9592052"/>
      <w:bookmarkStart w:id="85" w:name="_Toc109632203"/>
    </w:p>
    <w:p w14:paraId="43ABCED5" w14:textId="52945F29" w:rsidR="002522D4" w:rsidRDefault="002522D4" w:rsidP="003356AE">
      <w:pPr>
        <w:pStyle w:val="NoteHeader"/>
        <w:spacing w:line="240" w:lineRule="auto"/>
      </w:pPr>
      <w:bookmarkStart w:id="86" w:name="_Toc230858559"/>
      <w:r w:rsidRPr="00BC33FA">
        <w:t>Note 5B - Segmental Analysis of Income and Expenditure</w:t>
      </w:r>
      <w:bookmarkEnd w:id="82"/>
      <w:bookmarkEnd w:id="83"/>
      <w:bookmarkEnd w:id="84"/>
      <w:bookmarkEnd w:id="85"/>
      <w:bookmarkEnd w:id="86"/>
    </w:p>
    <w:p w14:paraId="3DD2B99C" w14:textId="77777777" w:rsidR="00282A5C" w:rsidRDefault="00282A5C" w:rsidP="003356AE">
      <w:pPr>
        <w:spacing w:line="240" w:lineRule="auto"/>
        <w:jc w:val="left"/>
      </w:pPr>
      <w:bookmarkStart w:id="87" w:name="_Toc517077281"/>
      <w:bookmarkStart w:id="88" w:name="_Toc9592053"/>
      <w:bookmarkStart w:id="89" w:name="_Toc109632204"/>
    </w:p>
    <w:tbl>
      <w:tblPr>
        <w:tblW w:w="5000" w:type="pct"/>
        <w:tblLook w:val="04A0" w:firstRow="1" w:lastRow="0" w:firstColumn="1" w:lastColumn="0" w:noHBand="0" w:noVBand="1"/>
      </w:tblPr>
      <w:tblGrid>
        <w:gridCol w:w="4076"/>
        <w:gridCol w:w="1250"/>
        <w:gridCol w:w="1250"/>
        <w:gridCol w:w="1250"/>
        <w:gridCol w:w="1246"/>
      </w:tblGrid>
      <w:tr w:rsidR="007B7F15" w:rsidRPr="007B7F15" w14:paraId="71A5CAA2" w14:textId="77777777" w:rsidTr="007B7F15">
        <w:trPr>
          <w:trHeight w:val="283"/>
        </w:trPr>
        <w:tc>
          <w:tcPr>
            <w:tcW w:w="2246" w:type="pct"/>
            <w:tcBorders>
              <w:top w:val="nil"/>
              <w:left w:val="nil"/>
              <w:bottom w:val="nil"/>
              <w:right w:val="nil"/>
            </w:tcBorders>
            <w:shd w:val="clear" w:color="000000" w:fill="000099"/>
            <w:vAlign w:val="center"/>
            <w:hideMark/>
          </w:tcPr>
          <w:p w14:paraId="13B088EE" w14:textId="77777777" w:rsidR="007B7F15" w:rsidRPr="007B7F15" w:rsidRDefault="007B7F15" w:rsidP="007B7F15">
            <w:pPr>
              <w:spacing w:after="0" w:line="240" w:lineRule="auto"/>
              <w:jc w:val="left"/>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2025/26</w:t>
            </w:r>
          </w:p>
        </w:tc>
        <w:tc>
          <w:tcPr>
            <w:tcW w:w="689" w:type="pct"/>
            <w:tcBorders>
              <w:top w:val="nil"/>
              <w:left w:val="nil"/>
              <w:bottom w:val="nil"/>
              <w:right w:val="nil"/>
            </w:tcBorders>
            <w:shd w:val="clear" w:color="000000" w:fill="000099"/>
            <w:vAlign w:val="center"/>
            <w:hideMark/>
          </w:tcPr>
          <w:p w14:paraId="7681D538"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Revenues from External Customers</w:t>
            </w:r>
          </w:p>
        </w:tc>
        <w:tc>
          <w:tcPr>
            <w:tcW w:w="689" w:type="pct"/>
            <w:tcBorders>
              <w:top w:val="nil"/>
              <w:left w:val="nil"/>
              <w:bottom w:val="nil"/>
              <w:right w:val="nil"/>
            </w:tcBorders>
            <w:shd w:val="clear" w:color="000000" w:fill="000099"/>
            <w:vAlign w:val="center"/>
            <w:hideMark/>
          </w:tcPr>
          <w:p w14:paraId="6DDDBF79"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Interest Revenue</w:t>
            </w:r>
          </w:p>
        </w:tc>
        <w:tc>
          <w:tcPr>
            <w:tcW w:w="689" w:type="pct"/>
            <w:tcBorders>
              <w:top w:val="nil"/>
              <w:left w:val="nil"/>
              <w:bottom w:val="nil"/>
              <w:right w:val="nil"/>
            </w:tcBorders>
            <w:shd w:val="clear" w:color="000000" w:fill="000099"/>
            <w:vAlign w:val="center"/>
            <w:hideMark/>
          </w:tcPr>
          <w:p w14:paraId="6F078827"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Interest Expense</w:t>
            </w:r>
          </w:p>
        </w:tc>
        <w:tc>
          <w:tcPr>
            <w:tcW w:w="689" w:type="pct"/>
            <w:tcBorders>
              <w:top w:val="nil"/>
              <w:left w:val="nil"/>
              <w:bottom w:val="nil"/>
              <w:right w:val="nil"/>
            </w:tcBorders>
            <w:shd w:val="clear" w:color="000000" w:fill="000099"/>
            <w:vAlign w:val="center"/>
            <w:hideMark/>
          </w:tcPr>
          <w:p w14:paraId="0EFF4279"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 xml:space="preserve">Depreciation and Amortisation </w:t>
            </w:r>
          </w:p>
        </w:tc>
      </w:tr>
      <w:tr w:rsidR="007B7F15" w:rsidRPr="007B7F15" w14:paraId="331D69D1" w14:textId="77777777" w:rsidTr="007B7F15">
        <w:trPr>
          <w:trHeight w:val="283"/>
        </w:trPr>
        <w:tc>
          <w:tcPr>
            <w:tcW w:w="2246" w:type="pct"/>
            <w:tcBorders>
              <w:top w:val="nil"/>
              <w:left w:val="nil"/>
              <w:bottom w:val="nil"/>
              <w:right w:val="nil"/>
            </w:tcBorders>
            <w:shd w:val="clear" w:color="000000" w:fill="000099"/>
            <w:vAlign w:val="center"/>
            <w:hideMark/>
          </w:tcPr>
          <w:p w14:paraId="005BAF47" w14:textId="77777777" w:rsidR="007B7F15" w:rsidRPr="007B7F15" w:rsidRDefault="007B7F15" w:rsidP="007B7F15">
            <w:pPr>
              <w:spacing w:after="0" w:line="240" w:lineRule="auto"/>
              <w:jc w:val="left"/>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 </w:t>
            </w:r>
          </w:p>
        </w:tc>
        <w:tc>
          <w:tcPr>
            <w:tcW w:w="689" w:type="pct"/>
            <w:tcBorders>
              <w:top w:val="nil"/>
              <w:left w:val="nil"/>
              <w:bottom w:val="nil"/>
              <w:right w:val="nil"/>
            </w:tcBorders>
            <w:shd w:val="clear" w:color="000000" w:fill="000099"/>
            <w:vAlign w:val="center"/>
            <w:hideMark/>
          </w:tcPr>
          <w:p w14:paraId="585FE52C"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71E7B388"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60DF5BDE"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73D45067"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r>
      <w:tr w:rsidR="007B7F15" w:rsidRPr="007B7F15" w14:paraId="3A6A41D4" w14:textId="77777777" w:rsidTr="007B7F15">
        <w:trPr>
          <w:trHeight w:val="283"/>
        </w:trPr>
        <w:tc>
          <w:tcPr>
            <w:tcW w:w="2246" w:type="pct"/>
            <w:tcBorders>
              <w:top w:val="nil"/>
              <w:left w:val="nil"/>
              <w:bottom w:val="nil"/>
              <w:right w:val="nil"/>
            </w:tcBorders>
            <w:shd w:val="clear" w:color="000000" w:fill="FFFFFF"/>
            <w:vAlign w:val="center"/>
            <w:hideMark/>
          </w:tcPr>
          <w:p w14:paraId="0A714E12" w14:textId="77777777" w:rsidR="007B7F15" w:rsidRPr="007B7F15" w:rsidRDefault="007B7F15" w:rsidP="007B7F15">
            <w:pPr>
              <w:spacing w:after="0" w:line="240" w:lineRule="auto"/>
              <w:jc w:val="lef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Policing Services</w:t>
            </w:r>
          </w:p>
        </w:tc>
        <w:tc>
          <w:tcPr>
            <w:tcW w:w="689" w:type="pct"/>
            <w:tcBorders>
              <w:top w:val="nil"/>
              <w:left w:val="nil"/>
              <w:bottom w:val="nil"/>
              <w:right w:val="nil"/>
            </w:tcBorders>
            <w:shd w:val="clear" w:color="000000" w:fill="CCECFF"/>
            <w:vAlign w:val="bottom"/>
            <w:hideMark/>
          </w:tcPr>
          <w:p w14:paraId="37CCC588"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000000"/>
                <w:sz w:val="18"/>
                <w:szCs w:val="18"/>
                <w:lang w:eastAsia="en-GB"/>
              </w:rPr>
              <w:t>(17,995)</w:t>
            </w:r>
          </w:p>
        </w:tc>
        <w:tc>
          <w:tcPr>
            <w:tcW w:w="689" w:type="pct"/>
            <w:tcBorders>
              <w:top w:val="nil"/>
              <w:left w:val="nil"/>
              <w:bottom w:val="nil"/>
              <w:right w:val="nil"/>
            </w:tcBorders>
            <w:shd w:val="clear" w:color="000000" w:fill="CCECFF"/>
            <w:vAlign w:val="bottom"/>
            <w:hideMark/>
          </w:tcPr>
          <w:p w14:paraId="45C2C6B3" w14:textId="617168F3"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000000"/>
                <w:sz w:val="18"/>
                <w:szCs w:val="18"/>
                <w:lang w:eastAsia="en-GB"/>
              </w:rPr>
              <w:t>(865)</w:t>
            </w:r>
          </w:p>
        </w:tc>
        <w:tc>
          <w:tcPr>
            <w:tcW w:w="689" w:type="pct"/>
            <w:tcBorders>
              <w:top w:val="nil"/>
              <w:left w:val="nil"/>
              <w:bottom w:val="nil"/>
              <w:right w:val="nil"/>
            </w:tcBorders>
            <w:shd w:val="clear" w:color="000000" w:fill="CCECFF"/>
            <w:vAlign w:val="bottom"/>
            <w:hideMark/>
          </w:tcPr>
          <w:p w14:paraId="5C4DA821"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2A37D16E"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r>
      <w:tr w:rsidR="007B7F15" w:rsidRPr="007B7F15" w14:paraId="06F31C01" w14:textId="77777777" w:rsidTr="007B7F15">
        <w:trPr>
          <w:trHeight w:val="283"/>
        </w:trPr>
        <w:tc>
          <w:tcPr>
            <w:tcW w:w="2246" w:type="pct"/>
            <w:tcBorders>
              <w:top w:val="nil"/>
              <w:left w:val="nil"/>
              <w:bottom w:val="nil"/>
              <w:right w:val="nil"/>
            </w:tcBorders>
            <w:shd w:val="clear" w:color="000000" w:fill="FFFFFF"/>
            <w:vAlign w:val="center"/>
            <w:hideMark/>
          </w:tcPr>
          <w:p w14:paraId="196C25D4" w14:textId="77777777" w:rsidR="007B7F15" w:rsidRPr="007B7F15" w:rsidRDefault="007B7F15" w:rsidP="007B7F15">
            <w:pPr>
              <w:spacing w:after="0" w:line="240" w:lineRule="auto"/>
              <w:jc w:val="left"/>
              <w:rPr>
                <w:rFonts w:asciiTheme="minorHAnsi" w:eastAsia="Times New Roman" w:hAnsiTheme="minorHAnsi" w:cstheme="minorHAnsi"/>
                <w:color w:val="000000"/>
                <w:sz w:val="18"/>
                <w:szCs w:val="18"/>
                <w:lang w:eastAsia="en-GB"/>
              </w:rPr>
            </w:pPr>
            <w:r w:rsidRPr="007B7F15">
              <w:rPr>
                <w:rFonts w:asciiTheme="minorHAnsi" w:eastAsia="Times New Roman" w:hAnsiTheme="minorHAnsi" w:cstheme="minorHAnsi"/>
                <w:color w:val="000000"/>
                <w:sz w:val="18"/>
                <w:szCs w:val="18"/>
                <w:lang w:eastAsia="en-GB"/>
              </w:rPr>
              <w:t>OPFCC &amp; Commissioning</w:t>
            </w:r>
          </w:p>
        </w:tc>
        <w:tc>
          <w:tcPr>
            <w:tcW w:w="689" w:type="pct"/>
            <w:tcBorders>
              <w:top w:val="nil"/>
              <w:left w:val="nil"/>
              <w:bottom w:val="nil"/>
              <w:right w:val="nil"/>
            </w:tcBorders>
            <w:shd w:val="clear" w:color="000000" w:fill="CCECFF"/>
            <w:vAlign w:val="bottom"/>
            <w:hideMark/>
          </w:tcPr>
          <w:p w14:paraId="64F3F840"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7E879EF7"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33EA6344"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CCECFF"/>
            <w:vAlign w:val="bottom"/>
            <w:hideMark/>
          </w:tcPr>
          <w:p w14:paraId="41EEF328"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r>
      <w:tr w:rsidR="007B7F15" w:rsidRPr="007B7F15" w14:paraId="40C381A6" w14:textId="77777777" w:rsidTr="007B7F15">
        <w:trPr>
          <w:trHeight w:val="283"/>
        </w:trPr>
        <w:tc>
          <w:tcPr>
            <w:tcW w:w="2246" w:type="pct"/>
            <w:tcBorders>
              <w:top w:val="single" w:sz="4" w:space="0" w:color="auto"/>
              <w:left w:val="nil"/>
              <w:bottom w:val="single" w:sz="4" w:space="0" w:color="auto"/>
              <w:right w:val="nil"/>
            </w:tcBorders>
            <w:shd w:val="clear" w:color="000000" w:fill="FFFFFF"/>
            <w:vAlign w:val="center"/>
            <w:hideMark/>
          </w:tcPr>
          <w:p w14:paraId="3785F701" w14:textId="77777777" w:rsidR="007B7F15" w:rsidRPr="007B7F15" w:rsidRDefault="007B7F15" w:rsidP="007B7F15">
            <w:pPr>
              <w:spacing w:after="0" w:line="240" w:lineRule="auto"/>
              <w:jc w:val="left"/>
              <w:rPr>
                <w:rFonts w:asciiTheme="minorHAnsi" w:eastAsia="Times New Roman" w:hAnsiTheme="minorHAnsi" w:cstheme="minorHAnsi"/>
                <w:b/>
                <w:bCs/>
                <w:color w:val="000000"/>
                <w:sz w:val="18"/>
                <w:szCs w:val="18"/>
                <w:lang w:eastAsia="en-GB"/>
              </w:rPr>
            </w:pPr>
            <w:r w:rsidRPr="007B7F15">
              <w:rPr>
                <w:rFonts w:asciiTheme="minorHAnsi" w:eastAsia="Times New Roman" w:hAnsiTheme="minorHAnsi" w:cstheme="minorHAnsi"/>
                <w:b/>
                <w:bCs/>
                <w:color w:val="000000"/>
                <w:sz w:val="18"/>
                <w:szCs w:val="18"/>
                <w:lang w:eastAsia="en-GB"/>
              </w:rPr>
              <w:t>Total</w:t>
            </w:r>
          </w:p>
        </w:tc>
        <w:tc>
          <w:tcPr>
            <w:tcW w:w="689" w:type="pct"/>
            <w:tcBorders>
              <w:top w:val="single" w:sz="4" w:space="0" w:color="auto"/>
              <w:left w:val="nil"/>
              <w:bottom w:val="single" w:sz="4" w:space="0" w:color="auto"/>
              <w:right w:val="nil"/>
            </w:tcBorders>
            <w:shd w:val="clear" w:color="000000" w:fill="CCECFF"/>
            <w:vAlign w:val="bottom"/>
            <w:hideMark/>
          </w:tcPr>
          <w:p w14:paraId="2961B463"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000000"/>
                <w:sz w:val="18"/>
                <w:szCs w:val="18"/>
                <w:lang w:eastAsia="en-GB"/>
              </w:rPr>
              <w:t>(17,995)</w:t>
            </w:r>
          </w:p>
        </w:tc>
        <w:tc>
          <w:tcPr>
            <w:tcW w:w="689" w:type="pct"/>
            <w:tcBorders>
              <w:top w:val="single" w:sz="4" w:space="0" w:color="auto"/>
              <w:left w:val="nil"/>
              <w:bottom w:val="single" w:sz="4" w:space="0" w:color="auto"/>
              <w:right w:val="nil"/>
            </w:tcBorders>
            <w:shd w:val="clear" w:color="000000" w:fill="CCECFF"/>
            <w:vAlign w:val="bottom"/>
            <w:hideMark/>
          </w:tcPr>
          <w:p w14:paraId="2451F755"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000000"/>
                <w:sz w:val="18"/>
                <w:szCs w:val="18"/>
                <w:lang w:eastAsia="en-GB"/>
              </w:rPr>
              <w:t>(865)</w:t>
            </w:r>
          </w:p>
        </w:tc>
        <w:tc>
          <w:tcPr>
            <w:tcW w:w="689" w:type="pct"/>
            <w:tcBorders>
              <w:top w:val="single" w:sz="4" w:space="0" w:color="auto"/>
              <w:left w:val="nil"/>
              <w:bottom w:val="single" w:sz="4" w:space="0" w:color="auto"/>
              <w:right w:val="nil"/>
            </w:tcBorders>
            <w:shd w:val="clear" w:color="000000" w:fill="CCECFF"/>
            <w:vAlign w:val="bottom"/>
            <w:hideMark/>
          </w:tcPr>
          <w:p w14:paraId="778A48A6"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auto"/>
                <w:sz w:val="18"/>
                <w:szCs w:val="18"/>
                <w:lang w:eastAsia="en-GB"/>
              </w:rPr>
              <w:t>-</w:t>
            </w:r>
          </w:p>
        </w:tc>
        <w:tc>
          <w:tcPr>
            <w:tcW w:w="689" w:type="pct"/>
            <w:tcBorders>
              <w:top w:val="single" w:sz="4" w:space="0" w:color="auto"/>
              <w:left w:val="nil"/>
              <w:bottom w:val="single" w:sz="4" w:space="0" w:color="auto"/>
              <w:right w:val="nil"/>
            </w:tcBorders>
            <w:shd w:val="clear" w:color="000000" w:fill="CCECFF"/>
            <w:vAlign w:val="bottom"/>
            <w:hideMark/>
          </w:tcPr>
          <w:p w14:paraId="0F12012B"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auto"/>
                <w:sz w:val="18"/>
                <w:szCs w:val="18"/>
                <w:lang w:eastAsia="en-GB"/>
              </w:rPr>
              <w:t>-</w:t>
            </w:r>
          </w:p>
        </w:tc>
      </w:tr>
      <w:tr w:rsidR="007B7F15" w:rsidRPr="007B7F15" w14:paraId="55AC5F8A" w14:textId="77777777" w:rsidTr="007B7F15">
        <w:trPr>
          <w:trHeight w:val="283"/>
        </w:trPr>
        <w:tc>
          <w:tcPr>
            <w:tcW w:w="2246" w:type="pct"/>
            <w:tcBorders>
              <w:top w:val="nil"/>
              <w:left w:val="nil"/>
              <w:bottom w:val="nil"/>
              <w:right w:val="nil"/>
            </w:tcBorders>
            <w:shd w:val="clear" w:color="000000" w:fill="FFFFFF"/>
            <w:vAlign w:val="bottom"/>
            <w:hideMark/>
          </w:tcPr>
          <w:p w14:paraId="27518B88" w14:textId="77777777" w:rsidR="007B7F15" w:rsidRPr="007B7F15" w:rsidRDefault="007B7F15" w:rsidP="007B7F15">
            <w:pPr>
              <w:spacing w:after="0" w:line="240" w:lineRule="auto"/>
              <w:jc w:val="lef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 </w:t>
            </w:r>
          </w:p>
        </w:tc>
        <w:tc>
          <w:tcPr>
            <w:tcW w:w="689" w:type="pct"/>
            <w:tcBorders>
              <w:top w:val="nil"/>
              <w:left w:val="nil"/>
              <w:bottom w:val="nil"/>
              <w:right w:val="nil"/>
            </w:tcBorders>
            <w:shd w:val="clear" w:color="000000" w:fill="FFFFFF"/>
            <w:noWrap/>
            <w:vAlign w:val="bottom"/>
            <w:hideMark/>
          </w:tcPr>
          <w:p w14:paraId="7E62AC28"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 </w:t>
            </w:r>
          </w:p>
        </w:tc>
        <w:tc>
          <w:tcPr>
            <w:tcW w:w="689" w:type="pct"/>
            <w:tcBorders>
              <w:top w:val="nil"/>
              <w:left w:val="nil"/>
              <w:bottom w:val="nil"/>
              <w:right w:val="nil"/>
            </w:tcBorders>
            <w:shd w:val="clear" w:color="000000" w:fill="FFFFFF"/>
            <w:noWrap/>
            <w:vAlign w:val="bottom"/>
            <w:hideMark/>
          </w:tcPr>
          <w:p w14:paraId="2A736CE0"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 </w:t>
            </w:r>
          </w:p>
        </w:tc>
        <w:tc>
          <w:tcPr>
            <w:tcW w:w="689" w:type="pct"/>
            <w:tcBorders>
              <w:top w:val="nil"/>
              <w:left w:val="nil"/>
              <w:bottom w:val="nil"/>
              <w:right w:val="nil"/>
            </w:tcBorders>
            <w:shd w:val="clear" w:color="000000" w:fill="FFFFFF"/>
            <w:noWrap/>
            <w:vAlign w:val="bottom"/>
            <w:hideMark/>
          </w:tcPr>
          <w:p w14:paraId="2924880C"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 </w:t>
            </w:r>
          </w:p>
        </w:tc>
        <w:tc>
          <w:tcPr>
            <w:tcW w:w="689" w:type="pct"/>
            <w:tcBorders>
              <w:top w:val="nil"/>
              <w:left w:val="nil"/>
              <w:bottom w:val="nil"/>
              <w:right w:val="nil"/>
            </w:tcBorders>
            <w:shd w:val="clear" w:color="000000" w:fill="FFFFFF"/>
            <w:noWrap/>
            <w:vAlign w:val="bottom"/>
            <w:hideMark/>
          </w:tcPr>
          <w:p w14:paraId="7983F073"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 </w:t>
            </w:r>
          </w:p>
        </w:tc>
      </w:tr>
      <w:tr w:rsidR="007B7F15" w:rsidRPr="007B7F15" w14:paraId="37BE2D06" w14:textId="77777777" w:rsidTr="007B7F15">
        <w:trPr>
          <w:trHeight w:val="283"/>
        </w:trPr>
        <w:tc>
          <w:tcPr>
            <w:tcW w:w="2246" w:type="pct"/>
            <w:tcBorders>
              <w:top w:val="nil"/>
              <w:left w:val="nil"/>
              <w:bottom w:val="nil"/>
              <w:right w:val="nil"/>
            </w:tcBorders>
            <w:shd w:val="clear" w:color="000000" w:fill="000099"/>
            <w:vAlign w:val="center"/>
            <w:hideMark/>
          </w:tcPr>
          <w:p w14:paraId="50DA2366" w14:textId="77777777" w:rsidR="007B7F15" w:rsidRPr="007B7F15" w:rsidRDefault="007B7F15" w:rsidP="007B7F15">
            <w:pPr>
              <w:spacing w:after="0" w:line="240" w:lineRule="auto"/>
              <w:jc w:val="left"/>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2024/25</w:t>
            </w:r>
          </w:p>
        </w:tc>
        <w:tc>
          <w:tcPr>
            <w:tcW w:w="689" w:type="pct"/>
            <w:tcBorders>
              <w:top w:val="nil"/>
              <w:left w:val="nil"/>
              <w:bottom w:val="nil"/>
              <w:right w:val="nil"/>
            </w:tcBorders>
            <w:shd w:val="clear" w:color="000000" w:fill="000099"/>
            <w:vAlign w:val="center"/>
            <w:hideMark/>
          </w:tcPr>
          <w:p w14:paraId="5B8CD9F8"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Revenues from External Customers</w:t>
            </w:r>
          </w:p>
        </w:tc>
        <w:tc>
          <w:tcPr>
            <w:tcW w:w="689" w:type="pct"/>
            <w:tcBorders>
              <w:top w:val="nil"/>
              <w:left w:val="nil"/>
              <w:bottom w:val="nil"/>
              <w:right w:val="nil"/>
            </w:tcBorders>
            <w:shd w:val="clear" w:color="000000" w:fill="000099"/>
            <w:vAlign w:val="center"/>
            <w:hideMark/>
          </w:tcPr>
          <w:p w14:paraId="4592D7BC"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Interest Revenue</w:t>
            </w:r>
          </w:p>
        </w:tc>
        <w:tc>
          <w:tcPr>
            <w:tcW w:w="689" w:type="pct"/>
            <w:tcBorders>
              <w:top w:val="nil"/>
              <w:left w:val="nil"/>
              <w:bottom w:val="nil"/>
              <w:right w:val="nil"/>
            </w:tcBorders>
            <w:shd w:val="clear" w:color="000000" w:fill="000099"/>
            <w:vAlign w:val="center"/>
            <w:hideMark/>
          </w:tcPr>
          <w:p w14:paraId="2D6B1C91"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Interest Expense</w:t>
            </w:r>
          </w:p>
        </w:tc>
        <w:tc>
          <w:tcPr>
            <w:tcW w:w="689" w:type="pct"/>
            <w:tcBorders>
              <w:top w:val="nil"/>
              <w:left w:val="nil"/>
              <w:bottom w:val="nil"/>
              <w:right w:val="nil"/>
            </w:tcBorders>
            <w:shd w:val="clear" w:color="000000" w:fill="000099"/>
            <w:vAlign w:val="center"/>
            <w:hideMark/>
          </w:tcPr>
          <w:p w14:paraId="0133B548"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 xml:space="preserve">Depreciation and Amortisation </w:t>
            </w:r>
          </w:p>
        </w:tc>
      </w:tr>
      <w:tr w:rsidR="007B7F15" w:rsidRPr="007B7F15" w14:paraId="4C891939" w14:textId="77777777" w:rsidTr="007B7F15">
        <w:trPr>
          <w:trHeight w:val="283"/>
        </w:trPr>
        <w:tc>
          <w:tcPr>
            <w:tcW w:w="2246" w:type="pct"/>
            <w:tcBorders>
              <w:top w:val="nil"/>
              <w:left w:val="nil"/>
              <w:bottom w:val="nil"/>
              <w:right w:val="nil"/>
            </w:tcBorders>
            <w:shd w:val="clear" w:color="000000" w:fill="000099"/>
            <w:vAlign w:val="center"/>
            <w:hideMark/>
          </w:tcPr>
          <w:p w14:paraId="15D21CEB" w14:textId="77777777" w:rsidR="007B7F15" w:rsidRPr="007B7F15" w:rsidRDefault="007B7F15" w:rsidP="007B7F15">
            <w:pPr>
              <w:spacing w:after="0" w:line="240" w:lineRule="auto"/>
              <w:jc w:val="left"/>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 </w:t>
            </w:r>
          </w:p>
        </w:tc>
        <w:tc>
          <w:tcPr>
            <w:tcW w:w="689" w:type="pct"/>
            <w:tcBorders>
              <w:top w:val="nil"/>
              <w:left w:val="nil"/>
              <w:bottom w:val="nil"/>
              <w:right w:val="nil"/>
            </w:tcBorders>
            <w:shd w:val="clear" w:color="000000" w:fill="000099"/>
            <w:vAlign w:val="center"/>
            <w:hideMark/>
          </w:tcPr>
          <w:p w14:paraId="38AC2B3A"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40033154"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55883483"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c>
          <w:tcPr>
            <w:tcW w:w="689" w:type="pct"/>
            <w:tcBorders>
              <w:top w:val="nil"/>
              <w:left w:val="nil"/>
              <w:bottom w:val="nil"/>
              <w:right w:val="nil"/>
            </w:tcBorders>
            <w:shd w:val="clear" w:color="000000" w:fill="000099"/>
            <w:vAlign w:val="center"/>
            <w:hideMark/>
          </w:tcPr>
          <w:p w14:paraId="65536CFD" w14:textId="77777777" w:rsidR="007B7F15" w:rsidRPr="007B7F15" w:rsidRDefault="007B7F15" w:rsidP="007B7F15">
            <w:pPr>
              <w:spacing w:after="0" w:line="240" w:lineRule="auto"/>
              <w:jc w:val="center"/>
              <w:rPr>
                <w:rFonts w:asciiTheme="minorHAnsi" w:eastAsia="Times New Roman" w:hAnsiTheme="minorHAnsi" w:cstheme="minorHAnsi"/>
                <w:b/>
                <w:bCs/>
                <w:color w:val="FFFFFF"/>
                <w:sz w:val="18"/>
                <w:szCs w:val="18"/>
                <w:lang w:eastAsia="en-GB"/>
              </w:rPr>
            </w:pPr>
            <w:r w:rsidRPr="007B7F15">
              <w:rPr>
                <w:rFonts w:asciiTheme="minorHAnsi" w:eastAsia="Times New Roman" w:hAnsiTheme="minorHAnsi" w:cstheme="minorHAnsi"/>
                <w:b/>
                <w:bCs/>
                <w:color w:val="FFFFFF"/>
                <w:sz w:val="18"/>
                <w:szCs w:val="18"/>
                <w:lang w:eastAsia="en-GB"/>
              </w:rPr>
              <w:t>£000</w:t>
            </w:r>
          </w:p>
        </w:tc>
      </w:tr>
      <w:tr w:rsidR="007B7F15" w:rsidRPr="007B7F15" w14:paraId="4B4F3683" w14:textId="77777777" w:rsidTr="00805A69">
        <w:trPr>
          <w:trHeight w:val="283"/>
        </w:trPr>
        <w:tc>
          <w:tcPr>
            <w:tcW w:w="2246" w:type="pct"/>
            <w:tcBorders>
              <w:top w:val="nil"/>
              <w:left w:val="nil"/>
              <w:bottom w:val="nil"/>
              <w:right w:val="nil"/>
            </w:tcBorders>
            <w:shd w:val="clear" w:color="000000" w:fill="FFFFFF"/>
            <w:vAlign w:val="center"/>
            <w:hideMark/>
          </w:tcPr>
          <w:p w14:paraId="42998E74" w14:textId="77777777" w:rsidR="007B7F15" w:rsidRPr="007B7F15" w:rsidRDefault="007B7F15" w:rsidP="007B7F15">
            <w:pPr>
              <w:spacing w:after="0" w:line="240" w:lineRule="auto"/>
              <w:jc w:val="lef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Policing Services</w:t>
            </w:r>
          </w:p>
        </w:tc>
        <w:tc>
          <w:tcPr>
            <w:tcW w:w="689" w:type="pct"/>
            <w:tcBorders>
              <w:top w:val="nil"/>
              <w:left w:val="nil"/>
              <w:bottom w:val="nil"/>
              <w:right w:val="nil"/>
            </w:tcBorders>
            <w:shd w:val="clear" w:color="000000" w:fill="FFFFFF"/>
            <w:vAlign w:val="center"/>
            <w:hideMark/>
          </w:tcPr>
          <w:p w14:paraId="17FABD74"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000000"/>
                <w:sz w:val="18"/>
                <w:szCs w:val="18"/>
                <w:lang w:eastAsia="en-GB"/>
              </w:rPr>
              <w:t>(17,961)</w:t>
            </w:r>
          </w:p>
        </w:tc>
        <w:tc>
          <w:tcPr>
            <w:tcW w:w="689" w:type="pct"/>
            <w:tcBorders>
              <w:top w:val="nil"/>
              <w:left w:val="nil"/>
              <w:bottom w:val="nil"/>
              <w:right w:val="nil"/>
            </w:tcBorders>
            <w:shd w:val="clear" w:color="000000" w:fill="FFFFFF"/>
            <w:vAlign w:val="center"/>
            <w:hideMark/>
          </w:tcPr>
          <w:p w14:paraId="0942BF4B"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000000"/>
                <w:sz w:val="18"/>
                <w:szCs w:val="18"/>
                <w:lang w:eastAsia="en-GB"/>
              </w:rPr>
              <w:t>(856)</w:t>
            </w:r>
          </w:p>
        </w:tc>
        <w:tc>
          <w:tcPr>
            <w:tcW w:w="689" w:type="pct"/>
            <w:tcBorders>
              <w:top w:val="nil"/>
              <w:left w:val="nil"/>
              <w:bottom w:val="nil"/>
              <w:right w:val="nil"/>
            </w:tcBorders>
            <w:shd w:val="clear" w:color="000000" w:fill="FFFFFF"/>
            <w:vAlign w:val="center"/>
            <w:hideMark/>
          </w:tcPr>
          <w:p w14:paraId="60B163E8"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center"/>
            <w:hideMark/>
          </w:tcPr>
          <w:p w14:paraId="105295F3"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r>
      <w:tr w:rsidR="007B7F15" w:rsidRPr="007B7F15" w14:paraId="6CE7681A" w14:textId="77777777" w:rsidTr="00805A69">
        <w:trPr>
          <w:trHeight w:val="283"/>
        </w:trPr>
        <w:tc>
          <w:tcPr>
            <w:tcW w:w="2246" w:type="pct"/>
            <w:tcBorders>
              <w:top w:val="nil"/>
              <w:left w:val="nil"/>
              <w:bottom w:val="nil"/>
              <w:right w:val="nil"/>
            </w:tcBorders>
            <w:shd w:val="clear" w:color="000000" w:fill="FFFFFF"/>
            <w:vAlign w:val="center"/>
            <w:hideMark/>
          </w:tcPr>
          <w:p w14:paraId="38EB1203" w14:textId="77777777" w:rsidR="007B7F15" w:rsidRPr="007B7F15" w:rsidRDefault="007B7F15" w:rsidP="007B7F15">
            <w:pPr>
              <w:spacing w:after="0" w:line="240" w:lineRule="auto"/>
              <w:jc w:val="left"/>
              <w:rPr>
                <w:rFonts w:asciiTheme="minorHAnsi" w:eastAsia="Times New Roman" w:hAnsiTheme="minorHAnsi" w:cstheme="minorHAnsi"/>
                <w:color w:val="000000"/>
                <w:sz w:val="18"/>
                <w:szCs w:val="18"/>
                <w:lang w:eastAsia="en-GB"/>
              </w:rPr>
            </w:pPr>
            <w:r w:rsidRPr="007B7F15">
              <w:rPr>
                <w:rFonts w:asciiTheme="minorHAnsi" w:eastAsia="Times New Roman" w:hAnsiTheme="minorHAnsi" w:cstheme="minorHAnsi"/>
                <w:color w:val="000000"/>
                <w:sz w:val="18"/>
                <w:szCs w:val="18"/>
                <w:lang w:eastAsia="en-GB"/>
              </w:rPr>
              <w:t>OPFCC &amp; Commissioning</w:t>
            </w:r>
          </w:p>
        </w:tc>
        <w:tc>
          <w:tcPr>
            <w:tcW w:w="689" w:type="pct"/>
            <w:tcBorders>
              <w:top w:val="nil"/>
              <w:left w:val="nil"/>
              <w:bottom w:val="nil"/>
              <w:right w:val="nil"/>
            </w:tcBorders>
            <w:shd w:val="clear" w:color="000000" w:fill="FFFFFF"/>
            <w:vAlign w:val="center"/>
            <w:hideMark/>
          </w:tcPr>
          <w:p w14:paraId="2D1ECF70"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center"/>
            <w:hideMark/>
          </w:tcPr>
          <w:p w14:paraId="1208C712"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center"/>
            <w:hideMark/>
          </w:tcPr>
          <w:p w14:paraId="75C9A6AC"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c>
          <w:tcPr>
            <w:tcW w:w="689" w:type="pct"/>
            <w:tcBorders>
              <w:top w:val="nil"/>
              <w:left w:val="nil"/>
              <w:bottom w:val="nil"/>
              <w:right w:val="nil"/>
            </w:tcBorders>
            <w:shd w:val="clear" w:color="000000" w:fill="FFFFFF"/>
            <w:vAlign w:val="center"/>
            <w:hideMark/>
          </w:tcPr>
          <w:p w14:paraId="540C09F9" w14:textId="77777777" w:rsidR="007B7F15" w:rsidRPr="007B7F15" w:rsidRDefault="007B7F15" w:rsidP="007B7F15">
            <w:pPr>
              <w:spacing w:after="0" w:line="240" w:lineRule="auto"/>
              <w:jc w:val="right"/>
              <w:rPr>
                <w:rFonts w:asciiTheme="minorHAnsi" w:eastAsia="Times New Roman" w:hAnsiTheme="minorHAnsi" w:cstheme="minorHAnsi"/>
                <w:color w:val="auto"/>
                <w:sz w:val="18"/>
                <w:szCs w:val="18"/>
                <w:lang w:eastAsia="en-GB"/>
              </w:rPr>
            </w:pPr>
            <w:r w:rsidRPr="007B7F15">
              <w:rPr>
                <w:rFonts w:asciiTheme="minorHAnsi" w:eastAsia="Times New Roman" w:hAnsiTheme="minorHAnsi" w:cstheme="minorHAnsi"/>
                <w:color w:val="auto"/>
                <w:sz w:val="18"/>
                <w:szCs w:val="18"/>
                <w:lang w:eastAsia="en-GB"/>
              </w:rPr>
              <w:t>-</w:t>
            </w:r>
          </w:p>
        </w:tc>
      </w:tr>
      <w:tr w:rsidR="007B7F15" w:rsidRPr="007B7F15" w14:paraId="20D04694" w14:textId="77777777" w:rsidTr="00805A69">
        <w:trPr>
          <w:trHeight w:val="283"/>
        </w:trPr>
        <w:tc>
          <w:tcPr>
            <w:tcW w:w="2246" w:type="pct"/>
            <w:tcBorders>
              <w:top w:val="single" w:sz="4" w:space="0" w:color="auto"/>
              <w:left w:val="nil"/>
              <w:bottom w:val="single" w:sz="4" w:space="0" w:color="auto"/>
              <w:right w:val="nil"/>
            </w:tcBorders>
            <w:shd w:val="clear" w:color="000000" w:fill="FFFFFF"/>
            <w:vAlign w:val="center"/>
            <w:hideMark/>
          </w:tcPr>
          <w:p w14:paraId="049194B3" w14:textId="77777777" w:rsidR="007B7F15" w:rsidRPr="007B7F15" w:rsidRDefault="007B7F15" w:rsidP="007B7F15">
            <w:pPr>
              <w:spacing w:after="0" w:line="240" w:lineRule="auto"/>
              <w:jc w:val="left"/>
              <w:rPr>
                <w:rFonts w:asciiTheme="minorHAnsi" w:eastAsia="Times New Roman" w:hAnsiTheme="minorHAnsi" w:cstheme="minorHAnsi"/>
                <w:b/>
                <w:bCs/>
                <w:color w:val="000000"/>
                <w:sz w:val="18"/>
                <w:szCs w:val="18"/>
                <w:lang w:eastAsia="en-GB"/>
              </w:rPr>
            </w:pPr>
            <w:r w:rsidRPr="007B7F15">
              <w:rPr>
                <w:rFonts w:asciiTheme="minorHAnsi" w:eastAsia="Times New Roman" w:hAnsiTheme="minorHAnsi" w:cstheme="minorHAnsi"/>
                <w:b/>
                <w:bCs/>
                <w:color w:val="000000"/>
                <w:sz w:val="18"/>
                <w:szCs w:val="18"/>
                <w:lang w:eastAsia="en-GB"/>
              </w:rPr>
              <w:t>Total</w:t>
            </w:r>
          </w:p>
        </w:tc>
        <w:tc>
          <w:tcPr>
            <w:tcW w:w="689" w:type="pct"/>
            <w:tcBorders>
              <w:top w:val="single" w:sz="4" w:space="0" w:color="auto"/>
              <w:left w:val="nil"/>
              <w:bottom w:val="single" w:sz="4" w:space="0" w:color="auto"/>
              <w:right w:val="nil"/>
            </w:tcBorders>
            <w:shd w:val="clear" w:color="000000" w:fill="FFFFFF"/>
            <w:vAlign w:val="center"/>
            <w:hideMark/>
          </w:tcPr>
          <w:p w14:paraId="60025631"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000000"/>
                <w:sz w:val="18"/>
                <w:szCs w:val="18"/>
                <w:lang w:eastAsia="en-GB"/>
              </w:rPr>
              <w:t>(17,961)</w:t>
            </w:r>
          </w:p>
        </w:tc>
        <w:tc>
          <w:tcPr>
            <w:tcW w:w="689" w:type="pct"/>
            <w:tcBorders>
              <w:top w:val="single" w:sz="4" w:space="0" w:color="auto"/>
              <w:left w:val="nil"/>
              <w:bottom w:val="single" w:sz="4" w:space="0" w:color="auto"/>
              <w:right w:val="nil"/>
            </w:tcBorders>
            <w:shd w:val="clear" w:color="000000" w:fill="FFFFFF"/>
            <w:vAlign w:val="center"/>
            <w:hideMark/>
          </w:tcPr>
          <w:p w14:paraId="54B1745C"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000000"/>
                <w:sz w:val="18"/>
                <w:szCs w:val="18"/>
                <w:lang w:eastAsia="en-GB"/>
              </w:rPr>
              <w:t>(856)</w:t>
            </w:r>
          </w:p>
        </w:tc>
        <w:tc>
          <w:tcPr>
            <w:tcW w:w="689" w:type="pct"/>
            <w:tcBorders>
              <w:top w:val="single" w:sz="4" w:space="0" w:color="auto"/>
              <w:left w:val="nil"/>
              <w:bottom w:val="single" w:sz="4" w:space="0" w:color="auto"/>
              <w:right w:val="nil"/>
            </w:tcBorders>
            <w:shd w:val="clear" w:color="000000" w:fill="FFFFFF"/>
            <w:vAlign w:val="center"/>
            <w:hideMark/>
          </w:tcPr>
          <w:p w14:paraId="36C9D01A"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auto"/>
                <w:sz w:val="18"/>
                <w:szCs w:val="18"/>
                <w:lang w:eastAsia="en-GB"/>
              </w:rPr>
              <w:t>-</w:t>
            </w:r>
          </w:p>
        </w:tc>
        <w:tc>
          <w:tcPr>
            <w:tcW w:w="689" w:type="pct"/>
            <w:tcBorders>
              <w:top w:val="single" w:sz="4" w:space="0" w:color="auto"/>
              <w:left w:val="nil"/>
              <w:bottom w:val="single" w:sz="4" w:space="0" w:color="auto"/>
              <w:right w:val="nil"/>
            </w:tcBorders>
            <w:shd w:val="clear" w:color="000000" w:fill="FFFFFF"/>
            <w:vAlign w:val="center"/>
            <w:hideMark/>
          </w:tcPr>
          <w:p w14:paraId="774157C0" w14:textId="77777777" w:rsidR="007B7F15" w:rsidRPr="007B7F15" w:rsidRDefault="007B7F15" w:rsidP="007B7F15">
            <w:pPr>
              <w:spacing w:after="0" w:line="240" w:lineRule="auto"/>
              <w:jc w:val="right"/>
              <w:rPr>
                <w:rFonts w:asciiTheme="minorHAnsi" w:eastAsia="Times New Roman" w:hAnsiTheme="minorHAnsi" w:cstheme="minorHAnsi"/>
                <w:b/>
                <w:bCs/>
                <w:color w:val="auto"/>
                <w:sz w:val="18"/>
                <w:szCs w:val="18"/>
                <w:lang w:eastAsia="en-GB"/>
              </w:rPr>
            </w:pPr>
            <w:r w:rsidRPr="007B7F15">
              <w:rPr>
                <w:rFonts w:asciiTheme="minorHAnsi" w:eastAsia="Times New Roman" w:hAnsiTheme="minorHAnsi" w:cstheme="minorHAnsi"/>
                <w:b/>
                <w:bCs/>
                <w:color w:val="auto"/>
                <w:sz w:val="18"/>
                <w:szCs w:val="18"/>
                <w:lang w:eastAsia="en-GB"/>
              </w:rPr>
              <w:t>-</w:t>
            </w:r>
          </w:p>
        </w:tc>
      </w:tr>
    </w:tbl>
    <w:p w14:paraId="5AAEC4D5" w14:textId="3A4BA3ED" w:rsidR="002E3A99" w:rsidRDefault="002E3A99" w:rsidP="003356AE">
      <w:pPr>
        <w:spacing w:line="240" w:lineRule="auto"/>
        <w:jc w:val="left"/>
      </w:pPr>
    </w:p>
    <w:p w14:paraId="02DC96F7" w14:textId="77777777" w:rsidR="002E3A99" w:rsidRDefault="002E3A99">
      <w:pPr>
        <w:spacing w:after="0" w:line="240" w:lineRule="auto"/>
        <w:jc w:val="left"/>
      </w:pPr>
      <w:r>
        <w:br w:type="page"/>
      </w:r>
    </w:p>
    <w:p w14:paraId="41079E5E" w14:textId="4B882E61" w:rsidR="00851EA2" w:rsidRPr="004720F6" w:rsidRDefault="002522D4" w:rsidP="003356AE">
      <w:pPr>
        <w:pStyle w:val="NoteHeader"/>
        <w:spacing w:line="240" w:lineRule="auto"/>
      </w:pPr>
      <w:bookmarkStart w:id="90" w:name="_Toc230858560"/>
      <w:r w:rsidRPr="000A75C9">
        <w:lastRenderedPageBreak/>
        <w:t>Note 5C - Expenditure and Income Analysed by Nature</w:t>
      </w:r>
      <w:bookmarkEnd w:id="87"/>
      <w:bookmarkEnd w:id="88"/>
      <w:bookmarkEnd w:id="89"/>
      <w:bookmarkEnd w:id="90"/>
    </w:p>
    <w:p w14:paraId="04053BFA" w14:textId="07006858" w:rsidR="00020078" w:rsidRDefault="00020078" w:rsidP="003356AE">
      <w:pPr>
        <w:spacing w:line="240" w:lineRule="auto"/>
        <w:rPr>
          <w:rFonts w:asciiTheme="minorHAnsi" w:hAnsiTheme="minorHAnsi"/>
          <w:color w:val="auto"/>
          <w:sz w:val="24"/>
          <w:lang w:val="en-US"/>
        </w:rPr>
      </w:pPr>
      <w:bookmarkStart w:id="91" w:name="_Toc517077282"/>
      <w:bookmarkStart w:id="92" w:name="_Toc9272507"/>
      <w:bookmarkStart w:id="93" w:name="_Toc9592054"/>
    </w:p>
    <w:tbl>
      <w:tblPr>
        <w:tblW w:w="4907" w:type="pct"/>
        <w:tblLook w:val="04A0" w:firstRow="1" w:lastRow="0" w:firstColumn="1" w:lastColumn="0" w:noHBand="0" w:noVBand="1"/>
      </w:tblPr>
      <w:tblGrid>
        <w:gridCol w:w="1473"/>
        <w:gridCol w:w="5956"/>
        <w:gridCol w:w="1474"/>
      </w:tblGrid>
      <w:tr w:rsidR="00874BC3" w:rsidRPr="00874BC3" w14:paraId="233F567A" w14:textId="77777777" w:rsidTr="0009479F">
        <w:trPr>
          <w:trHeight w:val="283"/>
        </w:trPr>
        <w:tc>
          <w:tcPr>
            <w:tcW w:w="827" w:type="pct"/>
            <w:tcBorders>
              <w:top w:val="nil"/>
              <w:left w:val="nil"/>
              <w:bottom w:val="nil"/>
              <w:right w:val="nil"/>
            </w:tcBorders>
            <w:shd w:val="clear" w:color="000000" w:fill="000099"/>
            <w:vAlign w:val="center"/>
            <w:hideMark/>
          </w:tcPr>
          <w:p w14:paraId="2AECBF06"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 </w:t>
            </w:r>
          </w:p>
        </w:tc>
        <w:tc>
          <w:tcPr>
            <w:tcW w:w="3345" w:type="pct"/>
            <w:tcBorders>
              <w:top w:val="nil"/>
              <w:left w:val="nil"/>
              <w:bottom w:val="nil"/>
              <w:right w:val="nil"/>
            </w:tcBorders>
            <w:shd w:val="clear" w:color="000000" w:fill="000099"/>
            <w:vAlign w:val="center"/>
            <w:hideMark/>
          </w:tcPr>
          <w:p w14:paraId="57690BF1"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 </w:t>
            </w:r>
          </w:p>
        </w:tc>
        <w:tc>
          <w:tcPr>
            <w:tcW w:w="828" w:type="pct"/>
            <w:tcBorders>
              <w:top w:val="nil"/>
              <w:left w:val="nil"/>
              <w:bottom w:val="nil"/>
              <w:right w:val="nil"/>
            </w:tcBorders>
            <w:shd w:val="clear" w:color="000000" w:fill="000099"/>
            <w:vAlign w:val="center"/>
            <w:hideMark/>
          </w:tcPr>
          <w:p w14:paraId="73FBF051"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 </w:t>
            </w:r>
          </w:p>
        </w:tc>
      </w:tr>
      <w:tr w:rsidR="00874BC3" w:rsidRPr="00874BC3" w14:paraId="3D79A45D" w14:textId="77777777" w:rsidTr="0009479F">
        <w:trPr>
          <w:trHeight w:val="283"/>
        </w:trPr>
        <w:tc>
          <w:tcPr>
            <w:tcW w:w="827" w:type="pct"/>
            <w:tcBorders>
              <w:top w:val="nil"/>
              <w:left w:val="nil"/>
              <w:bottom w:val="nil"/>
              <w:right w:val="nil"/>
            </w:tcBorders>
            <w:shd w:val="clear" w:color="000000" w:fill="000099"/>
            <w:vAlign w:val="center"/>
            <w:hideMark/>
          </w:tcPr>
          <w:p w14:paraId="4FE55452"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2024/25</w:t>
            </w:r>
          </w:p>
        </w:tc>
        <w:tc>
          <w:tcPr>
            <w:tcW w:w="3345" w:type="pct"/>
            <w:tcBorders>
              <w:top w:val="nil"/>
              <w:left w:val="nil"/>
              <w:bottom w:val="nil"/>
              <w:right w:val="nil"/>
            </w:tcBorders>
            <w:shd w:val="clear" w:color="000000" w:fill="000099"/>
            <w:vAlign w:val="center"/>
            <w:hideMark/>
          </w:tcPr>
          <w:p w14:paraId="2BE0AB00"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Nature of Expenditure or Income</w:t>
            </w:r>
          </w:p>
        </w:tc>
        <w:tc>
          <w:tcPr>
            <w:tcW w:w="828" w:type="pct"/>
            <w:tcBorders>
              <w:top w:val="nil"/>
              <w:left w:val="nil"/>
              <w:bottom w:val="nil"/>
              <w:right w:val="nil"/>
            </w:tcBorders>
            <w:shd w:val="clear" w:color="000000" w:fill="000099"/>
            <w:vAlign w:val="center"/>
            <w:hideMark/>
          </w:tcPr>
          <w:p w14:paraId="650CF757"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2025/26</w:t>
            </w:r>
          </w:p>
        </w:tc>
      </w:tr>
      <w:tr w:rsidR="00874BC3" w:rsidRPr="00874BC3" w14:paraId="0240FDEC" w14:textId="77777777" w:rsidTr="0009479F">
        <w:trPr>
          <w:trHeight w:val="283"/>
        </w:trPr>
        <w:tc>
          <w:tcPr>
            <w:tcW w:w="827" w:type="pct"/>
            <w:tcBorders>
              <w:top w:val="nil"/>
              <w:left w:val="nil"/>
              <w:bottom w:val="nil"/>
              <w:right w:val="nil"/>
            </w:tcBorders>
            <w:shd w:val="clear" w:color="000000" w:fill="000099"/>
            <w:vAlign w:val="center"/>
            <w:hideMark/>
          </w:tcPr>
          <w:p w14:paraId="7EA362DE"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£000</w:t>
            </w:r>
          </w:p>
        </w:tc>
        <w:tc>
          <w:tcPr>
            <w:tcW w:w="3345" w:type="pct"/>
            <w:tcBorders>
              <w:top w:val="nil"/>
              <w:left w:val="nil"/>
              <w:bottom w:val="nil"/>
              <w:right w:val="nil"/>
            </w:tcBorders>
            <w:shd w:val="clear" w:color="000000" w:fill="000099"/>
            <w:vAlign w:val="center"/>
            <w:hideMark/>
          </w:tcPr>
          <w:p w14:paraId="5D14CBBE"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 </w:t>
            </w:r>
          </w:p>
        </w:tc>
        <w:tc>
          <w:tcPr>
            <w:tcW w:w="828" w:type="pct"/>
            <w:tcBorders>
              <w:top w:val="nil"/>
              <w:left w:val="nil"/>
              <w:bottom w:val="nil"/>
              <w:right w:val="nil"/>
            </w:tcBorders>
            <w:shd w:val="clear" w:color="000000" w:fill="000099"/>
            <w:vAlign w:val="center"/>
            <w:hideMark/>
          </w:tcPr>
          <w:p w14:paraId="01D923D9" w14:textId="77777777" w:rsidR="00874BC3" w:rsidRPr="00874BC3" w:rsidRDefault="00874BC3" w:rsidP="00874BC3">
            <w:pPr>
              <w:spacing w:after="0" w:line="240" w:lineRule="auto"/>
              <w:jc w:val="center"/>
              <w:rPr>
                <w:rFonts w:asciiTheme="minorHAnsi" w:eastAsia="Times New Roman" w:hAnsiTheme="minorHAnsi" w:cstheme="minorHAnsi"/>
                <w:b/>
                <w:bCs/>
                <w:color w:val="FFFFFF"/>
                <w:sz w:val="18"/>
                <w:szCs w:val="18"/>
                <w:lang w:eastAsia="en-GB"/>
              </w:rPr>
            </w:pPr>
            <w:r w:rsidRPr="00874BC3">
              <w:rPr>
                <w:rFonts w:asciiTheme="minorHAnsi" w:eastAsia="Times New Roman" w:hAnsiTheme="minorHAnsi" w:cstheme="minorHAnsi"/>
                <w:b/>
                <w:bCs/>
                <w:color w:val="FFFFFF"/>
                <w:sz w:val="18"/>
                <w:szCs w:val="18"/>
                <w:lang w:eastAsia="en-GB"/>
              </w:rPr>
              <w:t>£000</w:t>
            </w:r>
          </w:p>
        </w:tc>
      </w:tr>
      <w:tr w:rsidR="00874BC3" w:rsidRPr="00874BC3" w14:paraId="551147F0" w14:textId="77777777" w:rsidTr="0009479F">
        <w:trPr>
          <w:trHeight w:val="283"/>
        </w:trPr>
        <w:tc>
          <w:tcPr>
            <w:tcW w:w="827" w:type="pct"/>
            <w:tcBorders>
              <w:top w:val="nil"/>
              <w:left w:val="nil"/>
              <w:bottom w:val="nil"/>
              <w:right w:val="nil"/>
            </w:tcBorders>
            <w:shd w:val="clear" w:color="000000" w:fill="FFFFFF"/>
            <w:vAlign w:val="bottom"/>
            <w:hideMark/>
          </w:tcPr>
          <w:p w14:paraId="125A0228" w14:textId="77777777" w:rsidR="00874BC3" w:rsidRPr="00874BC3" w:rsidRDefault="00874BC3" w:rsidP="00874BC3">
            <w:pPr>
              <w:spacing w:after="0" w:line="240" w:lineRule="auto"/>
              <w:jc w:val="lef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 </w:t>
            </w:r>
          </w:p>
        </w:tc>
        <w:tc>
          <w:tcPr>
            <w:tcW w:w="3345" w:type="pct"/>
            <w:tcBorders>
              <w:top w:val="nil"/>
              <w:left w:val="nil"/>
              <w:bottom w:val="nil"/>
              <w:right w:val="nil"/>
            </w:tcBorders>
            <w:shd w:val="clear" w:color="000000" w:fill="FFFFFF"/>
            <w:noWrap/>
            <w:vAlign w:val="center"/>
            <w:hideMark/>
          </w:tcPr>
          <w:p w14:paraId="22118495" w14:textId="77777777" w:rsidR="00874BC3" w:rsidRPr="00874BC3" w:rsidRDefault="00874BC3" w:rsidP="00874BC3">
            <w:pPr>
              <w:spacing w:after="0" w:line="240" w:lineRule="auto"/>
              <w:jc w:val="lef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Expenditure</w:t>
            </w:r>
          </w:p>
        </w:tc>
        <w:tc>
          <w:tcPr>
            <w:tcW w:w="828" w:type="pct"/>
            <w:tcBorders>
              <w:top w:val="nil"/>
              <w:left w:val="nil"/>
              <w:bottom w:val="nil"/>
              <w:right w:val="nil"/>
            </w:tcBorders>
            <w:shd w:val="clear" w:color="000000" w:fill="CCECFF"/>
            <w:vAlign w:val="bottom"/>
            <w:hideMark/>
          </w:tcPr>
          <w:p w14:paraId="151801FF" w14:textId="77777777" w:rsidR="00874BC3" w:rsidRPr="00874BC3" w:rsidRDefault="00874BC3" w:rsidP="00874BC3">
            <w:pPr>
              <w:spacing w:after="0" w:line="240" w:lineRule="auto"/>
              <w:jc w:val="lef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 </w:t>
            </w:r>
          </w:p>
        </w:tc>
      </w:tr>
      <w:tr w:rsidR="00874BC3" w:rsidRPr="00874BC3" w14:paraId="7A15496E" w14:textId="77777777" w:rsidTr="0009479F">
        <w:trPr>
          <w:trHeight w:val="283"/>
        </w:trPr>
        <w:tc>
          <w:tcPr>
            <w:tcW w:w="827" w:type="pct"/>
            <w:tcBorders>
              <w:top w:val="nil"/>
              <w:left w:val="nil"/>
              <w:bottom w:val="nil"/>
              <w:right w:val="nil"/>
            </w:tcBorders>
            <w:shd w:val="clear" w:color="000000" w:fill="FFFFFF"/>
            <w:vAlign w:val="bottom"/>
            <w:hideMark/>
          </w:tcPr>
          <w:p w14:paraId="130193CA"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143,313</w:t>
            </w:r>
          </w:p>
        </w:tc>
        <w:tc>
          <w:tcPr>
            <w:tcW w:w="3345" w:type="pct"/>
            <w:tcBorders>
              <w:top w:val="nil"/>
              <w:left w:val="nil"/>
              <w:bottom w:val="nil"/>
              <w:right w:val="nil"/>
            </w:tcBorders>
            <w:shd w:val="clear" w:color="000000" w:fill="FFFFFF"/>
            <w:noWrap/>
            <w:vAlign w:val="center"/>
            <w:hideMark/>
          </w:tcPr>
          <w:p w14:paraId="3E8F5871" w14:textId="77777777" w:rsidR="00874BC3" w:rsidRPr="00874BC3" w:rsidRDefault="00874BC3" w:rsidP="00874BC3">
            <w:pPr>
              <w:spacing w:after="0" w:line="240" w:lineRule="auto"/>
              <w:jc w:val="lef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Employee Benefit Expenses</w:t>
            </w:r>
          </w:p>
        </w:tc>
        <w:tc>
          <w:tcPr>
            <w:tcW w:w="828" w:type="pct"/>
            <w:tcBorders>
              <w:top w:val="nil"/>
              <w:left w:val="nil"/>
              <w:bottom w:val="nil"/>
              <w:right w:val="nil"/>
            </w:tcBorders>
            <w:shd w:val="clear" w:color="000000" w:fill="CCECFF"/>
            <w:vAlign w:val="bottom"/>
            <w:hideMark/>
          </w:tcPr>
          <w:p w14:paraId="1C40B966"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156,480</w:t>
            </w:r>
          </w:p>
        </w:tc>
      </w:tr>
      <w:tr w:rsidR="00874BC3" w:rsidRPr="00874BC3" w14:paraId="38423F55" w14:textId="77777777" w:rsidTr="0009479F">
        <w:trPr>
          <w:trHeight w:val="283"/>
        </w:trPr>
        <w:tc>
          <w:tcPr>
            <w:tcW w:w="827" w:type="pct"/>
            <w:tcBorders>
              <w:top w:val="nil"/>
              <w:left w:val="nil"/>
              <w:bottom w:val="nil"/>
              <w:right w:val="nil"/>
            </w:tcBorders>
            <w:shd w:val="clear" w:color="000000" w:fill="FFFFFF"/>
            <w:vAlign w:val="bottom"/>
            <w:hideMark/>
          </w:tcPr>
          <w:p w14:paraId="1DAEF6D3"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38,971</w:t>
            </w:r>
          </w:p>
        </w:tc>
        <w:tc>
          <w:tcPr>
            <w:tcW w:w="3345" w:type="pct"/>
            <w:tcBorders>
              <w:top w:val="nil"/>
              <w:left w:val="nil"/>
              <w:bottom w:val="nil"/>
              <w:right w:val="nil"/>
            </w:tcBorders>
            <w:shd w:val="clear" w:color="000000" w:fill="FFFFFF"/>
            <w:noWrap/>
            <w:vAlign w:val="center"/>
            <w:hideMark/>
          </w:tcPr>
          <w:p w14:paraId="5C3FCBDA"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Other Services Expenses</w:t>
            </w:r>
          </w:p>
        </w:tc>
        <w:tc>
          <w:tcPr>
            <w:tcW w:w="828" w:type="pct"/>
            <w:tcBorders>
              <w:top w:val="nil"/>
              <w:left w:val="nil"/>
              <w:bottom w:val="nil"/>
              <w:right w:val="nil"/>
            </w:tcBorders>
            <w:shd w:val="clear" w:color="000000" w:fill="CCECFF"/>
            <w:vAlign w:val="bottom"/>
            <w:hideMark/>
          </w:tcPr>
          <w:p w14:paraId="167C43D0"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40,661</w:t>
            </w:r>
          </w:p>
        </w:tc>
      </w:tr>
      <w:tr w:rsidR="00874BC3" w:rsidRPr="00874BC3" w14:paraId="1E48C49F" w14:textId="77777777" w:rsidTr="0009479F">
        <w:trPr>
          <w:trHeight w:val="283"/>
        </w:trPr>
        <w:tc>
          <w:tcPr>
            <w:tcW w:w="827" w:type="pct"/>
            <w:tcBorders>
              <w:top w:val="nil"/>
              <w:left w:val="nil"/>
              <w:bottom w:val="nil"/>
              <w:right w:val="nil"/>
            </w:tcBorders>
            <w:shd w:val="clear" w:color="000000" w:fill="FFFFFF"/>
            <w:vAlign w:val="bottom"/>
            <w:hideMark/>
          </w:tcPr>
          <w:p w14:paraId="60845F44"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c>
          <w:tcPr>
            <w:tcW w:w="3345" w:type="pct"/>
            <w:tcBorders>
              <w:top w:val="nil"/>
              <w:left w:val="nil"/>
              <w:bottom w:val="nil"/>
              <w:right w:val="nil"/>
            </w:tcBorders>
            <w:shd w:val="clear" w:color="000000" w:fill="FFFFFF"/>
            <w:noWrap/>
            <w:vAlign w:val="center"/>
            <w:hideMark/>
          </w:tcPr>
          <w:p w14:paraId="5147A72B"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Depreciation, amortisation, Impairment</w:t>
            </w:r>
          </w:p>
        </w:tc>
        <w:tc>
          <w:tcPr>
            <w:tcW w:w="828" w:type="pct"/>
            <w:tcBorders>
              <w:top w:val="nil"/>
              <w:left w:val="nil"/>
              <w:bottom w:val="nil"/>
              <w:right w:val="nil"/>
            </w:tcBorders>
            <w:shd w:val="clear" w:color="000000" w:fill="CCECFF"/>
            <w:vAlign w:val="bottom"/>
            <w:hideMark/>
          </w:tcPr>
          <w:p w14:paraId="44E4F2F0"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r>
      <w:tr w:rsidR="00874BC3" w:rsidRPr="00874BC3" w14:paraId="79C07FA4" w14:textId="77777777" w:rsidTr="0009479F">
        <w:trPr>
          <w:trHeight w:val="283"/>
        </w:trPr>
        <w:tc>
          <w:tcPr>
            <w:tcW w:w="827" w:type="pct"/>
            <w:tcBorders>
              <w:top w:val="nil"/>
              <w:left w:val="nil"/>
              <w:bottom w:val="nil"/>
              <w:right w:val="nil"/>
            </w:tcBorders>
            <w:shd w:val="clear" w:color="000000" w:fill="FFFFFF"/>
            <w:vAlign w:val="bottom"/>
            <w:hideMark/>
          </w:tcPr>
          <w:p w14:paraId="68ABBCA9"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48,396</w:t>
            </w:r>
          </w:p>
        </w:tc>
        <w:tc>
          <w:tcPr>
            <w:tcW w:w="3345" w:type="pct"/>
            <w:tcBorders>
              <w:top w:val="nil"/>
              <w:left w:val="nil"/>
              <w:bottom w:val="nil"/>
              <w:right w:val="nil"/>
            </w:tcBorders>
            <w:shd w:val="clear" w:color="000000" w:fill="FFFFFF"/>
            <w:noWrap/>
            <w:vAlign w:val="center"/>
            <w:hideMark/>
          </w:tcPr>
          <w:p w14:paraId="1F718261"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Interest Payments</w:t>
            </w:r>
          </w:p>
        </w:tc>
        <w:tc>
          <w:tcPr>
            <w:tcW w:w="828" w:type="pct"/>
            <w:tcBorders>
              <w:top w:val="nil"/>
              <w:left w:val="nil"/>
              <w:bottom w:val="nil"/>
              <w:right w:val="nil"/>
            </w:tcBorders>
            <w:shd w:val="clear" w:color="000000" w:fill="CCECFF"/>
            <w:vAlign w:val="bottom"/>
            <w:hideMark/>
          </w:tcPr>
          <w:p w14:paraId="60A374B0"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52,917</w:t>
            </w:r>
          </w:p>
        </w:tc>
      </w:tr>
      <w:tr w:rsidR="00874BC3" w:rsidRPr="00874BC3" w14:paraId="410505BC" w14:textId="77777777" w:rsidTr="0009479F">
        <w:trPr>
          <w:trHeight w:val="283"/>
        </w:trPr>
        <w:tc>
          <w:tcPr>
            <w:tcW w:w="827" w:type="pct"/>
            <w:tcBorders>
              <w:top w:val="nil"/>
              <w:left w:val="nil"/>
              <w:bottom w:val="nil"/>
              <w:right w:val="nil"/>
            </w:tcBorders>
            <w:shd w:val="clear" w:color="000000" w:fill="FFFFFF"/>
            <w:vAlign w:val="bottom"/>
            <w:hideMark/>
          </w:tcPr>
          <w:p w14:paraId="68EDB282"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c>
          <w:tcPr>
            <w:tcW w:w="3345" w:type="pct"/>
            <w:tcBorders>
              <w:top w:val="nil"/>
              <w:left w:val="nil"/>
              <w:bottom w:val="nil"/>
              <w:right w:val="nil"/>
            </w:tcBorders>
            <w:shd w:val="clear" w:color="000000" w:fill="FFFFFF"/>
            <w:noWrap/>
            <w:vAlign w:val="center"/>
            <w:hideMark/>
          </w:tcPr>
          <w:p w14:paraId="01E60FDB"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(Gains)/losses on the Disposal of Non-Current Assets</w:t>
            </w:r>
          </w:p>
        </w:tc>
        <w:tc>
          <w:tcPr>
            <w:tcW w:w="828" w:type="pct"/>
            <w:tcBorders>
              <w:top w:val="nil"/>
              <w:left w:val="nil"/>
              <w:bottom w:val="nil"/>
              <w:right w:val="nil"/>
            </w:tcBorders>
            <w:shd w:val="clear" w:color="000000" w:fill="CCECFF"/>
            <w:vAlign w:val="bottom"/>
            <w:hideMark/>
          </w:tcPr>
          <w:p w14:paraId="71FAE3E0"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r>
      <w:tr w:rsidR="00874BC3" w:rsidRPr="00874BC3" w14:paraId="710DD17E" w14:textId="77777777" w:rsidTr="0009479F">
        <w:trPr>
          <w:trHeight w:val="283"/>
        </w:trPr>
        <w:tc>
          <w:tcPr>
            <w:tcW w:w="827" w:type="pct"/>
            <w:tcBorders>
              <w:top w:val="single" w:sz="4" w:space="0" w:color="auto"/>
              <w:left w:val="nil"/>
              <w:bottom w:val="single" w:sz="4" w:space="0" w:color="auto"/>
              <w:right w:val="nil"/>
            </w:tcBorders>
            <w:shd w:val="clear" w:color="000000" w:fill="FFFFFF"/>
            <w:vAlign w:val="bottom"/>
            <w:hideMark/>
          </w:tcPr>
          <w:p w14:paraId="78B9C35A"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230,680</w:t>
            </w:r>
          </w:p>
        </w:tc>
        <w:tc>
          <w:tcPr>
            <w:tcW w:w="3345" w:type="pct"/>
            <w:tcBorders>
              <w:top w:val="single" w:sz="4" w:space="0" w:color="auto"/>
              <w:left w:val="nil"/>
              <w:bottom w:val="single" w:sz="4" w:space="0" w:color="auto"/>
              <w:right w:val="nil"/>
            </w:tcBorders>
            <w:shd w:val="clear" w:color="000000" w:fill="FFFFFF"/>
            <w:noWrap/>
            <w:vAlign w:val="center"/>
            <w:hideMark/>
          </w:tcPr>
          <w:p w14:paraId="09884D88" w14:textId="77777777" w:rsidR="00874BC3" w:rsidRPr="00874BC3" w:rsidRDefault="00874BC3" w:rsidP="00874BC3">
            <w:pPr>
              <w:spacing w:after="0" w:line="240" w:lineRule="auto"/>
              <w:jc w:val="left"/>
              <w:rPr>
                <w:rFonts w:asciiTheme="minorHAnsi" w:eastAsia="Times New Roman" w:hAnsiTheme="minorHAnsi" w:cstheme="minorHAnsi"/>
                <w:b/>
                <w:bCs/>
                <w:color w:val="000000"/>
                <w:sz w:val="18"/>
                <w:szCs w:val="18"/>
                <w:lang w:eastAsia="en-GB"/>
              </w:rPr>
            </w:pPr>
            <w:r w:rsidRPr="00874BC3">
              <w:rPr>
                <w:rFonts w:asciiTheme="minorHAnsi" w:eastAsia="Times New Roman" w:hAnsiTheme="minorHAnsi" w:cstheme="minorHAnsi"/>
                <w:b/>
                <w:bCs/>
                <w:color w:val="000000"/>
                <w:sz w:val="18"/>
                <w:szCs w:val="18"/>
                <w:lang w:eastAsia="en-GB"/>
              </w:rPr>
              <w:t>Total Expenditure</w:t>
            </w:r>
          </w:p>
        </w:tc>
        <w:tc>
          <w:tcPr>
            <w:tcW w:w="828" w:type="pct"/>
            <w:tcBorders>
              <w:top w:val="single" w:sz="4" w:space="0" w:color="auto"/>
              <w:left w:val="nil"/>
              <w:bottom w:val="single" w:sz="4" w:space="0" w:color="auto"/>
              <w:right w:val="nil"/>
            </w:tcBorders>
            <w:shd w:val="clear" w:color="000000" w:fill="CCECFF"/>
            <w:vAlign w:val="bottom"/>
            <w:hideMark/>
          </w:tcPr>
          <w:p w14:paraId="4D131B5E"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250,058</w:t>
            </w:r>
          </w:p>
        </w:tc>
      </w:tr>
      <w:tr w:rsidR="00874BC3" w:rsidRPr="00874BC3" w14:paraId="5DFB3C48" w14:textId="77777777" w:rsidTr="0009479F">
        <w:trPr>
          <w:trHeight w:val="283"/>
        </w:trPr>
        <w:tc>
          <w:tcPr>
            <w:tcW w:w="827" w:type="pct"/>
            <w:tcBorders>
              <w:top w:val="nil"/>
              <w:left w:val="nil"/>
              <w:bottom w:val="nil"/>
              <w:right w:val="nil"/>
            </w:tcBorders>
            <w:shd w:val="clear" w:color="000000" w:fill="FFFFFF"/>
            <w:vAlign w:val="bottom"/>
            <w:hideMark/>
          </w:tcPr>
          <w:p w14:paraId="3A2AC1A4"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c>
          <w:tcPr>
            <w:tcW w:w="3345" w:type="pct"/>
            <w:tcBorders>
              <w:top w:val="nil"/>
              <w:left w:val="nil"/>
              <w:bottom w:val="nil"/>
              <w:right w:val="nil"/>
            </w:tcBorders>
            <w:shd w:val="clear" w:color="000000" w:fill="FFFFFF"/>
            <w:noWrap/>
            <w:vAlign w:val="center"/>
            <w:hideMark/>
          </w:tcPr>
          <w:p w14:paraId="15537597"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Intra Company Adjustment (Expenditure)</w:t>
            </w:r>
          </w:p>
        </w:tc>
        <w:tc>
          <w:tcPr>
            <w:tcW w:w="828" w:type="pct"/>
            <w:tcBorders>
              <w:top w:val="nil"/>
              <w:left w:val="nil"/>
              <w:bottom w:val="nil"/>
              <w:right w:val="nil"/>
            </w:tcBorders>
            <w:shd w:val="clear" w:color="000000" w:fill="CCECFF"/>
            <w:vAlign w:val="bottom"/>
            <w:hideMark/>
          </w:tcPr>
          <w:p w14:paraId="3DD2E07F"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r>
      <w:tr w:rsidR="00874BC3" w:rsidRPr="00874BC3" w14:paraId="2680D1C2" w14:textId="77777777" w:rsidTr="0009479F">
        <w:trPr>
          <w:trHeight w:val="283"/>
        </w:trPr>
        <w:tc>
          <w:tcPr>
            <w:tcW w:w="827" w:type="pct"/>
            <w:tcBorders>
              <w:top w:val="single" w:sz="4" w:space="0" w:color="auto"/>
              <w:left w:val="nil"/>
              <w:bottom w:val="single" w:sz="4" w:space="0" w:color="auto"/>
              <w:right w:val="nil"/>
            </w:tcBorders>
            <w:shd w:val="clear" w:color="000000" w:fill="FFFFFF"/>
            <w:vAlign w:val="bottom"/>
            <w:hideMark/>
          </w:tcPr>
          <w:p w14:paraId="0A446F53"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230,680</w:t>
            </w:r>
          </w:p>
        </w:tc>
        <w:tc>
          <w:tcPr>
            <w:tcW w:w="3345" w:type="pct"/>
            <w:tcBorders>
              <w:top w:val="single" w:sz="4" w:space="0" w:color="auto"/>
              <w:left w:val="nil"/>
              <w:bottom w:val="single" w:sz="4" w:space="0" w:color="auto"/>
              <w:right w:val="nil"/>
            </w:tcBorders>
            <w:shd w:val="clear" w:color="000000" w:fill="FFFFFF"/>
            <w:noWrap/>
            <w:vAlign w:val="center"/>
            <w:hideMark/>
          </w:tcPr>
          <w:p w14:paraId="7E6F7C78" w14:textId="77777777" w:rsidR="00874BC3" w:rsidRPr="00874BC3" w:rsidRDefault="00874BC3" w:rsidP="00874BC3">
            <w:pPr>
              <w:spacing w:after="0" w:line="240" w:lineRule="auto"/>
              <w:jc w:val="left"/>
              <w:rPr>
                <w:rFonts w:asciiTheme="minorHAnsi" w:eastAsia="Times New Roman" w:hAnsiTheme="minorHAnsi" w:cstheme="minorHAnsi"/>
                <w:b/>
                <w:bCs/>
                <w:color w:val="000000"/>
                <w:sz w:val="18"/>
                <w:szCs w:val="18"/>
                <w:lang w:eastAsia="en-GB"/>
              </w:rPr>
            </w:pPr>
            <w:r w:rsidRPr="00874BC3">
              <w:rPr>
                <w:rFonts w:asciiTheme="minorHAnsi" w:eastAsia="Times New Roman" w:hAnsiTheme="minorHAnsi" w:cstheme="minorHAnsi"/>
                <w:b/>
                <w:bCs/>
                <w:color w:val="000000"/>
                <w:sz w:val="18"/>
                <w:szCs w:val="18"/>
                <w:lang w:eastAsia="en-GB"/>
              </w:rPr>
              <w:t>Total Expenditure (Including Intra Company)</w:t>
            </w:r>
          </w:p>
        </w:tc>
        <w:tc>
          <w:tcPr>
            <w:tcW w:w="828" w:type="pct"/>
            <w:tcBorders>
              <w:top w:val="single" w:sz="4" w:space="0" w:color="auto"/>
              <w:left w:val="nil"/>
              <w:bottom w:val="single" w:sz="4" w:space="0" w:color="auto"/>
              <w:right w:val="nil"/>
            </w:tcBorders>
            <w:shd w:val="clear" w:color="000000" w:fill="CCECFF"/>
            <w:vAlign w:val="bottom"/>
            <w:hideMark/>
          </w:tcPr>
          <w:p w14:paraId="16070613"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250,058</w:t>
            </w:r>
          </w:p>
        </w:tc>
      </w:tr>
      <w:tr w:rsidR="00874BC3" w:rsidRPr="00874BC3" w14:paraId="030FFA05" w14:textId="77777777" w:rsidTr="0009479F">
        <w:trPr>
          <w:trHeight w:val="283"/>
        </w:trPr>
        <w:tc>
          <w:tcPr>
            <w:tcW w:w="827" w:type="pct"/>
            <w:tcBorders>
              <w:top w:val="nil"/>
              <w:left w:val="nil"/>
              <w:bottom w:val="nil"/>
              <w:right w:val="nil"/>
            </w:tcBorders>
            <w:shd w:val="clear" w:color="000000" w:fill="FFFFFF"/>
            <w:vAlign w:val="bottom"/>
            <w:hideMark/>
          </w:tcPr>
          <w:p w14:paraId="36FBC490" w14:textId="77777777" w:rsidR="00874BC3" w:rsidRPr="00874BC3" w:rsidRDefault="00874BC3" w:rsidP="00874BC3">
            <w:pPr>
              <w:spacing w:after="0" w:line="240" w:lineRule="auto"/>
              <w:jc w:val="lef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 </w:t>
            </w:r>
          </w:p>
        </w:tc>
        <w:tc>
          <w:tcPr>
            <w:tcW w:w="3345" w:type="pct"/>
            <w:tcBorders>
              <w:top w:val="nil"/>
              <w:left w:val="nil"/>
              <w:bottom w:val="nil"/>
              <w:right w:val="nil"/>
            </w:tcBorders>
            <w:shd w:val="clear" w:color="000000" w:fill="FFFFFF"/>
            <w:noWrap/>
            <w:vAlign w:val="center"/>
            <w:hideMark/>
          </w:tcPr>
          <w:p w14:paraId="73B08DEB" w14:textId="77777777" w:rsidR="00874BC3" w:rsidRPr="00874BC3" w:rsidRDefault="00874BC3" w:rsidP="00874BC3">
            <w:pPr>
              <w:spacing w:after="0" w:line="240" w:lineRule="auto"/>
              <w:jc w:val="left"/>
              <w:rPr>
                <w:rFonts w:asciiTheme="minorHAnsi" w:eastAsia="Times New Roman" w:hAnsiTheme="minorHAnsi" w:cstheme="minorHAnsi"/>
                <w:b/>
                <w:bCs/>
                <w:color w:val="000000"/>
                <w:sz w:val="18"/>
                <w:szCs w:val="18"/>
                <w:lang w:eastAsia="en-GB"/>
              </w:rPr>
            </w:pPr>
            <w:r w:rsidRPr="00874BC3">
              <w:rPr>
                <w:rFonts w:asciiTheme="minorHAnsi" w:eastAsia="Times New Roman" w:hAnsiTheme="minorHAnsi" w:cstheme="minorHAnsi"/>
                <w:b/>
                <w:bCs/>
                <w:color w:val="000000"/>
                <w:sz w:val="18"/>
                <w:szCs w:val="18"/>
                <w:lang w:eastAsia="en-GB"/>
              </w:rPr>
              <w:t>Income</w:t>
            </w:r>
          </w:p>
        </w:tc>
        <w:tc>
          <w:tcPr>
            <w:tcW w:w="828" w:type="pct"/>
            <w:tcBorders>
              <w:top w:val="nil"/>
              <w:left w:val="nil"/>
              <w:bottom w:val="nil"/>
              <w:right w:val="nil"/>
            </w:tcBorders>
            <w:shd w:val="clear" w:color="000000" w:fill="CCECFF"/>
            <w:vAlign w:val="bottom"/>
            <w:hideMark/>
          </w:tcPr>
          <w:p w14:paraId="574166C2" w14:textId="77777777" w:rsidR="00874BC3" w:rsidRPr="00874BC3" w:rsidRDefault="00874BC3" w:rsidP="00874BC3">
            <w:pPr>
              <w:spacing w:after="0" w:line="240" w:lineRule="auto"/>
              <w:jc w:val="lef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 </w:t>
            </w:r>
          </w:p>
        </w:tc>
      </w:tr>
      <w:tr w:rsidR="00874BC3" w:rsidRPr="00874BC3" w14:paraId="01A55CA7" w14:textId="77777777" w:rsidTr="0009479F">
        <w:trPr>
          <w:trHeight w:val="283"/>
        </w:trPr>
        <w:tc>
          <w:tcPr>
            <w:tcW w:w="827" w:type="pct"/>
            <w:tcBorders>
              <w:top w:val="nil"/>
              <w:left w:val="nil"/>
              <w:bottom w:val="nil"/>
              <w:right w:val="nil"/>
            </w:tcBorders>
            <w:shd w:val="clear" w:color="000000" w:fill="FFFFFF"/>
            <w:vAlign w:val="bottom"/>
            <w:hideMark/>
          </w:tcPr>
          <w:p w14:paraId="16F7479E"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000000"/>
                <w:sz w:val="18"/>
                <w:szCs w:val="18"/>
                <w:lang w:eastAsia="en-GB"/>
              </w:rPr>
              <w:t>(17,065)</w:t>
            </w:r>
          </w:p>
        </w:tc>
        <w:tc>
          <w:tcPr>
            <w:tcW w:w="3345" w:type="pct"/>
            <w:tcBorders>
              <w:top w:val="nil"/>
              <w:left w:val="nil"/>
              <w:bottom w:val="nil"/>
              <w:right w:val="nil"/>
            </w:tcBorders>
            <w:shd w:val="clear" w:color="000000" w:fill="FFFFFF"/>
            <w:noWrap/>
            <w:vAlign w:val="center"/>
            <w:hideMark/>
          </w:tcPr>
          <w:p w14:paraId="27833BEA"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Fees, Charges and Other Service Income</w:t>
            </w:r>
          </w:p>
        </w:tc>
        <w:tc>
          <w:tcPr>
            <w:tcW w:w="828" w:type="pct"/>
            <w:tcBorders>
              <w:top w:val="nil"/>
              <w:left w:val="nil"/>
              <w:bottom w:val="nil"/>
              <w:right w:val="nil"/>
            </w:tcBorders>
            <w:shd w:val="clear" w:color="000000" w:fill="CCECFF"/>
            <w:vAlign w:val="bottom"/>
            <w:hideMark/>
          </w:tcPr>
          <w:p w14:paraId="709E3D5F"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000000"/>
                <w:sz w:val="18"/>
                <w:szCs w:val="18"/>
                <w:lang w:eastAsia="en-GB"/>
              </w:rPr>
              <w:t>(17,995)</w:t>
            </w:r>
          </w:p>
        </w:tc>
      </w:tr>
      <w:tr w:rsidR="00874BC3" w:rsidRPr="00874BC3" w14:paraId="24F39B13" w14:textId="77777777" w:rsidTr="0009479F">
        <w:trPr>
          <w:trHeight w:val="283"/>
        </w:trPr>
        <w:tc>
          <w:tcPr>
            <w:tcW w:w="827" w:type="pct"/>
            <w:tcBorders>
              <w:top w:val="nil"/>
              <w:left w:val="nil"/>
              <w:bottom w:val="nil"/>
              <w:right w:val="nil"/>
            </w:tcBorders>
            <w:shd w:val="clear" w:color="000000" w:fill="FFFFFF"/>
            <w:vAlign w:val="bottom"/>
            <w:hideMark/>
          </w:tcPr>
          <w:p w14:paraId="3FE01EF3"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000000"/>
                <w:sz w:val="18"/>
                <w:szCs w:val="18"/>
                <w:lang w:eastAsia="en-GB"/>
              </w:rPr>
              <w:t>(856)</w:t>
            </w:r>
          </w:p>
        </w:tc>
        <w:tc>
          <w:tcPr>
            <w:tcW w:w="3345" w:type="pct"/>
            <w:tcBorders>
              <w:top w:val="nil"/>
              <w:left w:val="nil"/>
              <w:bottom w:val="nil"/>
              <w:right w:val="nil"/>
            </w:tcBorders>
            <w:shd w:val="clear" w:color="000000" w:fill="FFFFFF"/>
            <w:noWrap/>
            <w:vAlign w:val="center"/>
            <w:hideMark/>
          </w:tcPr>
          <w:p w14:paraId="14103788"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Interest and Investment Income</w:t>
            </w:r>
          </w:p>
        </w:tc>
        <w:tc>
          <w:tcPr>
            <w:tcW w:w="828" w:type="pct"/>
            <w:tcBorders>
              <w:top w:val="nil"/>
              <w:left w:val="nil"/>
              <w:bottom w:val="nil"/>
              <w:right w:val="nil"/>
            </w:tcBorders>
            <w:shd w:val="clear" w:color="000000" w:fill="CCECFF"/>
            <w:vAlign w:val="bottom"/>
            <w:hideMark/>
          </w:tcPr>
          <w:p w14:paraId="4D2F26E2"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000000"/>
                <w:sz w:val="18"/>
                <w:szCs w:val="18"/>
                <w:lang w:eastAsia="en-GB"/>
              </w:rPr>
              <w:t>(865)</w:t>
            </w:r>
          </w:p>
        </w:tc>
      </w:tr>
      <w:tr w:rsidR="00874BC3" w:rsidRPr="00874BC3" w14:paraId="61D5DD82" w14:textId="77777777" w:rsidTr="0009479F">
        <w:trPr>
          <w:trHeight w:val="283"/>
        </w:trPr>
        <w:tc>
          <w:tcPr>
            <w:tcW w:w="827" w:type="pct"/>
            <w:tcBorders>
              <w:top w:val="nil"/>
              <w:left w:val="nil"/>
              <w:bottom w:val="nil"/>
              <w:right w:val="nil"/>
            </w:tcBorders>
            <w:shd w:val="clear" w:color="000000" w:fill="FFFFFF"/>
            <w:vAlign w:val="bottom"/>
            <w:hideMark/>
          </w:tcPr>
          <w:p w14:paraId="3090DBC1"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c>
          <w:tcPr>
            <w:tcW w:w="3345" w:type="pct"/>
            <w:tcBorders>
              <w:top w:val="nil"/>
              <w:left w:val="nil"/>
              <w:bottom w:val="nil"/>
              <w:right w:val="nil"/>
            </w:tcBorders>
            <w:shd w:val="clear" w:color="000000" w:fill="FFFFFF"/>
            <w:noWrap/>
            <w:vAlign w:val="bottom"/>
            <w:hideMark/>
          </w:tcPr>
          <w:p w14:paraId="404B4944" w14:textId="77777777" w:rsidR="00874BC3" w:rsidRPr="00874BC3" w:rsidRDefault="00874BC3" w:rsidP="00874BC3">
            <w:pPr>
              <w:spacing w:after="0" w:line="240" w:lineRule="auto"/>
              <w:jc w:val="lef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Income from Council Tax &amp; Non-Domestic Rates</w:t>
            </w:r>
          </w:p>
        </w:tc>
        <w:tc>
          <w:tcPr>
            <w:tcW w:w="828" w:type="pct"/>
            <w:tcBorders>
              <w:top w:val="nil"/>
              <w:left w:val="nil"/>
              <w:bottom w:val="nil"/>
              <w:right w:val="nil"/>
            </w:tcBorders>
            <w:shd w:val="clear" w:color="000000" w:fill="CCECFF"/>
            <w:vAlign w:val="bottom"/>
            <w:hideMark/>
          </w:tcPr>
          <w:p w14:paraId="23467A7D"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w:t>
            </w:r>
          </w:p>
        </w:tc>
      </w:tr>
      <w:tr w:rsidR="00874BC3" w:rsidRPr="00874BC3" w14:paraId="3A537BFB" w14:textId="77777777" w:rsidTr="0009479F">
        <w:trPr>
          <w:trHeight w:val="283"/>
        </w:trPr>
        <w:tc>
          <w:tcPr>
            <w:tcW w:w="827" w:type="pct"/>
            <w:tcBorders>
              <w:top w:val="nil"/>
              <w:left w:val="nil"/>
              <w:bottom w:val="nil"/>
              <w:right w:val="nil"/>
            </w:tcBorders>
            <w:shd w:val="clear" w:color="000000" w:fill="FFFFFF"/>
            <w:vAlign w:val="bottom"/>
            <w:hideMark/>
          </w:tcPr>
          <w:p w14:paraId="649FA4BB"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000000"/>
                <w:sz w:val="18"/>
                <w:szCs w:val="18"/>
                <w:lang w:eastAsia="en-GB"/>
              </w:rPr>
              <w:t>(29,408)</w:t>
            </w:r>
          </w:p>
        </w:tc>
        <w:tc>
          <w:tcPr>
            <w:tcW w:w="3345" w:type="pct"/>
            <w:tcBorders>
              <w:top w:val="nil"/>
              <w:left w:val="nil"/>
              <w:bottom w:val="nil"/>
              <w:right w:val="nil"/>
            </w:tcBorders>
            <w:shd w:val="clear" w:color="000000" w:fill="FFFFFF"/>
            <w:noWrap/>
            <w:vAlign w:val="center"/>
            <w:hideMark/>
          </w:tcPr>
          <w:p w14:paraId="5B7F9856"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Government Grants and Contributions</w:t>
            </w:r>
          </w:p>
        </w:tc>
        <w:tc>
          <w:tcPr>
            <w:tcW w:w="828" w:type="pct"/>
            <w:tcBorders>
              <w:top w:val="nil"/>
              <w:left w:val="nil"/>
              <w:bottom w:val="nil"/>
              <w:right w:val="nil"/>
            </w:tcBorders>
            <w:shd w:val="clear" w:color="000000" w:fill="CCECFF"/>
            <w:vAlign w:val="bottom"/>
            <w:hideMark/>
          </w:tcPr>
          <w:p w14:paraId="4904057E"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000000"/>
                <w:sz w:val="18"/>
                <w:szCs w:val="18"/>
                <w:lang w:eastAsia="en-GB"/>
              </w:rPr>
              <w:t>(26,815)</w:t>
            </w:r>
          </w:p>
        </w:tc>
      </w:tr>
      <w:tr w:rsidR="00874BC3" w:rsidRPr="00874BC3" w14:paraId="36C281F5" w14:textId="77777777" w:rsidTr="0009479F">
        <w:trPr>
          <w:trHeight w:val="283"/>
        </w:trPr>
        <w:tc>
          <w:tcPr>
            <w:tcW w:w="827" w:type="pct"/>
            <w:tcBorders>
              <w:top w:val="single" w:sz="4" w:space="0" w:color="auto"/>
              <w:left w:val="nil"/>
              <w:bottom w:val="single" w:sz="4" w:space="0" w:color="auto"/>
              <w:right w:val="nil"/>
            </w:tcBorders>
            <w:shd w:val="clear" w:color="000000" w:fill="FFFFFF"/>
            <w:vAlign w:val="bottom"/>
            <w:hideMark/>
          </w:tcPr>
          <w:p w14:paraId="2FC8116B"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(47,329)</w:t>
            </w:r>
          </w:p>
        </w:tc>
        <w:tc>
          <w:tcPr>
            <w:tcW w:w="3345" w:type="pct"/>
            <w:tcBorders>
              <w:top w:val="single" w:sz="4" w:space="0" w:color="auto"/>
              <w:left w:val="nil"/>
              <w:bottom w:val="single" w:sz="4" w:space="0" w:color="auto"/>
              <w:right w:val="nil"/>
            </w:tcBorders>
            <w:shd w:val="clear" w:color="000000" w:fill="FFFFFF"/>
            <w:noWrap/>
            <w:vAlign w:val="center"/>
            <w:hideMark/>
          </w:tcPr>
          <w:p w14:paraId="2951096B" w14:textId="77777777" w:rsidR="00874BC3" w:rsidRPr="00874BC3" w:rsidRDefault="00874BC3" w:rsidP="00874BC3">
            <w:pPr>
              <w:spacing w:after="0" w:line="240" w:lineRule="auto"/>
              <w:jc w:val="left"/>
              <w:rPr>
                <w:rFonts w:asciiTheme="minorHAnsi" w:eastAsia="Times New Roman" w:hAnsiTheme="minorHAnsi" w:cstheme="minorHAnsi"/>
                <w:b/>
                <w:bCs/>
                <w:color w:val="000000"/>
                <w:sz w:val="18"/>
                <w:szCs w:val="18"/>
                <w:lang w:eastAsia="en-GB"/>
              </w:rPr>
            </w:pPr>
            <w:r w:rsidRPr="00874BC3">
              <w:rPr>
                <w:rFonts w:asciiTheme="minorHAnsi" w:eastAsia="Times New Roman" w:hAnsiTheme="minorHAnsi" w:cstheme="minorHAnsi"/>
                <w:b/>
                <w:bCs/>
                <w:color w:val="000000"/>
                <w:sz w:val="18"/>
                <w:szCs w:val="18"/>
                <w:lang w:eastAsia="en-GB"/>
              </w:rPr>
              <w:t>Total Income</w:t>
            </w:r>
          </w:p>
        </w:tc>
        <w:tc>
          <w:tcPr>
            <w:tcW w:w="828" w:type="pct"/>
            <w:tcBorders>
              <w:top w:val="single" w:sz="4" w:space="0" w:color="auto"/>
              <w:left w:val="nil"/>
              <w:bottom w:val="single" w:sz="4" w:space="0" w:color="auto"/>
              <w:right w:val="nil"/>
            </w:tcBorders>
            <w:shd w:val="clear" w:color="000000" w:fill="CCECFF"/>
            <w:vAlign w:val="bottom"/>
            <w:hideMark/>
          </w:tcPr>
          <w:p w14:paraId="24E315A8"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(45,675)</w:t>
            </w:r>
          </w:p>
        </w:tc>
      </w:tr>
      <w:tr w:rsidR="00B6298B" w:rsidRPr="00874BC3" w14:paraId="6040640B" w14:textId="77777777" w:rsidTr="0009479F">
        <w:trPr>
          <w:trHeight w:val="283"/>
        </w:trPr>
        <w:tc>
          <w:tcPr>
            <w:tcW w:w="827" w:type="pct"/>
            <w:tcBorders>
              <w:top w:val="nil"/>
              <w:left w:val="nil"/>
              <w:bottom w:val="single" w:sz="4" w:space="0" w:color="auto"/>
              <w:right w:val="nil"/>
            </w:tcBorders>
            <w:shd w:val="clear" w:color="000000" w:fill="FFFFFF"/>
            <w:vAlign w:val="bottom"/>
            <w:hideMark/>
          </w:tcPr>
          <w:p w14:paraId="5F00691F"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auto"/>
                <w:sz w:val="18"/>
                <w:szCs w:val="18"/>
                <w:lang w:eastAsia="en-GB"/>
              </w:rPr>
              <w:t>(165,024)</w:t>
            </w:r>
          </w:p>
        </w:tc>
        <w:tc>
          <w:tcPr>
            <w:tcW w:w="3345" w:type="pct"/>
            <w:tcBorders>
              <w:top w:val="nil"/>
              <w:left w:val="nil"/>
              <w:bottom w:val="nil"/>
              <w:right w:val="nil"/>
            </w:tcBorders>
            <w:shd w:val="clear" w:color="000000" w:fill="FFFFFF"/>
            <w:noWrap/>
            <w:vAlign w:val="center"/>
            <w:hideMark/>
          </w:tcPr>
          <w:p w14:paraId="2DCDB14A" w14:textId="77777777" w:rsidR="00874BC3" w:rsidRPr="00874BC3" w:rsidRDefault="00874BC3" w:rsidP="00874BC3">
            <w:pPr>
              <w:spacing w:after="0" w:line="240" w:lineRule="auto"/>
              <w:jc w:val="left"/>
              <w:rPr>
                <w:rFonts w:asciiTheme="minorHAnsi" w:eastAsia="Times New Roman" w:hAnsiTheme="minorHAnsi" w:cstheme="minorHAnsi"/>
                <w:color w:val="000000"/>
                <w:sz w:val="18"/>
                <w:szCs w:val="18"/>
                <w:lang w:eastAsia="en-GB"/>
              </w:rPr>
            </w:pPr>
            <w:r w:rsidRPr="00874BC3">
              <w:rPr>
                <w:rFonts w:asciiTheme="minorHAnsi" w:eastAsia="Times New Roman" w:hAnsiTheme="minorHAnsi" w:cstheme="minorHAnsi"/>
                <w:color w:val="000000"/>
                <w:sz w:val="18"/>
                <w:szCs w:val="18"/>
                <w:lang w:eastAsia="en-GB"/>
              </w:rPr>
              <w:t>Intra Company Adjustment (Income)</w:t>
            </w:r>
          </w:p>
        </w:tc>
        <w:tc>
          <w:tcPr>
            <w:tcW w:w="828" w:type="pct"/>
            <w:tcBorders>
              <w:top w:val="nil"/>
              <w:left w:val="nil"/>
              <w:bottom w:val="nil"/>
              <w:right w:val="nil"/>
            </w:tcBorders>
            <w:shd w:val="clear" w:color="000000" w:fill="CCECFF"/>
            <w:vAlign w:val="bottom"/>
            <w:hideMark/>
          </w:tcPr>
          <w:p w14:paraId="4717345B" w14:textId="77777777" w:rsidR="00874BC3" w:rsidRPr="00874BC3" w:rsidRDefault="00874BC3" w:rsidP="00874BC3">
            <w:pPr>
              <w:spacing w:after="0" w:line="240" w:lineRule="auto"/>
              <w:jc w:val="right"/>
              <w:rPr>
                <w:rFonts w:asciiTheme="minorHAnsi" w:eastAsia="Times New Roman" w:hAnsiTheme="minorHAnsi" w:cstheme="minorHAnsi"/>
                <w:color w:val="auto"/>
                <w:sz w:val="18"/>
                <w:szCs w:val="18"/>
                <w:lang w:eastAsia="en-GB"/>
              </w:rPr>
            </w:pPr>
            <w:r w:rsidRPr="00874BC3">
              <w:rPr>
                <w:rFonts w:asciiTheme="minorHAnsi" w:eastAsia="Times New Roman" w:hAnsiTheme="minorHAnsi" w:cstheme="minorHAnsi"/>
                <w:color w:val="000000"/>
                <w:sz w:val="18"/>
                <w:szCs w:val="18"/>
                <w:lang w:eastAsia="en-GB"/>
              </w:rPr>
              <w:t>(184,604)</w:t>
            </w:r>
          </w:p>
        </w:tc>
      </w:tr>
      <w:tr w:rsidR="00B6298B" w:rsidRPr="00874BC3" w14:paraId="520349F8" w14:textId="77777777" w:rsidTr="0009479F">
        <w:trPr>
          <w:trHeight w:val="283"/>
        </w:trPr>
        <w:tc>
          <w:tcPr>
            <w:tcW w:w="827" w:type="pct"/>
            <w:tcBorders>
              <w:top w:val="nil"/>
              <w:left w:val="nil"/>
              <w:bottom w:val="single" w:sz="4" w:space="0" w:color="auto"/>
              <w:right w:val="nil"/>
            </w:tcBorders>
            <w:shd w:val="clear" w:color="000000" w:fill="FFFFFF"/>
            <w:vAlign w:val="bottom"/>
            <w:hideMark/>
          </w:tcPr>
          <w:p w14:paraId="214AE3CC"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(212,353)</w:t>
            </w:r>
          </w:p>
        </w:tc>
        <w:tc>
          <w:tcPr>
            <w:tcW w:w="3345" w:type="pct"/>
            <w:tcBorders>
              <w:top w:val="single" w:sz="4" w:space="0" w:color="auto"/>
              <w:left w:val="nil"/>
              <w:bottom w:val="single" w:sz="4" w:space="0" w:color="auto"/>
              <w:right w:val="nil"/>
            </w:tcBorders>
            <w:shd w:val="clear" w:color="000000" w:fill="FFFFFF"/>
            <w:noWrap/>
            <w:vAlign w:val="center"/>
            <w:hideMark/>
          </w:tcPr>
          <w:p w14:paraId="5111CEDE" w14:textId="77777777" w:rsidR="00874BC3" w:rsidRPr="00874BC3" w:rsidRDefault="00874BC3" w:rsidP="00874BC3">
            <w:pPr>
              <w:spacing w:after="0" w:line="240" w:lineRule="auto"/>
              <w:jc w:val="left"/>
              <w:rPr>
                <w:rFonts w:asciiTheme="minorHAnsi" w:eastAsia="Times New Roman" w:hAnsiTheme="minorHAnsi" w:cstheme="minorHAnsi"/>
                <w:b/>
                <w:bCs/>
                <w:color w:val="000000"/>
                <w:sz w:val="18"/>
                <w:szCs w:val="18"/>
                <w:lang w:eastAsia="en-GB"/>
              </w:rPr>
            </w:pPr>
            <w:r w:rsidRPr="00874BC3">
              <w:rPr>
                <w:rFonts w:asciiTheme="minorHAnsi" w:eastAsia="Times New Roman" w:hAnsiTheme="minorHAnsi" w:cstheme="minorHAnsi"/>
                <w:b/>
                <w:bCs/>
                <w:color w:val="000000"/>
                <w:sz w:val="18"/>
                <w:szCs w:val="18"/>
                <w:lang w:eastAsia="en-GB"/>
              </w:rPr>
              <w:t>Total Income (Including Intra Company)</w:t>
            </w:r>
          </w:p>
        </w:tc>
        <w:tc>
          <w:tcPr>
            <w:tcW w:w="828" w:type="pct"/>
            <w:tcBorders>
              <w:top w:val="single" w:sz="4" w:space="0" w:color="auto"/>
              <w:left w:val="nil"/>
              <w:bottom w:val="single" w:sz="4" w:space="0" w:color="auto"/>
              <w:right w:val="nil"/>
            </w:tcBorders>
            <w:shd w:val="clear" w:color="000000" w:fill="CCECFF"/>
            <w:vAlign w:val="bottom"/>
            <w:hideMark/>
          </w:tcPr>
          <w:p w14:paraId="3339F89C"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(230,279)</w:t>
            </w:r>
          </w:p>
        </w:tc>
      </w:tr>
      <w:tr w:rsidR="00874BC3" w:rsidRPr="00874BC3" w14:paraId="517D7895" w14:textId="77777777" w:rsidTr="0009479F">
        <w:trPr>
          <w:trHeight w:val="283"/>
        </w:trPr>
        <w:tc>
          <w:tcPr>
            <w:tcW w:w="827" w:type="pct"/>
            <w:tcBorders>
              <w:top w:val="nil"/>
              <w:left w:val="nil"/>
              <w:bottom w:val="single" w:sz="4" w:space="0" w:color="auto"/>
              <w:right w:val="nil"/>
            </w:tcBorders>
            <w:shd w:val="clear" w:color="000000" w:fill="FFFFFF"/>
            <w:vAlign w:val="bottom"/>
            <w:hideMark/>
          </w:tcPr>
          <w:p w14:paraId="63398C01"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18,327</w:t>
            </w:r>
          </w:p>
        </w:tc>
        <w:tc>
          <w:tcPr>
            <w:tcW w:w="3345" w:type="pct"/>
            <w:tcBorders>
              <w:top w:val="nil"/>
              <w:left w:val="nil"/>
              <w:bottom w:val="single" w:sz="4" w:space="0" w:color="auto"/>
              <w:right w:val="nil"/>
            </w:tcBorders>
            <w:shd w:val="clear" w:color="000000" w:fill="FFFFFF"/>
            <w:noWrap/>
            <w:vAlign w:val="center"/>
            <w:hideMark/>
          </w:tcPr>
          <w:p w14:paraId="31BCE532" w14:textId="77777777" w:rsidR="00874BC3" w:rsidRPr="00874BC3" w:rsidRDefault="00874BC3" w:rsidP="00874BC3">
            <w:pPr>
              <w:spacing w:after="0" w:line="240" w:lineRule="auto"/>
              <w:jc w:val="left"/>
              <w:rPr>
                <w:rFonts w:asciiTheme="minorHAnsi" w:eastAsia="Times New Roman" w:hAnsiTheme="minorHAnsi" w:cstheme="minorHAnsi"/>
                <w:b/>
                <w:bCs/>
                <w:color w:val="000000"/>
                <w:sz w:val="18"/>
                <w:szCs w:val="18"/>
                <w:lang w:eastAsia="en-GB"/>
              </w:rPr>
            </w:pPr>
            <w:r w:rsidRPr="00874BC3">
              <w:rPr>
                <w:rFonts w:asciiTheme="minorHAnsi" w:eastAsia="Times New Roman" w:hAnsiTheme="minorHAnsi" w:cstheme="minorHAnsi"/>
                <w:b/>
                <w:bCs/>
                <w:color w:val="000000"/>
                <w:sz w:val="18"/>
                <w:szCs w:val="18"/>
                <w:lang w:eastAsia="en-GB"/>
              </w:rPr>
              <w:t>(Surplus) or Deficit on the Provision of Services</w:t>
            </w:r>
          </w:p>
        </w:tc>
        <w:tc>
          <w:tcPr>
            <w:tcW w:w="828" w:type="pct"/>
            <w:tcBorders>
              <w:top w:val="nil"/>
              <w:left w:val="nil"/>
              <w:bottom w:val="single" w:sz="4" w:space="0" w:color="auto"/>
              <w:right w:val="nil"/>
            </w:tcBorders>
            <w:shd w:val="clear" w:color="000000" w:fill="CCECFF"/>
            <w:vAlign w:val="bottom"/>
            <w:hideMark/>
          </w:tcPr>
          <w:p w14:paraId="36B1790B" w14:textId="77777777" w:rsidR="00874BC3" w:rsidRPr="00874BC3" w:rsidRDefault="00874BC3" w:rsidP="00874BC3">
            <w:pPr>
              <w:spacing w:after="0" w:line="240" w:lineRule="auto"/>
              <w:jc w:val="right"/>
              <w:rPr>
                <w:rFonts w:asciiTheme="minorHAnsi" w:eastAsia="Times New Roman" w:hAnsiTheme="minorHAnsi" w:cstheme="minorHAnsi"/>
                <w:b/>
                <w:bCs/>
                <w:color w:val="auto"/>
                <w:sz w:val="18"/>
                <w:szCs w:val="18"/>
                <w:lang w:eastAsia="en-GB"/>
              </w:rPr>
            </w:pPr>
            <w:r w:rsidRPr="00874BC3">
              <w:rPr>
                <w:rFonts w:asciiTheme="minorHAnsi" w:eastAsia="Times New Roman" w:hAnsiTheme="minorHAnsi" w:cstheme="minorHAnsi"/>
                <w:b/>
                <w:bCs/>
                <w:color w:val="auto"/>
                <w:sz w:val="18"/>
                <w:szCs w:val="18"/>
                <w:lang w:eastAsia="en-GB"/>
              </w:rPr>
              <w:t>19,779</w:t>
            </w:r>
          </w:p>
        </w:tc>
      </w:tr>
    </w:tbl>
    <w:p w14:paraId="307BF1A4" w14:textId="2D2BDE6B" w:rsidR="0016630F" w:rsidRPr="0043793E" w:rsidRDefault="0016630F" w:rsidP="003356AE">
      <w:pPr>
        <w:spacing w:line="240" w:lineRule="auto"/>
      </w:pPr>
    </w:p>
    <w:p w14:paraId="7C7193D6" w14:textId="77777777" w:rsidR="004720F6" w:rsidRDefault="004720F6" w:rsidP="003356AE">
      <w:pPr>
        <w:spacing w:line="240" w:lineRule="auto"/>
        <w:jc w:val="left"/>
        <w:rPr>
          <w:rFonts w:asciiTheme="minorHAnsi" w:eastAsia="Times New Roman" w:hAnsiTheme="minorHAnsi" w:cs="Times New Roman"/>
          <w:b/>
          <w:bCs/>
          <w:color w:val="18235B"/>
          <w:sz w:val="24"/>
          <w:u w:val="single"/>
          <w:lang w:val="pt-BR"/>
        </w:rPr>
      </w:pPr>
      <w:r>
        <w:rPr>
          <w:lang w:val="pt-BR"/>
        </w:rPr>
        <w:br w:type="page"/>
      </w:r>
    </w:p>
    <w:p w14:paraId="2C417DBE" w14:textId="5A2D0BE1" w:rsidR="002522D4" w:rsidRPr="00105FDE" w:rsidRDefault="002522D4" w:rsidP="003356AE">
      <w:pPr>
        <w:pStyle w:val="NoteHeader"/>
        <w:spacing w:line="240" w:lineRule="auto"/>
        <w:rPr>
          <w:lang w:val="pt-BR"/>
        </w:rPr>
      </w:pPr>
      <w:bookmarkStart w:id="94" w:name="_Toc230858561"/>
      <w:r w:rsidRPr="00105FDE">
        <w:rPr>
          <w:lang w:val="pt-BR"/>
        </w:rPr>
        <w:lastRenderedPageBreak/>
        <w:t>Note 6 - Adjustments between Accounting Basis and Funding Basis under Regulations</w:t>
      </w:r>
      <w:bookmarkEnd w:id="91"/>
      <w:bookmarkEnd w:id="92"/>
      <w:bookmarkEnd w:id="93"/>
      <w:bookmarkEnd w:id="94"/>
    </w:p>
    <w:p w14:paraId="6781A562" w14:textId="77777777" w:rsidR="002522D4" w:rsidRPr="00E17F55" w:rsidRDefault="002522D4" w:rsidP="003356AE">
      <w:pPr>
        <w:spacing w:line="240" w:lineRule="auto"/>
        <w:rPr>
          <w:sz w:val="16"/>
          <w:szCs w:val="16"/>
          <w:lang w:val="pt-BR"/>
        </w:rPr>
      </w:pPr>
    </w:p>
    <w:p w14:paraId="16818EF4" w14:textId="08FABD3C" w:rsidR="003C1837" w:rsidRPr="00E17F55" w:rsidRDefault="002522D4" w:rsidP="003356AE">
      <w:pPr>
        <w:spacing w:line="240" w:lineRule="auto"/>
        <w:rPr>
          <w:sz w:val="16"/>
          <w:szCs w:val="16"/>
          <w:lang w:val="pt-BR"/>
        </w:rPr>
      </w:pPr>
      <w:r w:rsidRPr="00105FDE">
        <w:rPr>
          <w:lang w:val="pt-BR"/>
        </w:rPr>
        <w:t xml:space="preserve">This note details the adjustments that are made to the total comprehensive income and expenditure recognised by the </w:t>
      </w:r>
      <w:r w:rsidR="004720F6">
        <w:rPr>
          <w:lang w:val="pt-BR"/>
        </w:rPr>
        <w:t>OCC</w:t>
      </w:r>
      <w:r w:rsidRPr="00105FDE">
        <w:rPr>
          <w:lang w:val="pt-BR"/>
        </w:rPr>
        <w:t xml:space="preserve"> in the year, in accordance with proper accounting practice</w:t>
      </w:r>
      <w:r w:rsidR="00105FDE" w:rsidRPr="00105FDE">
        <w:rPr>
          <w:lang w:val="pt-BR"/>
        </w:rPr>
        <w:t>,</w:t>
      </w:r>
      <w:r w:rsidRPr="00105FDE">
        <w:rPr>
          <w:lang w:val="pt-BR"/>
        </w:rPr>
        <w:t xml:space="preserve"> to the resources that are specified by statutory provisions as being available to the </w:t>
      </w:r>
      <w:r w:rsidR="004720F6">
        <w:rPr>
          <w:lang w:val="pt-BR"/>
        </w:rPr>
        <w:t>O</w:t>
      </w:r>
      <w:r w:rsidR="00C75713" w:rsidRPr="00105FDE">
        <w:rPr>
          <w:lang w:val="pt-BR"/>
        </w:rPr>
        <w:t>CC</w:t>
      </w:r>
      <w:r w:rsidRPr="00105FDE">
        <w:rPr>
          <w:lang w:val="pt-BR"/>
        </w:rPr>
        <w:t>, to meet future capital and revenue expenditure.</w:t>
      </w:r>
    </w:p>
    <w:p w14:paraId="6D27AC39" w14:textId="7C78463F" w:rsidR="006F1DE5" w:rsidRDefault="006F1DE5"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6706"/>
        <w:gridCol w:w="1183"/>
        <w:gridCol w:w="1183"/>
      </w:tblGrid>
      <w:tr w:rsidR="00FA43C0" w:rsidRPr="00FA43C0" w14:paraId="049C87A0" w14:textId="77777777" w:rsidTr="00FA43C0">
        <w:trPr>
          <w:trHeight w:val="283"/>
        </w:trPr>
        <w:tc>
          <w:tcPr>
            <w:tcW w:w="3696" w:type="pct"/>
            <w:tcBorders>
              <w:top w:val="nil"/>
              <w:left w:val="nil"/>
              <w:bottom w:val="nil"/>
              <w:right w:val="nil"/>
            </w:tcBorders>
            <w:shd w:val="clear" w:color="000000" w:fill="000099"/>
            <w:vAlign w:val="center"/>
            <w:hideMark/>
          </w:tcPr>
          <w:p w14:paraId="6CC55677" w14:textId="77777777" w:rsidR="00FA43C0" w:rsidRPr="00FA43C0" w:rsidRDefault="00FA43C0" w:rsidP="00FA43C0">
            <w:pPr>
              <w:spacing w:after="0" w:line="240" w:lineRule="auto"/>
              <w:jc w:val="left"/>
              <w:rPr>
                <w:rFonts w:asciiTheme="minorHAnsi" w:eastAsia="Times New Roman" w:hAnsiTheme="minorHAnsi" w:cstheme="minorHAnsi"/>
                <w:b/>
                <w:bCs/>
                <w:color w:val="FFFFFF"/>
                <w:sz w:val="18"/>
                <w:szCs w:val="18"/>
                <w:lang w:eastAsia="en-GB"/>
              </w:rPr>
            </w:pPr>
            <w:r w:rsidRPr="00FA43C0">
              <w:rPr>
                <w:rFonts w:asciiTheme="minorHAnsi" w:eastAsia="Times New Roman" w:hAnsiTheme="minorHAnsi" w:cstheme="minorHAnsi"/>
                <w:b/>
                <w:bCs/>
                <w:color w:val="FFFFFF"/>
                <w:sz w:val="18"/>
                <w:szCs w:val="18"/>
                <w:lang w:eastAsia="en-GB"/>
              </w:rPr>
              <w:t>2025/26</w:t>
            </w:r>
          </w:p>
        </w:tc>
        <w:tc>
          <w:tcPr>
            <w:tcW w:w="652" w:type="pct"/>
            <w:tcBorders>
              <w:top w:val="nil"/>
              <w:left w:val="nil"/>
              <w:bottom w:val="nil"/>
              <w:right w:val="nil"/>
            </w:tcBorders>
            <w:shd w:val="clear" w:color="000000" w:fill="000099"/>
            <w:vAlign w:val="bottom"/>
            <w:hideMark/>
          </w:tcPr>
          <w:p w14:paraId="69930891" w14:textId="77777777" w:rsidR="00FA43C0" w:rsidRPr="00FA43C0" w:rsidRDefault="00FA43C0" w:rsidP="00FA43C0">
            <w:pPr>
              <w:spacing w:after="0" w:line="240" w:lineRule="auto"/>
              <w:jc w:val="center"/>
              <w:rPr>
                <w:rFonts w:asciiTheme="minorHAnsi" w:eastAsia="Times New Roman" w:hAnsiTheme="minorHAnsi" w:cstheme="minorHAnsi"/>
                <w:b/>
                <w:bCs/>
                <w:color w:val="FFFFFF"/>
                <w:sz w:val="18"/>
                <w:szCs w:val="18"/>
                <w:lang w:eastAsia="en-GB"/>
              </w:rPr>
            </w:pPr>
            <w:r w:rsidRPr="00FA43C0">
              <w:rPr>
                <w:rFonts w:asciiTheme="minorHAnsi" w:eastAsia="Times New Roman" w:hAnsiTheme="minorHAnsi" w:cstheme="minorHAnsi"/>
                <w:b/>
                <w:bCs/>
                <w:color w:val="FFFFFF"/>
                <w:sz w:val="18"/>
                <w:szCs w:val="18"/>
                <w:lang w:eastAsia="en-GB"/>
              </w:rPr>
              <w:t>General Fund Balance</w:t>
            </w:r>
            <w:r w:rsidRPr="00FA43C0">
              <w:rPr>
                <w:rFonts w:asciiTheme="minorHAnsi" w:eastAsia="Times New Roman" w:hAnsiTheme="minorHAnsi" w:cstheme="minorHAnsi"/>
                <w:b/>
                <w:bCs/>
                <w:color w:val="FFFFFF"/>
                <w:sz w:val="18"/>
                <w:szCs w:val="18"/>
                <w:lang w:eastAsia="en-GB"/>
              </w:rPr>
              <w:br/>
              <w:t>£000</w:t>
            </w:r>
          </w:p>
        </w:tc>
        <w:tc>
          <w:tcPr>
            <w:tcW w:w="652" w:type="pct"/>
            <w:tcBorders>
              <w:top w:val="nil"/>
              <w:left w:val="nil"/>
              <w:bottom w:val="nil"/>
              <w:right w:val="nil"/>
            </w:tcBorders>
            <w:shd w:val="clear" w:color="000000" w:fill="000099"/>
            <w:vAlign w:val="bottom"/>
            <w:hideMark/>
          </w:tcPr>
          <w:p w14:paraId="48BC8DE6" w14:textId="77777777" w:rsidR="00FA43C0" w:rsidRPr="00FA43C0" w:rsidRDefault="00FA43C0" w:rsidP="00FA43C0">
            <w:pPr>
              <w:spacing w:after="0" w:line="240" w:lineRule="auto"/>
              <w:jc w:val="center"/>
              <w:rPr>
                <w:rFonts w:asciiTheme="minorHAnsi" w:eastAsia="Times New Roman" w:hAnsiTheme="minorHAnsi" w:cstheme="minorHAnsi"/>
                <w:b/>
                <w:bCs/>
                <w:color w:val="FFFFFF"/>
                <w:sz w:val="18"/>
                <w:szCs w:val="18"/>
                <w:lang w:eastAsia="en-GB"/>
              </w:rPr>
            </w:pPr>
            <w:r w:rsidRPr="00FA43C0">
              <w:rPr>
                <w:rFonts w:asciiTheme="minorHAnsi" w:eastAsia="Times New Roman" w:hAnsiTheme="minorHAnsi" w:cstheme="minorHAnsi"/>
                <w:b/>
                <w:bCs/>
                <w:color w:val="FFFFFF"/>
                <w:sz w:val="18"/>
                <w:szCs w:val="18"/>
                <w:lang w:eastAsia="en-GB"/>
              </w:rPr>
              <w:t>Movement in Unusable Reserves</w:t>
            </w:r>
            <w:r w:rsidRPr="00FA43C0">
              <w:rPr>
                <w:rFonts w:asciiTheme="minorHAnsi" w:eastAsia="Times New Roman" w:hAnsiTheme="minorHAnsi" w:cstheme="minorHAnsi"/>
                <w:b/>
                <w:bCs/>
                <w:color w:val="FFFFFF"/>
                <w:sz w:val="18"/>
                <w:szCs w:val="18"/>
                <w:lang w:eastAsia="en-GB"/>
              </w:rPr>
              <w:br/>
              <w:t>£000</w:t>
            </w:r>
          </w:p>
        </w:tc>
      </w:tr>
      <w:tr w:rsidR="00FA43C0" w:rsidRPr="00FA43C0" w14:paraId="61B0CD80" w14:textId="77777777" w:rsidTr="00FA43C0">
        <w:trPr>
          <w:trHeight w:val="283"/>
        </w:trPr>
        <w:tc>
          <w:tcPr>
            <w:tcW w:w="3696" w:type="pct"/>
            <w:tcBorders>
              <w:top w:val="nil"/>
              <w:left w:val="nil"/>
              <w:bottom w:val="nil"/>
              <w:right w:val="nil"/>
            </w:tcBorders>
            <w:shd w:val="clear" w:color="000000" w:fill="FFFFFF"/>
            <w:vAlign w:val="center"/>
            <w:hideMark/>
          </w:tcPr>
          <w:p w14:paraId="040BBB27"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51177938"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0C924013"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3BF2CF6D" w14:textId="77777777" w:rsidTr="00FA43C0">
        <w:trPr>
          <w:trHeight w:val="283"/>
        </w:trPr>
        <w:tc>
          <w:tcPr>
            <w:tcW w:w="3696" w:type="pct"/>
            <w:tcBorders>
              <w:top w:val="nil"/>
              <w:left w:val="nil"/>
              <w:bottom w:val="nil"/>
              <w:right w:val="nil"/>
            </w:tcBorders>
            <w:shd w:val="clear" w:color="000000" w:fill="FFFFFF"/>
            <w:vAlign w:val="center"/>
            <w:hideMark/>
          </w:tcPr>
          <w:p w14:paraId="56C894F8" w14:textId="77777777" w:rsidR="00FA43C0" w:rsidRPr="00FA43C0" w:rsidRDefault="00FA43C0" w:rsidP="00FA43C0">
            <w:pPr>
              <w:spacing w:after="0" w:line="240" w:lineRule="auto"/>
              <w:jc w:val="left"/>
              <w:rPr>
                <w:rFonts w:asciiTheme="minorHAnsi" w:eastAsia="Times New Roman" w:hAnsiTheme="minorHAnsi" w:cstheme="minorHAnsi"/>
                <w:b/>
                <w:bCs/>
                <w:color w:val="000000"/>
                <w:sz w:val="18"/>
                <w:szCs w:val="18"/>
                <w:lang w:eastAsia="en-GB"/>
              </w:rPr>
            </w:pPr>
            <w:r w:rsidRPr="00FA43C0">
              <w:rPr>
                <w:rFonts w:asciiTheme="minorHAnsi" w:eastAsia="Times New Roman" w:hAnsiTheme="minorHAnsi" w:cstheme="minorHAnsi"/>
                <w:b/>
                <w:bCs/>
                <w:color w:val="000000"/>
                <w:sz w:val="18"/>
                <w:szCs w:val="18"/>
                <w:lang w:eastAsia="en-GB"/>
              </w:rPr>
              <w:t>Adjustment to the Revenue Resources</w:t>
            </w:r>
          </w:p>
        </w:tc>
        <w:tc>
          <w:tcPr>
            <w:tcW w:w="652" w:type="pct"/>
            <w:tcBorders>
              <w:top w:val="nil"/>
              <w:left w:val="nil"/>
              <w:bottom w:val="nil"/>
              <w:right w:val="nil"/>
            </w:tcBorders>
            <w:shd w:val="clear" w:color="000000" w:fill="CCECFF"/>
            <w:vAlign w:val="center"/>
            <w:hideMark/>
          </w:tcPr>
          <w:p w14:paraId="6807D664"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0FB8B48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44D79C65" w14:textId="77777777" w:rsidTr="00FA43C0">
        <w:trPr>
          <w:trHeight w:val="283"/>
        </w:trPr>
        <w:tc>
          <w:tcPr>
            <w:tcW w:w="3696" w:type="pct"/>
            <w:tcBorders>
              <w:top w:val="nil"/>
              <w:left w:val="nil"/>
              <w:bottom w:val="nil"/>
              <w:right w:val="nil"/>
            </w:tcBorders>
            <w:shd w:val="clear" w:color="000000" w:fill="FFFFFF"/>
            <w:vAlign w:val="center"/>
            <w:hideMark/>
          </w:tcPr>
          <w:p w14:paraId="6D0C5266"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652" w:type="pct"/>
            <w:tcBorders>
              <w:top w:val="nil"/>
              <w:left w:val="nil"/>
              <w:bottom w:val="nil"/>
              <w:right w:val="nil"/>
            </w:tcBorders>
            <w:shd w:val="clear" w:color="000000" w:fill="CCECFF"/>
            <w:vAlign w:val="center"/>
            <w:hideMark/>
          </w:tcPr>
          <w:p w14:paraId="0CC2100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c>
          <w:tcPr>
            <w:tcW w:w="652" w:type="pct"/>
            <w:tcBorders>
              <w:top w:val="nil"/>
              <w:left w:val="nil"/>
              <w:bottom w:val="nil"/>
              <w:right w:val="nil"/>
            </w:tcBorders>
            <w:shd w:val="clear" w:color="000000" w:fill="CCECFF"/>
            <w:vAlign w:val="center"/>
            <w:hideMark/>
          </w:tcPr>
          <w:p w14:paraId="0BEE0237"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r>
      <w:tr w:rsidR="00FA43C0" w:rsidRPr="00FA43C0" w14:paraId="073A430E" w14:textId="77777777" w:rsidTr="00FA43C0">
        <w:trPr>
          <w:trHeight w:val="283"/>
        </w:trPr>
        <w:tc>
          <w:tcPr>
            <w:tcW w:w="3696" w:type="pct"/>
            <w:tcBorders>
              <w:top w:val="nil"/>
              <w:left w:val="nil"/>
              <w:bottom w:val="nil"/>
              <w:right w:val="nil"/>
            </w:tcBorders>
            <w:shd w:val="clear" w:color="000000" w:fill="FFFFFF"/>
            <w:vAlign w:val="center"/>
            <w:hideMark/>
          </w:tcPr>
          <w:p w14:paraId="1E97B32C"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3CC168B7"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62DB0421"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5814E3A4" w14:textId="77777777" w:rsidTr="00FA43C0">
        <w:trPr>
          <w:trHeight w:val="283"/>
        </w:trPr>
        <w:tc>
          <w:tcPr>
            <w:tcW w:w="3696" w:type="pct"/>
            <w:tcBorders>
              <w:top w:val="nil"/>
              <w:left w:val="nil"/>
              <w:bottom w:val="nil"/>
              <w:right w:val="nil"/>
            </w:tcBorders>
            <w:shd w:val="clear" w:color="000000" w:fill="FFFFFF"/>
            <w:vAlign w:val="center"/>
            <w:hideMark/>
          </w:tcPr>
          <w:p w14:paraId="612B1420"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Pension Cost (transferred to (or from) the pensions reserve)</w:t>
            </w:r>
          </w:p>
        </w:tc>
        <w:tc>
          <w:tcPr>
            <w:tcW w:w="652" w:type="pct"/>
            <w:tcBorders>
              <w:top w:val="nil"/>
              <w:left w:val="nil"/>
              <w:bottom w:val="nil"/>
              <w:right w:val="nil"/>
            </w:tcBorders>
            <w:shd w:val="clear" w:color="000000" w:fill="CCECFF"/>
            <w:vAlign w:val="center"/>
            <w:hideMark/>
          </w:tcPr>
          <w:p w14:paraId="4CAFF7A0"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000000"/>
                <w:sz w:val="18"/>
                <w:szCs w:val="18"/>
                <w:lang w:eastAsia="en-GB"/>
              </w:rPr>
              <w:t>(17,876)</w:t>
            </w:r>
          </w:p>
        </w:tc>
        <w:tc>
          <w:tcPr>
            <w:tcW w:w="652" w:type="pct"/>
            <w:tcBorders>
              <w:top w:val="nil"/>
              <w:left w:val="nil"/>
              <w:bottom w:val="nil"/>
              <w:right w:val="nil"/>
            </w:tcBorders>
            <w:shd w:val="clear" w:color="000000" w:fill="CCECFF"/>
            <w:vAlign w:val="center"/>
            <w:hideMark/>
          </w:tcPr>
          <w:p w14:paraId="15BB9376"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17,876</w:t>
            </w:r>
          </w:p>
        </w:tc>
      </w:tr>
      <w:tr w:rsidR="00FA43C0" w:rsidRPr="00FA43C0" w14:paraId="13D66223" w14:textId="77777777" w:rsidTr="00FA43C0">
        <w:trPr>
          <w:trHeight w:val="283"/>
        </w:trPr>
        <w:tc>
          <w:tcPr>
            <w:tcW w:w="3696" w:type="pct"/>
            <w:tcBorders>
              <w:top w:val="nil"/>
              <w:left w:val="nil"/>
              <w:bottom w:val="nil"/>
              <w:right w:val="nil"/>
            </w:tcBorders>
            <w:shd w:val="clear" w:color="000000" w:fill="FFFFFF"/>
            <w:vAlign w:val="center"/>
            <w:hideMark/>
          </w:tcPr>
          <w:p w14:paraId="346DF940"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79FFCA96"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650BE17D"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72978F2C" w14:textId="77777777" w:rsidTr="00FA43C0">
        <w:trPr>
          <w:trHeight w:val="283"/>
        </w:trPr>
        <w:tc>
          <w:tcPr>
            <w:tcW w:w="3696" w:type="pct"/>
            <w:tcBorders>
              <w:top w:val="nil"/>
              <w:left w:val="nil"/>
              <w:bottom w:val="nil"/>
              <w:right w:val="nil"/>
            </w:tcBorders>
            <w:shd w:val="clear" w:color="000000" w:fill="FFFFFF"/>
            <w:vAlign w:val="center"/>
            <w:hideMark/>
          </w:tcPr>
          <w:p w14:paraId="227F9782"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Profit/Loss on Disposal</w:t>
            </w:r>
          </w:p>
        </w:tc>
        <w:tc>
          <w:tcPr>
            <w:tcW w:w="652" w:type="pct"/>
            <w:tcBorders>
              <w:top w:val="nil"/>
              <w:left w:val="nil"/>
              <w:bottom w:val="nil"/>
              <w:right w:val="nil"/>
            </w:tcBorders>
            <w:shd w:val="clear" w:color="000000" w:fill="CCECFF"/>
            <w:vAlign w:val="center"/>
            <w:hideMark/>
          </w:tcPr>
          <w:p w14:paraId="13E411F3"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c>
          <w:tcPr>
            <w:tcW w:w="652" w:type="pct"/>
            <w:tcBorders>
              <w:top w:val="nil"/>
              <w:left w:val="nil"/>
              <w:bottom w:val="nil"/>
              <w:right w:val="nil"/>
            </w:tcBorders>
            <w:shd w:val="clear" w:color="000000" w:fill="CCECFF"/>
            <w:vAlign w:val="center"/>
            <w:hideMark/>
          </w:tcPr>
          <w:p w14:paraId="2F9141D7"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r>
      <w:tr w:rsidR="00FA43C0" w:rsidRPr="00FA43C0" w14:paraId="1EF59F99" w14:textId="77777777" w:rsidTr="00FA43C0">
        <w:trPr>
          <w:trHeight w:val="283"/>
        </w:trPr>
        <w:tc>
          <w:tcPr>
            <w:tcW w:w="3696" w:type="pct"/>
            <w:tcBorders>
              <w:top w:val="nil"/>
              <w:left w:val="nil"/>
              <w:bottom w:val="nil"/>
              <w:right w:val="nil"/>
            </w:tcBorders>
            <w:shd w:val="clear" w:color="000000" w:fill="FFFFFF"/>
            <w:vAlign w:val="center"/>
            <w:hideMark/>
          </w:tcPr>
          <w:p w14:paraId="3B5C826C"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67043163"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26E7A019"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377AE0A6" w14:textId="77777777" w:rsidTr="00FA43C0">
        <w:trPr>
          <w:trHeight w:val="283"/>
        </w:trPr>
        <w:tc>
          <w:tcPr>
            <w:tcW w:w="3696" w:type="pct"/>
            <w:tcBorders>
              <w:top w:val="nil"/>
              <w:left w:val="nil"/>
              <w:bottom w:val="nil"/>
              <w:right w:val="nil"/>
            </w:tcBorders>
            <w:shd w:val="clear" w:color="000000" w:fill="FFFFFF"/>
            <w:vAlign w:val="center"/>
            <w:hideMark/>
          </w:tcPr>
          <w:p w14:paraId="4FF8731E"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Council Tax and NDR (transfers to or from the collection Fund)</w:t>
            </w:r>
          </w:p>
        </w:tc>
        <w:tc>
          <w:tcPr>
            <w:tcW w:w="652" w:type="pct"/>
            <w:tcBorders>
              <w:top w:val="nil"/>
              <w:left w:val="nil"/>
              <w:bottom w:val="nil"/>
              <w:right w:val="nil"/>
            </w:tcBorders>
            <w:shd w:val="clear" w:color="000000" w:fill="CCECFF"/>
            <w:vAlign w:val="center"/>
            <w:hideMark/>
          </w:tcPr>
          <w:p w14:paraId="09652B21"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c>
          <w:tcPr>
            <w:tcW w:w="652" w:type="pct"/>
            <w:tcBorders>
              <w:top w:val="nil"/>
              <w:left w:val="nil"/>
              <w:bottom w:val="nil"/>
              <w:right w:val="nil"/>
            </w:tcBorders>
            <w:shd w:val="clear" w:color="000000" w:fill="CCECFF"/>
            <w:vAlign w:val="center"/>
            <w:hideMark/>
          </w:tcPr>
          <w:p w14:paraId="093453AE"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r>
      <w:tr w:rsidR="00FA43C0" w:rsidRPr="00FA43C0" w14:paraId="6DFFD6F7" w14:textId="77777777" w:rsidTr="00FA43C0">
        <w:trPr>
          <w:trHeight w:val="283"/>
        </w:trPr>
        <w:tc>
          <w:tcPr>
            <w:tcW w:w="3696" w:type="pct"/>
            <w:tcBorders>
              <w:top w:val="nil"/>
              <w:left w:val="nil"/>
              <w:bottom w:val="nil"/>
              <w:right w:val="nil"/>
            </w:tcBorders>
            <w:shd w:val="clear" w:color="000000" w:fill="FFFFFF"/>
            <w:vAlign w:val="center"/>
            <w:hideMark/>
          </w:tcPr>
          <w:p w14:paraId="0009211E"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79482315"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5F76DCC2"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318D5B30" w14:textId="77777777" w:rsidTr="00FA43C0">
        <w:trPr>
          <w:trHeight w:val="283"/>
        </w:trPr>
        <w:tc>
          <w:tcPr>
            <w:tcW w:w="3696" w:type="pct"/>
            <w:tcBorders>
              <w:top w:val="nil"/>
              <w:left w:val="nil"/>
              <w:bottom w:val="nil"/>
              <w:right w:val="nil"/>
            </w:tcBorders>
            <w:shd w:val="clear" w:color="000000" w:fill="FFFFFF"/>
            <w:vAlign w:val="center"/>
            <w:hideMark/>
          </w:tcPr>
          <w:p w14:paraId="0AE6AF6E"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Holiday Pay (transferred to the Accumulated Absences Reserve)</w:t>
            </w:r>
          </w:p>
        </w:tc>
        <w:tc>
          <w:tcPr>
            <w:tcW w:w="652" w:type="pct"/>
            <w:tcBorders>
              <w:top w:val="nil"/>
              <w:left w:val="nil"/>
              <w:bottom w:val="nil"/>
              <w:right w:val="nil"/>
            </w:tcBorders>
            <w:shd w:val="clear" w:color="000000" w:fill="CCECFF"/>
            <w:vAlign w:val="center"/>
            <w:hideMark/>
          </w:tcPr>
          <w:p w14:paraId="4EE4BF70"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000000"/>
                <w:sz w:val="18"/>
                <w:szCs w:val="18"/>
                <w:lang w:eastAsia="en-GB"/>
              </w:rPr>
              <w:t>(1,903)</w:t>
            </w:r>
          </w:p>
        </w:tc>
        <w:tc>
          <w:tcPr>
            <w:tcW w:w="652" w:type="pct"/>
            <w:tcBorders>
              <w:top w:val="nil"/>
              <w:left w:val="nil"/>
              <w:bottom w:val="nil"/>
              <w:right w:val="nil"/>
            </w:tcBorders>
            <w:shd w:val="clear" w:color="000000" w:fill="CCECFF"/>
            <w:vAlign w:val="center"/>
            <w:hideMark/>
          </w:tcPr>
          <w:p w14:paraId="38911988"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1,903</w:t>
            </w:r>
          </w:p>
        </w:tc>
      </w:tr>
      <w:tr w:rsidR="00FA43C0" w:rsidRPr="00FA43C0" w14:paraId="4716FF01" w14:textId="77777777" w:rsidTr="00FA43C0">
        <w:trPr>
          <w:trHeight w:val="283"/>
        </w:trPr>
        <w:tc>
          <w:tcPr>
            <w:tcW w:w="3696" w:type="pct"/>
            <w:tcBorders>
              <w:top w:val="nil"/>
              <w:left w:val="nil"/>
              <w:bottom w:val="nil"/>
              <w:right w:val="nil"/>
            </w:tcBorders>
            <w:shd w:val="clear" w:color="000000" w:fill="FFFFFF"/>
            <w:vAlign w:val="center"/>
            <w:hideMark/>
          </w:tcPr>
          <w:p w14:paraId="16EFFFAE"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10307561"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2E13C270"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3F817287" w14:textId="77777777" w:rsidTr="00FA43C0">
        <w:trPr>
          <w:trHeight w:val="283"/>
        </w:trPr>
        <w:tc>
          <w:tcPr>
            <w:tcW w:w="3696" w:type="pct"/>
            <w:tcBorders>
              <w:top w:val="nil"/>
              <w:left w:val="nil"/>
              <w:bottom w:val="nil"/>
              <w:right w:val="nil"/>
            </w:tcBorders>
            <w:shd w:val="clear" w:color="000000" w:fill="FFFFFF"/>
            <w:vAlign w:val="center"/>
            <w:hideMark/>
          </w:tcPr>
          <w:p w14:paraId="5841ABAB"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Reversal of entries included in the Surplus or Deficit on the Provision of Services in relation to capital expenditure (these items are charged to the Capital Adjustment Account)</w:t>
            </w:r>
          </w:p>
        </w:tc>
        <w:tc>
          <w:tcPr>
            <w:tcW w:w="652" w:type="pct"/>
            <w:tcBorders>
              <w:top w:val="nil"/>
              <w:left w:val="nil"/>
              <w:bottom w:val="single" w:sz="4" w:space="0" w:color="auto"/>
              <w:right w:val="nil"/>
            </w:tcBorders>
            <w:shd w:val="clear" w:color="000000" w:fill="CCECFF"/>
            <w:vAlign w:val="center"/>
            <w:hideMark/>
          </w:tcPr>
          <w:p w14:paraId="6A63A4F2"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c>
          <w:tcPr>
            <w:tcW w:w="652" w:type="pct"/>
            <w:tcBorders>
              <w:top w:val="nil"/>
              <w:left w:val="nil"/>
              <w:bottom w:val="single" w:sz="4" w:space="0" w:color="auto"/>
              <w:right w:val="nil"/>
            </w:tcBorders>
            <w:shd w:val="clear" w:color="000000" w:fill="CCECFF"/>
            <w:vAlign w:val="center"/>
            <w:hideMark/>
          </w:tcPr>
          <w:p w14:paraId="0BBBD25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r>
      <w:tr w:rsidR="00FA43C0" w:rsidRPr="00FA43C0" w14:paraId="689AF0FB" w14:textId="77777777" w:rsidTr="00FA43C0">
        <w:trPr>
          <w:trHeight w:val="283"/>
        </w:trPr>
        <w:tc>
          <w:tcPr>
            <w:tcW w:w="3696" w:type="pct"/>
            <w:tcBorders>
              <w:top w:val="single" w:sz="4" w:space="0" w:color="auto"/>
              <w:left w:val="nil"/>
              <w:bottom w:val="nil"/>
              <w:right w:val="nil"/>
            </w:tcBorders>
            <w:shd w:val="clear" w:color="000000" w:fill="FFFFFF"/>
            <w:vAlign w:val="center"/>
            <w:hideMark/>
          </w:tcPr>
          <w:p w14:paraId="641388D8" w14:textId="77777777" w:rsidR="00FA43C0" w:rsidRPr="00FA43C0" w:rsidRDefault="00FA43C0" w:rsidP="00FA43C0">
            <w:pPr>
              <w:spacing w:after="0" w:line="240" w:lineRule="auto"/>
              <w:jc w:val="left"/>
              <w:rPr>
                <w:rFonts w:asciiTheme="minorHAnsi" w:eastAsia="Times New Roman" w:hAnsiTheme="minorHAnsi" w:cstheme="minorHAnsi"/>
                <w:b/>
                <w:bCs/>
                <w:color w:val="000000"/>
                <w:sz w:val="18"/>
                <w:szCs w:val="18"/>
                <w:lang w:eastAsia="en-GB"/>
              </w:rPr>
            </w:pPr>
            <w:r w:rsidRPr="00FA43C0">
              <w:rPr>
                <w:rFonts w:asciiTheme="minorHAnsi" w:eastAsia="Times New Roman" w:hAnsiTheme="minorHAnsi" w:cstheme="minorHAnsi"/>
                <w:b/>
                <w:bCs/>
                <w:color w:val="000000"/>
                <w:sz w:val="18"/>
                <w:szCs w:val="18"/>
                <w:lang w:eastAsia="en-GB"/>
              </w:rPr>
              <w:t>Total Adjustments to Revenue Resources</w:t>
            </w:r>
          </w:p>
        </w:tc>
        <w:tc>
          <w:tcPr>
            <w:tcW w:w="652" w:type="pct"/>
            <w:tcBorders>
              <w:top w:val="nil"/>
              <w:left w:val="nil"/>
              <w:bottom w:val="nil"/>
              <w:right w:val="nil"/>
            </w:tcBorders>
            <w:shd w:val="clear" w:color="000000" w:fill="CCECFF"/>
            <w:vAlign w:val="center"/>
            <w:hideMark/>
          </w:tcPr>
          <w:p w14:paraId="5C75C492"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000000"/>
                <w:sz w:val="18"/>
                <w:szCs w:val="18"/>
                <w:lang w:eastAsia="en-GB"/>
              </w:rPr>
              <w:t>(19,779)</w:t>
            </w:r>
          </w:p>
        </w:tc>
        <w:tc>
          <w:tcPr>
            <w:tcW w:w="652" w:type="pct"/>
            <w:tcBorders>
              <w:top w:val="nil"/>
              <w:left w:val="nil"/>
              <w:bottom w:val="nil"/>
              <w:right w:val="nil"/>
            </w:tcBorders>
            <w:shd w:val="clear" w:color="000000" w:fill="CCECFF"/>
            <w:vAlign w:val="center"/>
            <w:hideMark/>
          </w:tcPr>
          <w:p w14:paraId="2D0309C7"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19,779</w:t>
            </w:r>
          </w:p>
        </w:tc>
      </w:tr>
      <w:tr w:rsidR="00FA43C0" w:rsidRPr="00FA43C0" w14:paraId="35D62AB8" w14:textId="77777777" w:rsidTr="00FA43C0">
        <w:trPr>
          <w:trHeight w:val="283"/>
        </w:trPr>
        <w:tc>
          <w:tcPr>
            <w:tcW w:w="3696" w:type="pct"/>
            <w:tcBorders>
              <w:top w:val="nil"/>
              <w:left w:val="nil"/>
              <w:bottom w:val="nil"/>
              <w:right w:val="nil"/>
            </w:tcBorders>
            <w:shd w:val="clear" w:color="000000" w:fill="FFFFFF"/>
            <w:vAlign w:val="center"/>
            <w:hideMark/>
          </w:tcPr>
          <w:p w14:paraId="1B1BB749"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115326C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3E03E0DC"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350C2F15" w14:textId="77777777" w:rsidTr="00FA43C0">
        <w:trPr>
          <w:trHeight w:val="283"/>
        </w:trPr>
        <w:tc>
          <w:tcPr>
            <w:tcW w:w="3696" w:type="pct"/>
            <w:tcBorders>
              <w:top w:val="nil"/>
              <w:left w:val="nil"/>
              <w:bottom w:val="nil"/>
              <w:right w:val="nil"/>
            </w:tcBorders>
            <w:shd w:val="clear" w:color="000000" w:fill="FFFFFF"/>
            <w:vAlign w:val="center"/>
            <w:hideMark/>
          </w:tcPr>
          <w:p w14:paraId="7431A3AA" w14:textId="77777777" w:rsidR="00FA43C0" w:rsidRPr="00FA43C0" w:rsidRDefault="00FA43C0" w:rsidP="00FA43C0">
            <w:pPr>
              <w:spacing w:after="0" w:line="240" w:lineRule="auto"/>
              <w:jc w:val="left"/>
              <w:rPr>
                <w:rFonts w:asciiTheme="minorHAnsi" w:eastAsia="Times New Roman" w:hAnsiTheme="minorHAnsi" w:cstheme="minorHAnsi"/>
                <w:b/>
                <w:bCs/>
                <w:color w:val="000000"/>
                <w:sz w:val="18"/>
                <w:szCs w:val="18"/>
                <w:lang w:eastAsia="en-GB"/>
              </w:rPr>
            </w:pPr>
            <w:r w:rsidRPr="00FA43C0">
              <w:rPr>
                <w:rFonts w:asciiTheme="minorHAnsi" w:eastAsia="Times New Roman" w:hAnsiTheme="minorHAnsi" w:cstheme="minorHAnsi"/>
                <w:b/>
                <w:bCs/>
                <w:color w:val="000000"/>
                <w:sz w:val="18"/>
                <w:szCs w:val="18"/>
                <w:lang w:eastAsia="en-GB"/>
              </w:rPr>
              <w:t>Adjustments between Revenue and Capital Resources</w:t>
            </w:r>
          </w:p>
        </w:tc>
        <w:tc>
          <w:tcPr>
            <w:tcW w:w="652" w:type="pct"/>
            <w:tcBorders>
              <w:top w:val="nil"/>
              <w:left w:val="nil"/>
              <w:bottom w:val="nil"/>
              <w:right w:val="nil"/>
            </w:tcBorders>
            <w:shd w:val="clear" w:color="000000" w:fill="CCECFF"/>
            <w:vAlign w:val="center"/>
            <w:hideMark/>
          </w:tcPr>
          <w:p w14:paraId="2F60B442"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2BF0196D"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43D179F9" w14:textId="77777777" w:rsidTr="00FA43C0">
        <w:trPr>
          <w:trHeight w:val="283"/>
        </w:trPr>
        <w:tc>
          <w:tcPr>
            <w:tcW w:w="3696" w:type="pct"/>
            <w:tcBorders>
              <w:top w:val="nil"/>
              <w:left w:val="nil"/>
              <w:bottom w:val="nil"/>
              <w:right w:val="nil"/>
            </w:tcBorders>
            <w:shd w:val="clear" w:color="000000" w:fill="FFFFFF"/>
            <w:vAlign w:val="center"/>
            <w:hideMark/>
          </w:tcPr>
          <w:p w14:paraId="2F771338"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Statutory Provision for the repayment of debt (transfer to the Capital Adjustment Account)</w:t>
            </w:r>
          </w:p>
        </w:tc>
        <w:tc>
          <w:tcPr>
            <w:tcW w:w="652" w:type="pct"/>
            <w:tcBorders>
              <w:top w:val="nil"/>
              <w:left w:val="nil"/>
              <w:bottom w:val="nil"/>
              <w:right w:val="nil"/>
            </w:tcBorders>
            <w:shd w:val="clear" w:color="000000" w:fill="CCECFF"/>
            <w:vAlign w:val="center"/>
            <w:hideMark/>
          </w:tcPr>
          <w:p w14:paraId="062915F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c>
          <w:tcPr>
            <w:tcW w:w="652" w:type="pct"/>
            <w:tcBorders>
              <w:top w:val="nil"/>
              <w:left w:val="nil"/>
              <w:bottom w:val="nil"/>
              <w:right w:val="nil"/>
            </w:tcBorders>
            <w:shd w:val="clear" w:color="000000" w:fill="CCECFF"/>
            <w:vAlign w:val="center"/>
            <w:hideMark/>
          </w:tcPr>
          <w:p w14:paraId="713CC7FF"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r>
      <w:tr w:rsidR="00FA43C0" w:rsidRPr="00FA43C0" w14:paraId="669D1AE2" w14:textId="77777777" w:rsidTr="00FA43C0">
        <w:trPr>
          <w:trHeight w:val="283"/>
        </w:trPr>
        <w:tc>
          <w:tcPr>
            <w:tcW w:w="3696" w:type="pct"/>
            <w:tcBorders>
              <w:top w:val="nil"/>
              <w:left w:val="nil"/>
              <w:bottom w:val="nil"/>
              <w:right w:val="nil"/>
            </w:tcBorders>
            <w:shd w:val="clear" w:color="000000" w:fill="FFFFFF"/>
            <w:vAlign w:val="center"/>
            <w:hideMark/>
          </w:tcPr>
          <w:p w14:paraId="56411481"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Capital Expenditure financed from revenue balances (transfer to the Capital Adjustment Account)</w:t>
            </w:r>
          </w:p>
        </w:tc>
        <w:tc>
          <w:tcPr>
            <w:tcW w:w="652" w:type="pct"/>
            <w:tcBorders>
              <w:top w:val="nil"/>
              <w:left w:val="nil"/>
              <w:bottom w:val="single" w:sz="4" w:space="0" w:color="auto"/>
              <w:right w:val="nil"/>
            </w:tcBorders>
            <w:shd w:val="clear" w:color="000000" w:fill="CCECFF"/>
            <w:vAlign w:val="center"/>
            <w:hideMark/>
          </w:tcPr>
          <w:p w14:paraId="19BC8AE8"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c>
          <w:tcPr>
            <w:tcW w:w="652" w:type="pct"/>
            <w:tcBorders>
              <w:top w:val="nil"/>
              <w:left w:val="nil"/>
              <w:bottom w:val="single" w:sz="4" w:space="0" w:color="auto"/>
              <w:right w:val="nil"/>
            </w:tcBorders>
            <w:shd w:val="clear" w:color="000000" w:fill="CCECFF"/>
            <w:vAlign w:val="center"/>
            <w:hideMark/>
          </w:tcPr>
          <w:p w14:paraId="7129AB4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r>
      <w:tr w:rsidR="00FA43C0" w:rsidRPr="00FA43C0" w14:paraId="1F1EEDB7" w14:textId="77777777" w:rsidTr="00FA43C0">
        <w:trPr>
          <w:trHeight w:val="283"/>
        </w:trPr>
        <w:tc>
          <w:tcPr>
            <w:tcW w:w="3696" w:type="pct"/>
            <w:tcBorders>
              <w:top w:val="single" w:sz="4" w:space="0" w:color="auto"/>
              <w:left w:val="nil"/>
              <w:bottom w:val="nil"/>
              <w:right w:val="nil"/>
            </w:tcBorders>
            <w:shd w:val="clear" w:color="000000" w:fill="FFFFFF"/>
            <w:vAlign w:val="center"/>
            <w:hideMark/>
          </w:tcPr>
          <w:p w14:paraId="341D4A9C" w14:textId="77777777" w:rsidR="00FA43C0" w:rsidRPr="00FA43C0" w:rsidRDefault="00FA43C0" w:rsidP="00FA43C0">
            <w:pPr>
              <w:spacing w:after="0" w:line="240" w:lineRule="auto"/>
              <w:jc w:val="left"/>
              <w:rPr>
                <w:rFonts w:asciiTheme="minorHAnsi" w:eastAsia="Times New Roman" w:hAnsiTheme="minorHAnsi" w:cstheme="minorHAnsi"/>
                <w:b/>
                <w:bCs/>
                <w:color w:val="000000"/>
                <w:sz w:val="18"/>
                <w:szCs w:val="18"/>
                <w:lang w:eastAsia="en-GB"/>
              </w:rPr>
            </w:pPr>
            <w:r w:rsidRPr="00FA43C0">
              <w:rPr>
                <w:rFonts w:asciiTheme="minorHAnsi" w:eastAsia="Times New Roman" w:hAnsiTheme="minorHAnsi" w:cstheme="minorHAnsi"/>
                <w:b/>
                <w:bCs/>
                <w:color w:val="000000"/>
                <w:sz w:val="18"/>
                <w:szCs w:val="18"/>
                <w:lang w:eastAsia="en-GB"/>
              </w:rPr>
              <w:t>Total Adjustments between Revenue and Capital Resources</w:t>
            </w:r>
          </w:p>
        </w:tc>
        <w:tc>
          <w:tcPr>
            <w:tcW w:w="652" w:type="pct"/>
            <w:tcBorders>
              <w:top w:val="nil"/>
              <w:left w:val="nil"/>
              <w:bottom w:val="nil"/>
              <w:right w:val="nil"/>
            </w:tcBorders>
            <w:shd w:val="clear" w:color="000000" w:fill="CCECFF"/>
            <w:vAlign w:val="center"/>
            <w:hideMark/>
          </w:tcPr>
          <w:p w14:paraId="62C41BD6" w14:textId="77777777" w:rsidR="00FA43C0" w:rsidRPr="00FA43C0" w:rsidRDefault="00FA43C0" w:rsidP="00FA43C0">
            <w:pPr>
              <w:spacing w:after="0" w:line="240" w:lineRule="auto"/>
              <w:jc w:val="right"/>
              <w:rPr>
                <w:rFonts w:asciiTheme="minorHAnsi" w:eastAsia="Times New Roman" w:hAnsiTheme="minorHAnsi" w:cstheme="minorHAnsi"/>
                <w:b/>
                <w:bCs/>
                <w:color w:val="auto"/>
                <w:sz w:val="18"/>
                <w:szCs w:val="18"/>
                <w:lang w:eastAsia="en-GB"/>
              </w:rPr>
            </w:pPr>
            <w:r w:rsidRPr="00FA43C0">
              <w:rPr>
                <w:rFonts w:asciiTheme="minorHAnsi" w:eastAsia="Times New Roman" w:hAnsiTheme="minorHAnsi" w:cstheme="minorHAnsi"/>
                <w:b/>
                <w:bCs/>
                <w:color w:val="auto"/>
                <w:sz w:val="18"/>
                <w:szCs w:val="18"/>
                <w:lang w:eastAsia="en-GB"/>
              </w:rPr>
              <w:t>-</w:t>
            </w:r>
          </w:p>
        </w:tc>
        <w:tc>
          <w:tcPr>
            <w:tcW w:w="652" w:type="pct"/>
            <w:tcBorders>
              <w:top w:val="nil"/>
              <w:left w:val="nil"/>
              <w:bottom w:val="nil"/>
              <w:right w:val="nil"/>
            </w:tcBorders>
            <w:shd w:val="clear" w:color="000000" w:fill="CCECFF"/>
            <w:vAlign w:val="center"/>
            <w:hideMark/>
          </w:tcPr>
          <w:p w14:paraId="186CC06E" w14:textId="77777777" w:rsidR="00FA43C0" w:rsidRPr="00FA43C0" w:rsidRDefault="00FA43C0" w:rsidP="00FA43C0">
            <w:pPr>
              <w:spacing w:after="0" w:line="240" w:lineRule="auto"/>
              <w:jc w:val="right"/>
              <w:rPr>
                <w:rFonts w:asciiTheme="minorHAnsi" w:eastAsia="Times New Roman" w:hAnsiTheme="minorHAnsi" w:cstheme="minorHAnsi"/>
                <w:b/>
                <w:bCs/>
                <w:color w:val="auto"/>
                <w:sz w:val="18"/>
                <w:szCs w:val="18"/>
                <w:lang w:eastAsia="en-GB"/>
              </w:rPr>
            </w:pPr>
            <w:r w:rsidRPr="00FA43C0">
              <w:rPr>
                <w:rFonts w:asciiTheme="minorHAnsi" w:eastAsia="Times New Roman" w:hAnsiTheme="minorHAnsi" w:cstheme="minorHAnsi"/>
                <w:b/>
                <w:bCs/>
                <w:color w:val="auto"/>
                <w:sz w:val="18"/>
                <w:szCs w:val="18"/>
                <w:lang w:eastAsia="en-GB"/>
              </w:rPr>
              <w:t>-</w:t>
            </w:r>
          </w:p>
        </w:tc>
      </w:tr>
      <w:tr w:rsidR="00FA43C0" w:rsidRPr="00FA43C0" w14:paraId="08788B27" w14:textId="77777777" w:rsidTr="00FA43C0">
        <w:trPr>
          <w:trHeight w:val="283"/>
        </w:trPr>
        <w:tc>
          <w:tcPr>
            <w:tcW w:w="3696" w:type="pct"/>
            <w:tcBorders>
              <w:top w:val="nil"/>
              <w:left w:val="nil"/>
              <w:bottom w:val="nil"/>
              <w:right w:val="nil"/>
            </w:tcBorders>
            <w:shd w:val="clear" w:color="000000" w:fill="FFFFFF"/>
            <w:vAlign w:val="center"/>
            <w:hideMark/>
          </w:tcPr>
          <w:p w14:paraId="00925057"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nil"/>
              <w:right w:val="nil"/>
            </w:tcBorders>
            <w:shd w:val="clear" w:color="000000" w:fill="CCECFF"/>
            <w:vAlign w:val="center"/>
            <w:hideMark/>
          </w:tcPr>
          <w:p w14:paraId="0820B854"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nil"/>
              <w:right w:val="nil"/>
            </w:tcBorders>
            <w:shd w:val="clear" w:color="000000" w:fill="CCECFF"/>
            <w:vAlign w:val="center"/>
            <w:hideMark/>
          </w:tcPr>
          <w:p w14:paraId="6A4C341F"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FA43C0" w14:paraId="6FE82F8C" w14:textId="77777777" w:rsidTr="00FA43C0">
        <w:trPr>
          <w:trHeight w:val="283"/>
        </w:trPr>
        <w:tc>
          <w:tcPr>
            <w:tcW w:w="3696" w:type="pct"/>
            <w:tcBorders>
              <w:top w:val="nil"/>
              <w:left w:val="nil"/>
              <w:bottom w:val="nil"/>
              <w:right w:val="nil"/>
            </w:tcBorders>
            <w:shd w:val="clear" w:color="000000" w:fill="FFFFFF"/>
            <w:vAlign w:val="center"/>
            <w:hideMark/>
          </w:tcPr>
          <w:p w14:paraId="137F18F5"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Other Adjustments</w:t>
            </w:r>
          </w:p>
        </w:tc>
        <w:tc>
          <w:tcPr>
            <w:tcW w:w="652" w:type="pct"/>
            <w:tcBorders>
              <w:top w:val="nil"/>
              <w:left w:val="nil"/>
              <w:bottom w:val="nil"/>
              <w:right w:val="nil"/>
            </w:tcBorders>
            <w:shd w:val="clear" w:color="000000" w:fill="CCECFF"/>
            <w:vAlign w:val="center"/>
            <w:hideMark/>
          </w:tcPr>
          <w:p w14:paraId="0DED34E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c>
          <w:tcPr>
            <w:tcW w:w="652" w:type="pct"/>
            <w:tcBorders>
              <w:top w:val="nil"/>
              <w:left w:val="nil"/>
              <w:bottom w:val="nil"/>
              <w:right w:val="nil"/>
            </w:tcBorders>
            <w:shd w:val="clear" w:color="000000" w:fill="CCECFF"/>
            <w:vAlign w:val="center"/>
            <w:hideMark/>
          </w:tcPr>
          <w:p w14:paraId="6013BA8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w:t>
            </w:r>
          </w:p>
        </w:tc>
      </w:tr>
      <w:tr w:rsidR="00FA43C0" w:rsidRPr="00FA43C0" w14:paraId="4463D009" w14:textId="77777777" w:rsidTr="00FA43C0">
        <w:trPr>
          <w:trHeight w:val="283"/>
        </w:trPr>
        <w:tc>
          <w:tcPr>
            <w:tcW w:w="3696" w:type="pct"/>
            <w:tcBorders>
              <w:top w:val="nil"/>
              <w:left w:val="nil"/>
              <w:bottom w:val="nil"/>
              <w:right w:val="nil"/>
            </w:tcBorders>
            <w:shd w:val="clear" w:color="000000" w:fill="FFFFFF"/>
            <w:vAlign w:val="center"/>
            <w:hideMark/>
          </w:tcPr>
          <w:p w14:paraId="397511E2" w14:textId="77777777" w:rsidR="00FA43C0" w:rsidRPr="00FA43C0" w:rsidRDefault="00FA43C0" w:rsidP="00FA43C0">
            <w:pPr>
              <w:spacing w:after="0" w:line="240" w:lineRule="auto"/>
              <w:jc w:val="left"/>
              <w:rPr>
                <w:rFonts w:asciiTheme="minorHAnsi" w:eastAsia="Times New Roman" w:hAnsiTheme="minorHAnsi" w:cstheme="minorHAnsi"/>
                <w:color w:val="000000"/>
                <w:sz w:val="18"/>
                <w:szCs w:val="18"/>
                <w:lang w:eastAsia="en-GB"/>
              </w:rPr>
            </w:pPr>
            <w:r w:rsidRPr="00FA43C0">
              <w:rPr>
                <w:rFonts w:asciiTheme="minorHAnsi" w:eastAsia="Times New Roman" w:hAnsiTheme="minorHAnsi" w:cstheme="minorHAnsi"/>
                <w:color w:val="000000"/>
                <w:sz w:val="18"/>
                <w:szCs w:val="18"/>
                <w:lang w:eastAsia="en-GB"/>
              </w:rPr>
              <w:t> </w:t>
            </w:r>
          </w:p>
        </w:tc>
        <w:tc>
          <w:tcPr>
            <w:tcW w:w="652" w:type="pct"/>
            <w:tcBorders>
              <w:top w:val="nil"/>
              <w:left w:val="nil"/>
              <w:bottom w:val="single" w:sz="4" w:space="0" w:color="auto"/>
              <w:right w:val="nil"/>
            </w:tcBorders>
            <w:shd w:val="clear" w:color="000000" w:fill="CCECFF"/>
            <w:vAlign w:val="center"/>
            <w:hideMark/>
          </w:tcPr>
          <w:p w14:paraId="5B3BE70A"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c>
          <w:tcPr>
            <w:tcW w:w="652" w:type="pct"/>
            <w:tcBorders>
              <w:top w:val="nil"/>
              <w:left w:val="nil"/>
              <w:bottom w:val="single" w:sz="4" w:space="0" w:color="auto"/>
              <w:right w:val="nil"/>
            </w:tcBorders>
            <w:shd w:val="clear" w:color="000000" w:fill="CCECFF"/>
            <w:vAlign w:val="center"/>
            <w:hideMark/>
          </w:tcPr>
          <w:p w14:paraId="241B3F9B" w14:textId="77777777" w:rsidR="00FA43C0" w:rsidRPr="00FA43C0" w:rsidRDefault="00FA43C0" w:rsidP="00FA43C0">
            <w:pPr>
              <w:spacing w:after="0" w:line="240" w:lineRule="auto"/>
              <w:jc w:val="right"/>
              <w:rPr>
                <w:rFonts w:asciiTheme="minorHAnsi" w:eastAsia="Times New Roman" w:hAnsiTheme="minorHAnsi" w:cstheme="minorHAnsi"/>
                <w:color w:val="auto"/>
                <w:sz w:val="18"/>
                <w:szCs w:val="18"/>
                <w:lang w:eastAsia="en-GB"/>
              </w:rPr>
            </w:pPr>
            <w:r w:rsidRPr="00FA43C0">
              <w:rPr>
                <w:rFonts w:asciiTheme="minorHAnsi" w:eastAsia="Times New Roman" w:hAnsiTheme="minorHAnsi" w:cstheme="minorHAnsi"/>
                <w:color w:val="auto"/>
                <w:sz w:val="18"/>
                <w:szCs w:val="18"/>
                <w:lang w:eastAsia="en-GB"/>
              </w:rPr>
              <w:t> </w:t>
            </w:r>
          </w:p>
        </w:tc>
      </w:tr>
      <w:tr w:rsidR="00FA43C0" w:rsidRPr="0040499F" w14:paraId="322A381B" w14:textId="77777777" w:rsidTr="00FA43C0">
        <w:trPr>
          <w:trHeight w:val="283"/>
        </w:trPr>
        <w:tc>
          <w:tcPr>
            <w:tcW w:w="3696" w:type="pct"/>
            <w:tcBorders>
              <w:top w:val="single" w:sz="4" w:space="0" w:color="auto"/>
              <w:left w:val="nil"/>
              <w:bottom w:val="single" w:sz="4" w:space="0" w:color="auto"/>
              <w:right w:val="nil"/>
            </w:tcBorders>
            <w:shd w:val="clear" w:color="000000" w:fill="FFFFFF"/>
            <w:vAlign w:val="center"/>
            <w:hideMark/>
          </w:tcPr>
          <w:p w14:paraId="4430C1FC" w14:textId="77777777" w:rsidR="00FA43C0" w:rsidRPr="00FA43C0" w:rsidRDefault="00FA43C0" w:rsidP="00FA43C0">
            <w:pPr>
              <w:spacing w:after="0" w:line="240" w:lineRule="auto"/>
              <w:jc w:val="left"/>
              <w:rPr>
                <w:rFonts w:asciiTheme="minorHAnsi" w:eastAsia="Times New Roman" w:hAnsiTheme="minorHAnsi" w:cstheme="minorHAnsi"/>
                <w:b/>
                <w:bCs/>
                <w:color w:val="000000"/>
                <w:sz w:val="18"/>
                <w:szCs w:val="18"/>
                <w:lang w:eastAsia="en-GB"/>
              </w:rPr>
            </w:pPr>
            <w:r w:rsidRPr="00FA43C0">
              <w:rPr>
                <w:rFonts w:asciiTheme="minorHAnsi" w:eastAsia="Times New Roman" w:hAnsiTheme="minorHAnsi" w:cstheme="minorHAnsi"/>
                <w:b/>
                <w:bCs/>
                <w:color w:val="000000"/>
                <w:sz w:val="18"/>
                <w:szCs w:val="18"/>
                <w:lang w:eastAsia="en-GB"/>
              </w:rPr>
              <w:t>Total Adjustments</w:t>
            </w:r>
          </w:p>
        </w:tc>
        <w:tc>
          <w:tcPr>
            <w:tcW w:w="652" w:type="pct"/>
            <w:tcBorders>
              <w:top w:val="nil"/>
              <w:left w:val="nil"/>
              <w:bottom w:val="single" w:sz="4" w:space="0" w:color="auto"/>
              <w:right w:val="nil"/>
            </w:tcBorders>
            <w:shd w:val="clear" w:color="000000" w:fill="CCECFF"/>
            <w:vAlign w:val="center"/>
            <w:hideMark/>
          </w:tcPr>
          <w:p w14:paraId="1D8EBCC9" w14:textId="77777777" w:rsidR="00FA43C0" w:rsidRPr="0040499F" w:rsidRDefault="00FA43C0" w:rsidP="00FA43C0">
            <w:pPr>
              <w:spacing w:after="0" w:line="240" w:lineRule="auto"/>
              <w:jc w:val="right"/>
              <w:rPr>
                <w:rFonts w:asciiTheme="minorHAnsi" w:eastAsia="Times New Roman" w:hAnsiTheme="minorHAnsi" w:cstheme="minorHAnsi"/>
                <w:b/>
                <w:bCs/>
                <w:color w:val="auto"/>
                <w:sz w:val="18"/>
                <w:szCs w:val="18"/>
                <w:lang w:eastAsia="en-GB"/>
              </w:rPr>
            </w:pPr>
            <w:r w:rsidRPr="0040499F">
              <w:rPr>
                <w:rFonts w:asciiTheme="minorHAnsi" w:eastAsia="Times New Roman" w:hAnsiTheme="minorHAnsi" w:cstheme="minorHAnsi"/>
                <w:b/>
                <w:bCs/>
                <w:color w:val="000000"/>
                <w:sz w:val="18"/>
                <w:szCs w:val="18"/>
                <w:lang w:eastAsia="en-GB"/>
              </w:rPr>
              <w:t>(19,779)</w:t>
            </w:r>
          </w:p>
        </w:tc>
        <w:tc>
          <w:tcPr>
            <w:tcW w:w="652" w:type="pct"/>
            <w:tcBorders>
              <w:top w:val="nil"/>
              <w:left w:val="nil"/>
              <w:bottom w:val="single" w:sz="4" w:space="0" w:color="auto"/>
              <w:right w:val="nil"/>
            </w:tcBorders>
            <w:shd w:val="clear" w:color="000000" w:fill="CCECFF"/>
            <w:vAlign w:val="center"/>
            <w:hideMark/>
          </w:tcPr>
          <w:p w14:paraId="07ED3581" w14:textId="77777777" w:rsidR="00FA43C0" w:rsidRPr="0040499F" w:rsidRDefault="00FA43C0" w:rsidP="00FA43C0">
            <w:pPr>
              <w:spacing w:after="0" w:line="240" w:lineRule="auto"/>
              <w:jc w:val="right"/>
              <w:rPr>
                <w:rFonts w:asciiTheme="minorHAnsi" w:eastAsia="Times New Roman" w:hAnsiTheme="minorHAnsi" w:cstheme="minorHAnsi"/>
                <w:b/>
                <w:bCs/>
                <w:color w:val="auto"/>
                <w:sz w:val="18"/>
                <w:szCs w:val="18"/>
                <w:lang w:eastAsia="en-GB"/>
              </w:rPr>
            </w:pPr>
            <w:r w:rsidRPr="0040499F">
              <w:rPr>
                <w:rFonts w:asciiTheme="minorHAnsi" w:eastAsia="Times New Roman" w:hAnsiTheme="minorHAnsi" w:cstheme="minorHAnsi"/>
                <w:b/>
                <w:bCs/>
                <w:color w:val="auto"/>
                <w:sz w:val="18"/>
                <w:szCs w:val="18"/>
                <w:lang w:eastAsia="en-GB"/>
              </w:rPr>
              <w:t>19,779</w:t>
            </w:r>
          </w:p>
        </w:tc>
      </w:tr>
    </w:tbl>
    <w:p w14:paraId="5394779D" w14:textId="3BF6307D" w:rsidR="00A709D6" w:rsidRDefault="00A709D6" w:rsidP="003356AE">
      <w:pPr>
        <w:spacing w:line="240" w:lineRule="auto"/>
        <w:rPr>
          <w:lang w:val="pt-BR"/>
        </w:rPr>
      </w:pPr>
    </w:p>
    <w:p w14:paraId="6EAEECE5" w14:textId="77777777" w:rsidR="00A709D6" w:rsidRDefault="00A709D6">
      <w:pPr>
        <w:spacing w:after="0" w:line="240" w:lineRule="auto"/>
        <w:jc w:val="left"/>
        <w:rPr>
          <w:lang w:val="pt-BR"/>
        </w:rPr>
      </w:pPr>
      <w:r>
        <w:rPr>
          <w:lang w:val="pt-BR"/>
        </w:rPr>
        <w:br w:type="page"/>
      </w:r>
    </w:p>
    <w:tbl>
      <w:tblPr>
        <w:tblW w:w="5000" w:type="pct"/>
        <w:tblLook w:val="04A0" w:firstRow="1" w:lastRow="0" w:firstColumn="1" w:lastColumn="0" w:noHBand="0" w:noVBand="1"/>
      </w:tblPr>
      <w:tblGrid>
        <w:gridCol w:w="6552"/>
        <w:gridCol w:w="1148"/>
        <w:gridCol w:w="1150"/>
        <w:gridCol w:w="222"/>
      </w:tblGrid>
      <w:tr w:rsidR="00600324" w:rsidRPr="00600324" w14:paraId="18BF8FA0" w14:textId="77777777" w:rsidTr="00600324">
        <w:trPr>
          <w:gridAfter w:val="1"/>
          <w:wAfter w:w="103" w:type="pct"/>
          <w:trHeight w:val="283"/>
        </w:trPr>
        <w:tc>
          <w:tcPr>
            <w:tcW w:w="3618" w:type="pct"/>
            <w:tcBorders>
              <w:top w:val="nil"/>
              <w:left w:val="nil"/>
              <w:bottom w:val="nil"/>
              <w:right w:val="nil"/>
            </w:tcBorders>
            <w:shd w:val="clear" w:color="000000" w:fill="000099"/>
            <w:vAlign w:val="center"/>
            <w:hideMark/>
          </w:tcPr>
          <w:p w14:paraId="24F5584E" w14:textId="77777777" w:rsidR="00600324" w:rsidRPr="00600324" w:rsidRDefault="00600324" w:rsidP="00600324">
            <w:pPr>
              <w:spacing w:after="0" w:line="240" w:lineRule="auto"/>
              <w:jc w:val="center"/>
              <w:rPr>
                <w:rFonts w:asciiTheme="minorHAnsi" w:eastAsia="Times New Roman" w:hAnsiTheme="minorHAnsi" w:cstheme="minorHAnsi"/>
                <w:b/>
                <w:bCs/>
                <w:color w:val="FFFFFF"/>
                <w:sz w:val="18"/>
                <w:szCs w:val="18"/>
                <w:lang w:eastAsia="en-GB"/>
              </w:rPr>
            </w:pPr>
            <w:r w:rsidRPr="00600324">
              <w:rPr>
                <w:rFonts w:asciiTheme="minorHAnsi" w:eastAsia="Times New Roman" w:hAnsiTheme="minorHAnsi" w:cstheme="minorHAnsi"/>
                <w:b/>
                <w:bCs/>
                <w:color w:val="FFFFFF"/>
                <w:sz w:val="18"/>
                <w:szCs w:val="18"/>
                <w:lang w:eastAsia="en-GB"/>
              </w:rPr>
              <w:lastRenderedPageBreak/>
              <w:t> </w:t>
            </w:r>
          </w:p>
        </w:tc>
        <w:tc>
          <w:tcPr>
            <w:tcW w:w="639" w:type="pct"/>
            <w:tcBorders>
              <w:top w:val="nil"/>
              <w:left w:val="nil"/>
              <w:bottom w:val="nil"/>
              <w:right w:val="nil"/>
            </w:tcBorders>
            <w:shd w:val="clear" w:color="000000" w:fill="000099"/>
            <w:vAlign w:val="center"/>
            <w:hideMark/>
          </w:tcPr>
          <w:p w14:paraId="73495E82" w14:textId="77777777" w:rsidR="00600324" w:rsidRPr="00600324" w:rsidRDefault="00600324" w:rsidP="00600324">
            <w:pPr>
              <w:spacing w:after="0" w:line="240" w:lineRule="auto"/>
              <w:jc w:val="center"/>
              <w:rPr>
                <w:rFonts w:asciiTheme="minorHAnsi" w:eastAsia="Times New Roman" w:hAnsiTheme="minorHAnsi" w:cstheme="minorHAnsi"/>
                <w:b/>
                <w:bCs/>
                <w:color w:val="FFFFFF"/>
                <w:sz w:val="18"/>
                <w:szCs w:val="18"/>
                <w:lang w:eastAsia="en-GB"/>
              </w:rPr>
            </w:pPr>
            <w:r w:rsidRPr="00600324">
              <w:rPr>
                <w:rFonts w:asciiTheme="minorHAnsi" w:eastAsia="Times New Roman" w:hAnsiTheme="minorHAnsi" w:cstheme="minorHAnsi"/>
                <w:b/>
                <w:bCs/>
                <w:color w:val="FFFFFF"/>
                <w:sz w:val="18"/>
                <w:szCs w:val="18"/>
                <w:lang w:eastAsia="en-GB"/>
              </w:rPr>
              <w:t> </w:t>
            </w:r>
          </w:p>
        </w:tc>
        <w:tc>
          <w:tcPr>
            <w:tcW w:w="640" w:type="pct"/>
            <w:tcBorders>
              <w:top w:val="nil"/>
              <w:left w:val="nil"/>
              <w:bottom w:val="nil"/>
              <w:right w:val="nil"/>
            </w:tcBorders>
            <w:shd w:val="clear" w:color="000000" w:fill="000099"/>
            <w:vAlign w:val="center"/>
            <w:hideMark/>
          </w:tcPr>
          <w:p w14:paraId="60BB9E94" w14:textId="77777777" w:rsidR="00600324" w:rsidRPr="00600324" w:rsidRDefault="00600324" w:rsidP="00600324">
            <w:pPr>
              <w:spacing w:after="0" w:line="240" w:lineRule="auto"/>
              <w:jc w:val="center"/>
              <w:rPr>
                <w:rFonts w:asciiTheme="minorHAnsi" w:eastAsia="Times New Roman" w:hAnsiTheme="minorHAnsi" w:cstheme="minorHAnsi"/>
                <w:b/>
                <w:bCs/>
                <w:color w:val="FFFFFF"/>
                <w:sz w:val="18"/>
                <w:szCs w:val="18"/>
                <w:lang w:eastAsia="en-GB"/>
              </w:rPr>
            </w:pPr>
            <w:r w:rsidRPr="00600324">
              <w:rPr>
                <w:rFonts w:asciiTheme="minorHAnsi" w:eastAsia="Times New Roman" w:hAnsiTheme="minorHAnsi" w:cstheme="minorHAnsi"/>
                <w:b/>
                <w:bCs/>
                <w:color w:val="FFFFFF"/>
                <w:sz w:val="18"/>
                <w:szCs w:val="18"/>
                <w:lang w:eastAsia="en-GB"/>
              </w:rPr>
              <w:t> </w:t>
            </w:r>
          </w:p>
        </w:tc>
      </w:tr>
      <w:tr w:rsidR="00600324" w:rsidRPr="00600324" w14:paraId="23D418EB" w14:textId="77777777" w:rsidTr="00600324">
        <w:trPr>
          <w:gridAfter w:val="1"/>
          <w:wAfter w:w="103" w:type="pct"/>
          <w:trHeight w:val="283"/>
        </w:trPr>
        <w:tc>
          <w:tcPr>
            <w:tcW w:w="3618" w:type="pct"/>
            <w:tcBorders>
              <w:top w:val="nil"/>
              <w:left w:val="nil"/>
              <w:bottom w:val="nil"/>
              <w:right w:val="nil"/>
            </w:tcBorders>
            <w:shd w:val="clear" w:color="000000" w:fill="000099"/>
            <w:vAlign w:val="center"/>
            <w:hideMark/>
          </w:tcPr>
          <w:p w14:paraId="07F5AA45" w14:textId="77777777" w:rsidR="00600324" w:rsidRPr="00600324" w:rsidRDefault="00600324" w:rsidP="00600324">
            <w:pPr>
              <w:spacing w:after="0" w:line="240" w:lineRule="auto"/>
              <w:jc w:val="left"/>
              <w:rPr>
                <w:rFonts w:asciiTheme="minorHAnsi" w:eastAsia="Times New Roman" w:hAnsiTheme="minorHAnsi" w:cstheme="minorHAnsi"/>
                <w:b/>
                <w:bCs/>
                <w:color w:val="FFFFFF"/>
                <w:sz w:val="18"/>
                <w:szCs w:val="18"/>
                <w:lang w:eastAsia="en-GB"/>
              </w:rPr>
            </w:pPr>
            <w:r w:rsidRPr="00600324">
              <w:rPr>
                <w:rFonts w:asciiTheme="minorHAnsi" w:eastAsia="Times New Roman" w:hAnsiTheme="minorHAnsi" w:cstheme="minorHAnsi"/>
                <w:b/>
                <w:bCs/>
                <w:color w:val="FFFFFF"/>
                <w:sz w:val="18"/>
                <w:szCs w:val="18"/>
                <w:lang w:eastAsia="en-GB"/>
              </w:rPr>
              <w:t>2024/25</w:t>
            </w:r>
          </w:p>
        </w:tc>
        <w:tc>
          <w:tcPr>
            <w:tcW w:w="639" w:type="pct"/>
            <w:tcBorders>
              <w:top w:val="nil"/>
              <w:left w:val="nil"/>
              <w:bottom w:val="nil"/>
              <w:right w:val="nil"/>
            </w:tcBorders>
            <w:shd w:val="clear" w:color="000000" w:fill="000099"/>
            <w:vAlign w:val="bottom"/>
            <w:hideMark/>
          </w:tcPr>
          <w:p w14:paraId="7691D4EE" w14:textId="77777777" w:rsidR="00600324" w:rsidRPr="00600324" w:rsidRDefault="00600324" w:rsidP="00600324">
            <w:pPr>
              <w:spacing w:after="0" w:line="240" w:lineRule="auto"/>
              <w:jc w:val="center"/>
              <w:rPr>
                <w:rFonts w:asciiTheme="minorHAnsi" w:eastAsia="Times New Roman" w:hAnsiTheme="minorHAnsi" w:cstheme="minorHAnsi"/>
                <w:b/>
                <w:bCs/>
                <w:color w:val="FFFFFF"/>
                <w:sz w:val="18"/>
                <w:szCs w:val="18"/>
                <w:lang w:eastAsia="en-GB"/>
              </w:rPr>
            </w:pPr>
            <w:r w:rsidRPr="00600324">
              <w:rPr>
                <w:rFonts w:asciiTheme="minorHAnsi" w:eastAsia="Times New Roman" w:hAnsiTheme="minorHAnsi" w:cstheme="minorHAnsi"/>
                <w:b/>
                <w:bCs/>
                <w:color w:val="FFFFFF"/>
                <w:sz w:val="18"/>
                <w:szCs w:val="18"/>
                <w:lang w:eastAsia="en-GB"/>
              </w:rPr>
              <w:t>General Fund Balance</w:t>
            </w:r>
            <w:r w:rsidRPr="00600324">
              <w:rPr>
                <w:rFonts w:asciiTheme="minorHAnsi" w:eastAsia="Times New Roman" w:hAnsiTheme="minorHAnsi" w:cstheme="minorHAnsi"/>
                <w:b/>
                <w:bCs/>
                <w:color w:val="FFFFFF"/>
                <w:sz w:val="18"/>
                <w:szCs w:val="18"/>
                <w:lang w:eastAsia="en-GB"/>
              </w:rPr>
              <w:br/>
              <w:t>£000</w:t>
            </w:r>
          </w:p>
        </w:tc>
        <w:tc>
          <w:tcPr>
            <w:tcW w:w="640" w:type="pct"/>
            <w:tcBorders>
              <w:top w:val="nil"/>
              <w:left w:val="nil"/>
              <w:bottom w:val="nil"/>
              <w:right w:val="nil"/>
            </w:tcBorders>
            <w:shd w:val="clear" w:color="000000" w:fill="000099"/>
            <w:vAlign w:val="bottom"/>
            <w:hideMark/>
          </w:tcPr>
          <w:p w14:paraId="53A2B3AF" w14:textId="77777777" w:rsidR="00600324" w:rsidRPr="00600324" w:rsidRDefault="00600324" w:rsidP="00600324">
            <w:pPr>
              <w:spacing w:after="0" w:line="240" w:lineRule="auto"/>
              <w:jc w:val="center"/>
              <w:rPr>
                <w:rFonts w:asciiTheme="minorHAnsi" w:eastAsia="Times New Roman" w:hAnsiTheme="minorHAnsi" w:cstheme="minorHAnsi"/>
                <w:b/>
                <w:bCs/>
                <w:color w:val="FFFFFF"/>
                <w:sz w:val="18"/>
                <w:szCs w:val="18"/>
                <w:lang w:eastAsia="en-GB"/>
              </w:rPr>
            </w:pPr>
            <w:r w:rsidRPr="00600324">
              <w:rPr>
                <w:rFonts w:asciiTheme="minorHAnsi" w:eastAsia="Times New Roman" w:hAnsiTheme="minorHAnsi" w:cstheme="minorHAnsi"/>
                <w:b/>
                <w:bCs/>
                <w:color w:val="FFFFFF"/>
                <w:sz w:val="18"/>
                <w:szCs w:val="18"/>
                <w:lang w:eastAsia="en-GB"/>
              </w:rPr>
              <w:t>Movement in Unusable Reserves</w:t>
            </w:r>
            <w:r w:rsidRPr="00600324">
              <w:rPr>
                <w:rFonts w:asciiTheme="minorHAnsi" w:eastAsia="Times New Roman" w:hAnsiTheme="minorHAnsi" w:cstheme="minorHAnsi"/>
                <w:b/>
                <w:bCs/>
                <w:color w:val="FFFFFF"/>
                <w:sz w:val="18"/>
                <w:szCs w:val="18"/>
                <w:lang w:eastAsia="en-GB"/>
              </w:rPr>
              <w:br/>
              <w:t>£000</w:t>
            </w:r>
          </w:p>
        </w:tc>
      </w:tr>
      <w:tr w:rsidR="00600324" w:rsidRPr="00600324" w14:paraId="24CDB1DC" w14:textId="77777777" w:rsidTr="00600324">
        <w:trPr>
          <w:gridAfter w:val="1"/>
          <w:wAfter w:w="103" w:type="pct"/>
          <w:trHeight w:val="283"/>
        </w:trPr>
        <w:tc>
          <w:tcPr>
            <w:tcW w:w="3618" w:type="pct"/>
            <w:tcBorders>
              <w:top w:val="nil"/>
              <w:left w:val="nil"/>
              <w:bottom w:val="nil"/>
              <w:right w:val="nil"/>
            </w:tcBorders>
            <w:shd w:val="clear" w:color="000000" w:fill="FFFFFF"/>
            <w:noWrap/>
            <w:vAlign w:val="bottom"/>
            <w:hideMark/>
          </w:tcPr>
          <w:p w14:paraId="1ACCA8C5"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noWrap/>
            <w:vAlign w:val="bottom"/>
            <w:hideMark/>
          </w:tcPr>
          <w:p w14:paraId="3873464A"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40" w:type="pct"/>
            <w:tcBorders>
              <w:top w:val="nil"/>
              <w:left w:val="nil"/>
              <w:bottom w:val="nil"/>
              <w:right w:val="nil"/>
            </w:tcBorders>
            <w:shd w:val="clear" w:color="000000" w:fill="FFFFFF"/>
            <w:noWrap/>
            <w:vAlign w:val="bottom"/>
            <w:hideMark/>
          </w:tcPr>
          <w:p w14:paraId="395C4B9E"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r>
      <w:tr w:rsidR="00600324" w:rsidRPr="00600324" w14:paraId="0A50F423" w14:textId="77777777" w:rsidTr="00600324">
        <w:trPr>
          <w:gridAfter w:val="1"/>
          <w:wAfter w:w="103" w:type="pct"/>
          <w:trHeight w:val="283"/>
        </w:trPr>
        <w:tc>
          <w:tcPr>
            <w:tcW w:w="3618" w:type="pct"/>
            <w:tcBorders>
              <w:top w:val="nil"/>
              <w:left w:val="nil"/>
              <w:bottom w:val="nil"/>
              <w:right w:val="nil"/>
            </w:tcBorders>
            <w:shd w:val="clear" w:color="000000" w:fill="FFFFFF"/>
            <w:vAlign w:val="bottom"/>
            <w:hideMark/>
          </w:tcPr>
          <w:p w14:paraId="022D0703" w14:textId="77777777" w:rsidR="00600324" w:rsidRPr="00600324" w:rsidRDefault="00600324" w:rsidP="00600324">
            <w:pPr>
              <w:spacing w:after="0" w:line="240" w:lineRule="auto"/>
              <w:jc w:val="left"/>
              <w:rPr>
                <w:rFonts w:asciiTheme="minorHAnsi" w:eastAsia="Times New Roman" w:hAnsiTheme="minorHAnsi" w:cstheme="minorHAnsi"/>
                <w:b/>
                <w:bCs/>
                <w:color w:val="000000"/>
                <w:sz w:val="18"/>
                <w:szCs w:val="18"/>
                <w:lang w:eastAsia="en-GB"/>
              </w:rPr>
            </w:pPr>
            <w:r w:rsidRPr="00600324">
              <w:rPr>
                <w:rFonts w:asciiTheme="minorHAnsi" w:eastAsia="Times New Roman" w:hAnsiTheme="minorHAnsi" w:cstheme="minorHAnsi"/>
                <w:b/>
                <w:bCs/>
                <w:color w:val="000000"/>
                <w:sz w:val="18"/>
                <w:szCs w:val="18"/>
                <w:lang w:eastAsia="en-GB"/>
              </w:rPr>
              <w:t>Adjustment to the Revenue Resources</w:t>
            </w:r>
          </w:p>
        </w:tc>
        <w:tc>
          <w:tcPr>
            <w:tcW w:w="639" w:type="pct"/>
            <w:tcBorders>
              <w:top w:val="nil"/>
              <w:left w:val="single" w:sz="4" w:space="0" w:color="auto"/>
              <w:bottom w:val="nil"/>
              <w:right w:val="nil"/>
            </w:tcBorders>
            <w:shd w:val="clear" w:color="000000" w:fill="FFFFFF"/>
            <w:vAlign w:val="bottom"/>
            <w:hideMark/>
          </w:tcPr>
          <w:p w14:paraId="1472B983"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bottom"/>
            <w:hideMark/>
          </w:tcPr>
          <w:p w14:paraId="10438BA5"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r>
      <w:tr w:rsidR="00600324" w:rsidRPr="00600324" w14:paraId="111B0610" w14:textId="77777777" w:rsidTr="00600324">
        <w:trPr>
          <w:gridAfter w:val="1"/>
          <w:wAfter w:w="103" w:type="pct"/>
          <w:trHeight w:val="283"/>
        </w:trPr>
        <w:tc>
          <w:tcPr>
            <w:tcW w:w="3618" w:type="pct"/>
            <w:tcBorders>
              <w:top w:val="nil"/>
              <w:left w:val="nil"/>
              <w:bottom w:val="nil"/>
              <w:right w:val="nil"/>
            </w:tcBorders>
            <w:shd w:val="clear" w:color="000000" w:fill="FFFFFF"/>
            <w:vAlign w:val="center"/>
            <w:hideMark/>
          </w:tcPr>
          <w:p w14:paraId="5EB2A939"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Amounts by which income and expenditure included in the Comprehensive Income and Expenditure Statement are different from revenue for the year calculated in accordance with statutory requirements</w:t>
            </w:r>
          </w:p>
        </w:tc>
        <w:tc>
          <w:tcPr>
            <w:tcW w:w="639" w:type="pct"/>
            <w:tcBorders>
              <w:top w:val="nil"/>
              <w:left w:val="single" w:sz="4" w:space="0" w:color="auto"/>
              <w:bottom w:val="nil"/>
              <w:right w:val="nil"/>
            </w:tcBorders>
            <w:shd w:val="clear" w:color="000000" w:fill="FFFFFF"/>
            <w:vAlign w:val="center"/>
            <w:hideMark/>
          </w:tcPr>
          <w:p w14:paraId="0712C6A1"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640" w:type="pct"/>
            <w:tcBorders>
              <w:top w:val="nil"/>
              <w:left w:val="nil"/>
              <w:bottom w:val="nil"/>
              <w:right w:val="nil"/>
            </w:tcBorders>
            <w:shd w:val="clear" w:color="000000" w:fill="FFFFFF"/>
            <w:vAlign w:val="center"/>
            <w:hideMark/>
          </w:tcPr>
          <w:p w14:paraId="765AB692"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r>
      <w:tr w:rsidR="00600324" w:rsidRPr="00600324" w14:paraId="2C95D14D" w14:textId="77777777" w:rsidTr="00600324">
        <w:trPr>
          <w:gridAfter w:val="1"/>
          <w:wAfter w:w="103" w:type="pct"/>
          <w:trHeight w:val="283"/>
        </w:trPr>
        <w:tc>
          <w:tcPr>
            <w:tcW w:w="3618" w:type="pct"/>
            <w:tcBorders>
              <w:top w:val="nil"/>
              <w:left w:val="nil"/>
              <w:bottom w:val="nil"/>
              <w:right w:val="nil"/>
            </w:tcBorders>
            <w:shd w:val="clear" w:color="000000" w:fill="FFFFFF"/>
            <w:vAlign w:val="center"/>
            <w:hideMark/>
          </w:tcPr>
          <w:p w14:paraId="54C45393"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vAlign w:val="center"/>
            <w:hideMark/>
          </w:tcPr>
          <w:p w14:paraId="0AC71E59"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13E3FE0C"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r>
      <w:tr w:rsidR="00600324" w:rsidRPr="00600324" w14:paraId="7514A3DD" w14:textId="77777777" w:rsidTr="00600324">
        <w:trPr>
          <w:gridAfter w:val="1"/>
          <w:wAfter w:w="103" w:type="pct"/>
          <w:trHeight w:val="283"/>
        </w:trPr>
        <w:tc>
          <w:tcPr>
            <w:tcW w:w="3618" w:type="pct"/>
            <w:tcBorders>
              <w:top w:val="nil"/>
              <w:left w:val="nil"/>
              <w:bottom w:val="nil"/>
              <w:right w:val="nil"/>
            </w:tcBorders>
            <w:shd w:val="clear" w:color="000000" w:fill="FFFFFF"/>
            <w:vAlign w:val="center"/>
            <w:hideMark/>
          </w:tcPr>
          <w:p w14:paraId="0A8B40A1"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Pension Cost (transferred to (or from) the pensions reserve)</w:t>
            </w:r>
          </w:p>
        </w:tc>
        <w:tc>
          <w:tcPr>
            <w:tcW w:w="639" w:type="pct"/>
            <w:tcBorders>
              <w:top w:val="nil"/>
              <w:left w:val="single" w:sz="4" w:space="0" w:color="auto"/>
              <w:bottom w:val="nil"/>
              <w:right w:val="nil"/>
            </w:tcBorders>
            <w:shd w:val="clear" w:color="000000" w:fill="FFFFFF"/>
            <w:vAlign w:val="center"/>
            <w:hideMark/>
          </w:tcPr>
          <w:p w14:paraId="1B3B292C"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000000"/>
                <w:sz w:val="18"/>
                <w:szCs w:val="18"/>
                <w:lang w:eastAsia="en-GB"/>
              </w:rPr>
              <w:t>(19,642)</w:t>
            </w:r>
          </w:p>
        </w:tc>
        <w:tc>
          <w:tcPr>
            <w:tcW w:w="640" w:type="pct"/>
            <w:tcBorders>
              <w:top w:val="nil"/>
              <w:left w:val="nil"/>
              <w:bottom w:val="nil"/>
              <w:right w:val="nil"/>
            </w:tcBorders>
            <w:shd w:val="clear" w:color="000000" w:fill="FFFFFF"/>
            <w:vAlign w:val="center"/>
            <w:hideMark/>
          </w:tcPr>
          <w:p w14:paraId="47A737CE"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19,642</w:t>
            </w:r>
          </w:p>
        </w:tc>
      </w:tr>
      <w:tr w:rsidR="00600324" w:rsidRPr="00600324" w14:paraId="065A80F9" w14:textId="77777777" w:rsidTr="00600324">
        <w:trPr>
          <w:gridAfter w:val="1"/>
          <w:wAfter w:w="103" w:type="pct"/>
          <w:trHeight w:val="283"/>
        </w:trPr>
        <w:tc>
          <w:tcPr>
            <w:tcW w:w="3618" w:type="pct"/>
            <w:tcBorders>
              <w:top w:val="nil"/>
              <w:left w:val="nil"/>
              <w:bottom w:val="nil"/>
              <w:right w:val="nil"/>
            </w:tcBorders>
            <w:shd w:val="clear" w:color="000000" w:fill="FFFFFF"/>
            <w:vAlign w:val="center"/>
            <w:hideMark/>
          </w:tcPr>
          <w:p w14:paraId="33DF40CF"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vAlign w:val="center"/>
            <w:hideMark/>
          </w:tcPr>
          <w:p w14:paraId="16C611DB"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47A7AB11"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r>
      <w:tr w:rsidR="00600324" w:rsidRPr="00600324" w14:paraId="58521509" w14:textId="77777777" w:rsidTr="00600324">
        <w:trPr>
          <w:gridAfter w:val="1"/>
          <w:wAfter w:w="103" w:type="pct"/>
          <w:trHeight w:val="283"/>
        </w:trPr>
        <w:tc>
          <w:tcPr>
            <w:tcW w:w="3618" w:type="pct"/>
            <w:vMerge w:val="restart"/>
            <w:tcBorders>
              <w:top w:val="nil"/>
              <w:left w:val="nil"/>
              <w:bottom w:val="nil"/>
              <w:right w:val="single" w:sz="4" w:space="0" w:color="auto"/>
            </w:tcBorders>
            <w:shd w:val="clear" w:color="000000" w:fill="FFFFFF"/>
            <w:vAlign w:val="center"/>
            <w:hideMark/>
          </w:tcPr>
          <w:p w14:paraId="5912831B"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Profit/Loss on Disposal</w:t>
            </w:r>
          </w:p>
        </w:tc>
        <w:tc>
          <w:tcPr>
            <w:tcW w:w="639" w:type="pct"/>
            <w:vMerge w:val="restart"/>
            <w:tcBorders>
              <w:top w:val="nil"/>
              <w:left w:val="single" w:sz="4" w:space="0" w:color="auto"/>
              <w:bottom w:val="nil"/>
              <w:right w:val="nil"/>
            </w:tcBorders>
            <w:shd w:val="clear" w:color="000000" w:fill="FFFFFF"/>
            <w:vAlign w:val="center"/>
            <w:hideMark/>
          </w:tcPr>
          <w:p w14:paraId="363C9AEB"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640" w:type="pct"/>
            <w:vMerge w:val="restart"/>
            <w:tcBorders>
              <w:top w:val="nil"/>
              <w:left w:val="nil"/>
              <w:bottom w:val="nil"/>
              <w:right w:val="nil"/>
            </w:tcBorders>
            <w:shd w:val="clear" w:color="000000" w:fill="FFFFFF"/>
            <w:vAlign w:val="center"/>
            <w:hideMark/>
          </w:tcPr>
          <w:p w14:paraId="4E1009BA"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r>
      <w:tr w:rsidR="00CE6935" w:rsidRPr="00600324" w14:paraId="551A85F5" w14:textId="77777777" w:rsidTr="00600324">
        <w:trPr>
          <w:trHeight w:val="283"/>
        </w:trPr>
        <w:tc>
          <w:tcPr>
            <w:tcW w:w="3618" w:type="pct"/>
            <w:vMerge/>
            <w:tcBorders>
              <w:top w:val="nil"/>
              <w:left w:val="nil"/>
              <w:bottom w:val="nil"/>
              <w:right w:val="single" w:sz="4" w:space="0" w:color="auto"/>
            </w:tcBorders>
            <w:vAlign w:val="center"/>
            <w:hideMark/>
          </w:tcPr>
          <w:p w14:paraId="5FFDECC2"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p>
        </w:tc>
        <w:tc>
          <w:tcPr>
            <w:tcW w:w="639" w:type="pct"/>
            <w:vMerge/>
            <w:tcBorders>
              <w:top w:val="nil"/>
              <w:left w:val="single" w:sz="4" w:space="0" w:color="auto"/>
              <w:bottom w:val="nil"/>
              <w:right w:val="nil"/>
            </w:tcBorders>
            <w:vAlign w:val="center"/>
            <w:hideMark/>
          </w:tcPr>
          <w:p w14:paraId="2B70BD4C"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p>
        </w:tc>
        <w:tc>
          <w:tcPr>
            <w:tcW w:w="640" w:type="pct"/>
            <w:vMerge/>
            <w:tcBorders>
              <w:top w:val="nil"/>
              <w:left w:val="nil"/>
              <w:bottom w:val="nil"/>
              <w:right w:val="nil"/>
            </w:tcBorders>
            <w:vAlign w:val="center"/>
            <w:hideMark/>
          </w:tcPr>
          <w:p w14:paraId="1F1AD8E4"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p>
        </w:tc>
        <w:tc>
          <w:tcPr>
            <w:tcW w:w="103" w:type="pct"/>
            <w:tcBorders>
              <w:top w:val="nil"/>
              <w:left w:val="nil"/>
              <w:bottom w:val="nil"/>
              <w:right w:val="nil"/>
            </w:tcBorders>
            <w:noWrap/>
            <w:vAlign w:val="bottom"/>
            <w:hideMark/>
          </w:tcPr>
          <w:p w14:paraId="63FF52DB" w14:textId="77777777" w:rsidR="00600324" w:rsidRPr="00600324" w:rsidRDefault="00600324" w:rsidP="00600324">
            <w:pPr>
              <w:spacing w:after="0" w:line="240" w:lineRule="auto"/>
              <w:jc w:val="right"/>
              <w:rPr>
                <w:rFonts w:eastAsia="Times New Roman" w:cs="Calibri"/>
                <w:color w:val="auto"/>
                <w:sz w:val="16"/>
                <w:szCs w:val="16"/>
                <w:lang w:eastAsia="en-GB"/>
              </w:rPr>
            </w:pPr>
          </w:p>
        </w:tc>
      </w:tr>
      <w:tr w:rsidR="00600324" w:rsidRPr="00600324" w14:paraId="233D0269" w14:textId="77777777" w:rsidTr="00600324">
        <w:trPr>
          <w:trHeight w:val="283"/>
        </w:trPr>
        <w:tc>
          <w:tcPr>
            <w:tcW w:w="3618" w:type="pct"/>
            <w:tcBorders>
              <w:top w:val="nil"/>
              <w:left w:val="nil"/>
              <w:bottom w:val="nil"/>
              <w:right w:val="nil"/>
            </w:tcBorders>
            <w:shd w:val="clear" w:color="000000" w:fill="FFFFFF"/>
            <w:vAlign w:val="center"/>
            <w:hideMark/>
          </w:tcPr>
          <w:p w14:paraId="7591DF24"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Council Tax and NDR (transfers to or from the collection Fund)</w:t>
            </w:r>
          </w:p>
        </w:tc>
        <w:tc>
          <w:tcPr>
            <w:tcW w:w="639" w:type="pct"/>
            <w:tcBorders>
              <w:top w:val="nil"/>
              <w:left w:val="single" w:sz="4" w:space="0" w:color="auto"/>
              <w:bottom w:val="nil"/>
              <w:right w:val="nil"/>
            </w:tcBorders>
            <w:shd w:val="clear" w:color="000000" w:fill="FFFFFF"/>
            <w:vAlign w:val="center"/>
            <w:hideMark/>
          </w:tcPr>
          <w:p w14:paraId="782A71CB"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640" w:type="pct"/>
            <w:tcBorders>
              <w:top w:val="nil"/>
              <w:left w:val="nil"/>
              <w:bottom w:val="nil"/>
              <w:right w:val="nil"/>
            </w:tcBorders>
            <w:shd w:val="clear" w:color="000000" w:fill="FFFFFF"/>
            <w:vAlign w:val="center"/>
            <w:hideMark/>
          </w:tcPr>
          <w:p w14:paraId="0F5C738F"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103" w:type="pct"/>
            <w:vAlign w:val="center"/>
            <w:hideMark/>
          </w:tcPr>
          <w:p w14:paraId="68C9DD55"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69053407" w14:textId="77777777" w:rsidTr="00600324">
        <w:trPr>
          <w:trHeight w:val="283"/>
        </w:trPr>
        <w:tc>
          <w:tcPr>
            <w:tcW w:w="3618" w:type="pct"/>
            <w:tcBorders>
              <w:top w:val="nil"/>
              <w:left w:val="nil"/>
              <w:bottom w:val="nil"/>
              <w:right w:val="nil"/>
            </w:tcBorders>
            <w:shd w:val="clear" w:color="000000" w:fill="FFFFFF"/>
            <w:vAlign w:val="center"/>
            <w:hideMark/>
          </w:tcPr>
          <w:p w14:paraId="76924BA2"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vAlign w:val="center"/>
            <w:hideMark/>
          </w:tcPr>
          <w:p w14:paraId="656C8FB8"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10D26814"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103" w:type="pct"/>
            <w:vAlign w:val="center"/>
            <w:hideMark/>
          </w:tcPr>
          <w:p w14:paraId="72EF7FC2"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62B58684" w14:textId="77777777" w:rsidTr="00600324">
        <w:trPr>
          <w:trHeight w:val="283"/>
        </w:trPr>
        <w:tc>
          <w:tcPr>
            <w:tcW w:w="3618" w:type="pct"/>
            <w:tcBorders>
              <w:top w:val="nil"/>
              <w:left w:val="nil"/>
              <w:bottom w:val="nil"/>
              <w:right w:val="nil"/>
            </w:tcBorders>
            <w:shd w:val="clear" w:color="000000" w:fill="FFFFFF"/>
            <w:vAlign w:val="center"/>
            <w:hideMark/>
          </w:tcPr>
          <w:p w14:paraId="07A9E8CE"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Holiday Pay (transferred to the Accumulated Absences Reserve)</w:t>
            </w:r>
          </w:p>
        </w:tc>
        <w:tc>
          <w:tcPr>
            <w:tcW w:w="639" w:type="pct"/>
            <w:tcBorders>
              <w:top w:val="nil"/>
              <w:left w:val="single" w:sz="4" w:space="0" w:color="auto"/>
              <w:bottom w:val="nil"/>
              <w:right w:val="nil"/>
            </w:tcBorders>
            <w:shd w:val="clear" w:color="000000" w:fill="FFFFFF"/>
            <w:vAlign w:val="center"/>
            <w:hideMark/>
          </w:tcPr>
          <w:p w14:paraId="1C54EEC5"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1,315</w:t>
            </w:r>
          </w:p>
        </w:tc>
        <w:tc>
          <w:tcPr>
            <w:tcW w:w="640" w:type="pct"/>
            <w:tcBorders>
              <w:top w:val="nil"/>
              <w:left w:val="nil"/>
              <w:bottom w:val="nil"/>
              <w:right w:val="nil"/>
            </w:tcBorders>
            <w:shd w:val="clear" w:color="000000" w:fill="FFFFFF"/>
            <w:vAlign w:val="center"/>
            <w:hideMark/>
          </w:tcPr>
          <w:p w14:paraId="0158BD6F"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000000"/>
                <w:sz w:val="18"/>
                <w:szCs w:val="18"/>
                <w:lang w:eastAsia="en-GB"/>
              </w:rPr>
              <w:t>(1,315)</w:t>
            </w:r>
          </w:p>
        </w:tc>
        <w:tc>
          <w:tcPr>
            <w:tcW w:w="103" w:type="pct"/>
            <w:vAlign w:val="center"/>
            <w:hideMark/>
          </w:tcPr>
          <w:p w14:paraId="4467F1D6"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5E9D5700" w14:textId="77777777" w:rsidTr="00600324">
        <w:trPr>
          <w:trHeight w:val="283"/>
        </w:trPr>
        <w:tc>
          <w:tcPr>
            <w:tcW w:w="3618" w:type="pct"/>
            <w:tcBorders>
              <w:top w:val="nil"/>
              <w:left w:val="nil"/>
              <w:bottom w:val="nil"/>
              <w:right w:val="nil"/>
            </w:tcBorders>
            <w:shd w:val="clear" w:color="000000" w:fill="FFFFFF"/>
            <w:vAlign w:val="center"/>
            <w:hideMark/>
          </w:tcPr>
          <w:p w14:paraId="68F67135"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vAlign w:val="center"/>
            <w:hideMark/>
          </w:tcPr>
          <w:p w14:paraId="5161F6BD"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36438D7F"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103" w:type="pct"/>
            <w:vAlign w:val="center"/>
            <w:hideMark/>
          </w:tcPr>
          <w:p w14:paraId="58981CFF"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1FAB0ED5" w14:textId="77777777" w:rsidTr="00600324">
        <w:trPr>
          <w:trHeight w:val="283"/>
        </w:trPr>
        <w:tc>
          <w:tcPr>
            <w:tcW w:w="3618" w:type="pct"/>
            <w:tcBorders>
              <w:top w:val="nil"/>
              <w:left w:val="nil"/>
              <w:bottom w:val="nil"/>
              <w:right w:val="nil"/>
            </w:tcBorders>
            <w:shd w:val="clear" w:color="000000" w:fill="FFFFFF"/>
            <w:vAlign w:val="center"/>
            <w:hideMark/>
          </w:tcPr>
          <w:p w14:paraId="551F7836"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Reversal of entries included in the Surplus or Deficit on the Provision of Services in relation to capital expenditure (these items are charged to the Capital Adjustment Account)</w:t>
            </w:r>
          </w:p>
        </w:tc>
        <w:tc>
          <w:tcPr>
            <w:tcW w:w="639" w:type="pct"/>
            <w:tcBorders>
              <w:top w:val="nil"/>
              <w:left w:val="single" w:sz="4" w:space="0" w:color="auto"/>
              <w:bottom w:val="nil"/>
              <w:right w:val="nil"/>
            </w:tcBorders>
            <w:shd w:val="clear" w:color="000000" w:fill="FFFFFF"/>
            <w:vAlign w:val="center"/>
            <w:hideMark/>
          </w:tcPr>
          <w:p w14:paraId="335387F5"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640" w:type="pct"/>
            <w:tcBorders>
              <w:top w:val="nil"/>
              <w:left w:val="nil"/>
              <w:bottom w:val="nil"/>
              <w:right w:val="nil"/>
            </w:tcBorders>
            <w:shd w:val="clear" w:color="000000" w:fill="FFFFFF"/>
            <w:vAlign w:val="center"/>
            <w:hideMark/>
          </w:tcPr>
          <w:p w14:paraId="2693A1C4"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103" w:type="pct"/>
            <w:vAlign w:val="center"/>
            <w:hideMark/>
          </w:tcPr>
          <w:p w14:paraId="08B194ED"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4121E238" w14:textId="77777777" w:rsidTr="00600324">
        <w:trPr>
          <w:trHeight w:val="283"/>
        </w:trPr>
        <w:tc>
          <w:tcPr>
            <w:tcW w:w="3618" w:type="pct"/>
            <w:tcBorders>
              <w:top w:val="single" w:sz="4" w:space="0" w:color="auto"/>
              <w:left w:val="nil"/>
              <w:bottom w:val="nil"/>
              <w:right w:val="nil"/>
            </w:tcBorders>
            <w:shd w:val="clear" w:color="000000" w:fill="FFFFFF"/>
            <w:vAlign w:val="center"/>
            <w:hideMark/>
          </w:tcPr>
          <w:p w14:paraId="0064C6D7" w14:textId="77777777" w:rsidR="00600324" w:rsidRPr="00600324" w:rsidRDefault="00600324" w:rsidP="00600324">
            <w:pPr>
              <w:spacing w:after="0" w:line="240" w:lineRule="auto"/>
              <w:jc w:val="left"/>
              <w:rPr>
                <w:rFonts w:asciiTheme="minorHAnsi" w:eastAsia="Times New Roman" w:hAnsiTheme="minorHAnsi" w:cstheme="minorHAnsi"/>
                <w:b/>
                <w:bCs/>
                <w:color w:val="000000"/>
                <w:sz w:val="18"/>
                <w:szCs w:val="18"/>
                <w:lang w:eastAsia="en-GB"/>
              </w:rPr>
            </w:pPr>
            <w:r w:rsidRPr="00600324">
              <w:rPr>
                <w:rFonts w:asciiTheme="minorHAnsi" w:eastAsia="Times New Roman" w:hAnsiTheme="minorHAnsi" w:cstheme="minorHAnsi"/>
                <w:b/>
                <w:bCs/>
                <w:color w:val="000000"/>
                <w:sz w:val="18"/>
                <w:szCs w:val="18"/>
                <w:lang w:eastAsia="en-GB"/>
              </w:rPr>
              <w:t>Total Adjustments to Revenue Resources</w:t>
            </w:r>
          </w:p>
        </w:tc>
        <w:tc>
          <w:tcPr>
            <w:tcW w:w="639" w:type="pct"/>
            <w:tcBorders>
              <w:top w:val="single" w:sz="4" w:space="0" w:color="auto"/>
              <w:left w:val="single" w:sz="4" w:space="0" w:color="auto"/>
              <w:bottom w:val="nil"/>
              <w:right w:val="nil"/>
            </w:tcBorders>
            <w:shd w:val="clear" w:color="000000" w:fill="FFFFFF"/>
            <w:vAlign w:val="center"/>
            <w:hideMark/>
          </w:tcPr>
          <w:p w14:paraId="352CE831" w14:textId="77777777" w:rsidR="00600324" w:rsidRPr="00600324" w:rsidRDefault="00600324" w:rsidP="00600324">
            <w:pPr>
              <w:spacing w:after="0" w:line="240" w:lineRule="auto"/>
              <w:jc w:val="right"/>
              <w:rPr>
                <w:rFonts w:asciiTheme="minorHAnsi" w:eastAsia="Times New Roman" w:hAnsiTheme="minorHAnsi" w:cstheme="minorHAnsi"/>
                <w:b/>
                <w:bCs/>
                <w:color w:val="auto"/>
                <w:sz w:val="18"/>
                <w:szCs w:val="18"/>
                <w:lang w:eastAsia="en-GB"/>
              </w:rPr>
            </w:pPr>
            <w:r w:rsidRPr="00600324">
              <w:rPr>
                <w:rFonts w:asciiTheme="minorHAnsi" w:eastAsia="Times New Roman" w:hAnsiTheme="minorHAnsi" w:cstheme="minorHAnsi"/>
                <w:b/>
                <w:bCs/>
                <w:color w:val="000000"/>
                <w:sz w:val="18"/>
                <w:szCs w:val="18"/>
                <w:lang w:eastAsia="en-GB"/>
              </w:rPr>
              <w:t>(18,327)</w:t>
            </w:r>
          </w:p>
        </w:tc>
        <w:tc>
          <w:tcPr>
            <w:tcW w:w="640" w:type="pct"/>
            <w:tcBorders>
              <w:top w:val="single" w:sz="4" w:space="0" w:color="auto"/>
              <w:left w:val="nil"/>
              <w:bottom w:val="nil"/>
              <w:right w:val="nil"/>
            </w:tcBorders>
            <w:shd w:val="clear" w:color="000000" w:fill="FFFFFF"/>
            <w:vAlign w:val="center"/>
            <w:hideMark/>
          </w:tcPr>
          <w:p w14:paraId="16D48196" w14:textId="77777777" w:rsidR="00600324" w:rsidRPr="00600324" w:rsidRDefault="00600324" w:rsidP="00600324">
            <w:pPr>
              <w:spacing w:after="0" w:line="240" w:lineRule="auto"/>
              <w:jc w:val="right"/>
              <w:rPr>
                <w:rFonts w:asciiTheme="minorHAnsi" w:eastAsia="Times New Roman" w:hAnsiTheme="minorHAnsi" w:cstheme="minorHAnsi"/>
                <w:b/>
                <w:bCs/>
                <w:color w:val="auto"/>
                <w:sz w:val="18"/>
                <w:szCs w:val="18"/>
                <w:lang w:eastAsia="en-GB"/>
              </w:rPr>
            </w:pPr>
            <w:r w:rsidRPr="00600324">
              <w:rPr>
                <w:rFonts w:asciiTheme="minorHAnsi" w:eastAsia="Times New Roman" w:hAnsiTheme="minorHAnsi" w:cstheme="minorHAnsi"/>
                <w:b/>
                <w:bCs/>
                <w:color w:val="auto"/>
                <w:sz w:val="18"/>
                <w:szCs w:val="18"/>
                <w:lang w:eastAsia="en-GB"/>
              </w:rPr>
              <w:t>18,327</w:t>
            </w:r>
          </w:p>
        </w:tc>
        <w:tc>
          <w:tcPr>
            <w:tcW w:w="103" w:type="pct"/>
            <w:vAlign w:val="center"/>
            <w:hideMark/>
          </w:tcPr>
          <w:p w14:paraId="717C1AED"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4B9652BB" w14:textId="77777777" w:rsidTr="00600324">
        <w:trPr>
          <w:trHeight w:val="283"/>
        </w:trPr>
        <w:tc>
          <w:tcPr>
            <w:tcW w:w="3618" w:type="pct"/>
            <w:tcBorders>
              <w:top w:val="nil"/>
              <w:left w:val="nil"/>
              <w:bottom w:val="nil"/>
              <w:right w:val="nil"/>
            </w:tcBorders>
            <w:shd w:val="clear" w:color="000000" w:fill="FFFFFF"/>
            <w:vAlign w:val="center"/>
            <w:hideMark/>
          </w:tcPr>
          <w:p w14:paraId="4BF05C61"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vAlign w:val="center"/>
            <w:hideMark/>
          </w:tcPr>
          <w:p w14:paraId="5F14CD81"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3C1CA6A7"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103" w:type="pct"/>
            <w:vAlign w:val="center"/>
            <w:hideMark/>
          </w:tcPr>
          <w:p w14:paraId="323237E0"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332F0640" w14:textId="77777777" w:rsidTr="00600324">
        <w:trPr>
          <w:trHeight w:val="283"/>
        </w:trPr>
        <w:tc>
          <w:tcPr>
            <w:tcW w:w="3618" w:type="pct"/>
            <w:tcBorders>
              <w:top w:val="nil"/>
              <w:left w:val="nil"/>
              <w:bottom w:val="nil"/>
              <w:right w:val="nil"/>
            </w:tcBorders>
            <w:shd w:val="clear" w:color="000000" w:fill="FFFFFF"/>
            <w:vAlign w:val="center"/>
            <w:hideMark/>
          </w:tcPr>
          <w:p w14:paraId="60F0BF46" w14:textId="77777777" w:rsidR="00600324" w:rsidRPr="00600324" w:rsidRDefault="00600324" w:rsidP="00600324">
            <w:pPr>
              <w:spacing w:after="0" w:line="240" w:lineRule="auto"/>
              <w:jc w:val="left"/>
              <w:rPr>
                <w:rFonts w:asciiTheme="minorHAnsi" w:eastAsia="Times New Roman" w:hAnsiTheme="minorHAnsi" w:cstheme="minorHAnsi"/>
                <w:b/>
                <w:bCs/>
                <w:color w:val="000000"/>
                <w:sz w:val="18"/>
                <w:szCs w:val="18"/>
                <w:lang w:eastAsia="en-GB"/>
              </w:rPr>
            </w:pPr>
            <w:r w:rsidRPr="00600324">
              <w:rPr>
                <w:rFonts w:asciiTheme="minorHAnsi" w:eastAsia="Times New Roman" w:hAnsiTheme="minorHAnsi" w:cstheme="minorHAnsi"/>
                <w:b/>
                <w:bCs/>
                <w:color w:val="000000"/>
                <w:sz w:val="18"/>
                <w:szCs w:val="18"/>
                <w:lang w:eastAsia="en-GB"/>
              </w:rPr>
              <w:t>Adjustments between Revenue and Capital Resources</w:t>
            </w:r>
          </w:p>
        </w:tc>
        <w:tc>
          <w:tcPr>
            <w:tcW w:w="639" w:type="pct"/>
            <w:tcBorders>
              <w:top w:val="nil"/>
              <w:left w:val="single" w:sz="4" w:space="0" w:color="auto"/>
              <w:bottom w:val="nil"/>
              <w:right w:val="nil"/>
            </w:tcBorders>
            <w:shd w:val="clear" w:color="000000" w:fill="FFFFFF"/>
            <w:vAlign w:val="center"/>
            <w:hideMark/>
          </w:tcPr>
          <w:p w14:paraId="0EE6DD7D"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49CBBDF4"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103" w:type="pct"/>
            <w:vAlign w:val="center"/>
            <w:hideMark/>
          </w:tcPr>
          <w:p w14:paraId="284326AA"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51DB06CC" w14:textId="77777777" w:rsidTr="00600324">
        <w:trPr>
          <w:trHeight w:val="283"/>
        </w:trPr>
        <w:tc>
          <w:tcPr>
            <w:tcW w:w="3618" w:type="pct"/>
            <w:tcBorders>
              <w:top w:val="nil"/>
              <w:left w:val="nil"/>
              <w:bottom w:val="nil"/>
              <w:right w:val="nil"/>
            </w:tcBorders>
            <w:shd w:val="clear" w:color="000000" w:fill="FFFFFF"/>
            <w:vAlign w:val="center"/>
            <w:hideMark/>
          </w:tcPr>
          <w:p w14:paraId="2E0F8B76"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Statutory Provision for the repayment of debt (transfer to the Capital Adjustment Account)</w:t>
            </w:r>
          </w:p>
        </w:tc>
        <w:tc>
          <w:tcPr>
            <w:tcW w:w="639" w:type="pct"/>
            <w:tcBorders>
              <w:top w:val="nil"/>
              <w:left w:val="single" w:sz="4" w:space="0" w:color="auto"/>
              <w:bottom w:val="nil"/>
              <w:right w:val="nil"/>
            </w:tcBorders>
            <w:shd w:val="clear" w:color="000000" w:fill="FFFFFF"/>
            <w:vAlign w:val="center"/>
            <w:hideMark/>
          </w:tcPr>
          <w:p w14:paraId="2565E8EA"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640" w:type="pct"/>
            <w:tcBorders>
              <w:top w:val="nil"/>
              <w:left w:val="nil"/>
              <w:bottom w:val="nil"/>
              <w:right w:val="nil"/>
            </w:tcBorders>
            <w:shd w:val="clear" w:color="000000" w:fill="FFFFFF"/>
            <w:vAlign w:val="center"/>
            <w:hideMark/>
          </w:tcPr>
          <w:p w14:paraId="51A51194"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103" w:type="pct"/>
            <w:vAlign w:val="center"/>
            <w:hideMark/>
          </w:tcPr>
          <w:p w14:paraId="44A039ED"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057E665A" w14:textId="77777777" w:rsidTr="00600324">
        <w:trPr>
          <w:trHeight w:val="283"/>
        </w:trPr>
        <w:tc>
          <w:tcPr>
            <w:tcW w:w="3618" w:type="pct"/>
            <w:tcBorders>
              <w:top w:val="nil"/>
              <w:left w:val="nil"/>
              <w:bottom w:val="nil"/>
              <w:right w:val="nil"/>
            </w:tcBorders>
            <w:shd w:val="clear" w:color="000000" w:fill="FFFFFF"/>
            <w:vAlign w:val="center"/>
            <w:hideMark/>
          </w:tcPr>
          <w:p w14:paraId="5AA0A7CF"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Capital Expenditure financed from revenue balances (transfer to the Capital Adjustment Account)</w:t>
            </w:r>
          </w:p>
        </w:tc>
        <w:tc>
          <w:tcPr>
            <w:tcW w:w="639" w:type="pct"/>
            <w:tcBorders>
              <w:top w:val="nil"/>
              <w:left w:val="single" w:sz="4" w:space="0" w:color="auto"/>
              <w:bottom w:val="nil"/>
              <w:right w:val="nil"/>
            </w:tcBorders>
            <w:shd w:val="clear" w:color="000000" w:fill="FFFFFF"/>
            <w:vAlign w:val="center"/>
            <w:hideMark/>
          </w:tcPr>
          <w:p w14:paraId="60529906"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640" w:type="pct"/>
            <w:tcBorders>
              <w:top w:val="nil"/>
              <w:left w:val="nil"/>
              <w:bottom w:val="nil"/>
              <w:right w:val="nil"/>
            </w:tcBorders>
            <w:shd w:val="clear" w:color="000000" w:fill="FFFFFF"/>
            <w:vAlign w:val="center"/>
            <w:hideMark/>
          </w:tcPr>
          <w:p w14:paraId="5BC55970"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103" w:type="pct"/>
            <w:vAlign w:val="center"/>
            <w:hideMark/>
          </w:tcPr>
          <w:p w14:paraId="3D050ADC"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62798C47" w14:textId="77777777" w:rsidTr="00600324">
        <w:trPr>
          <w:trHeight w:val="283"/>
        </w:trPr>
        <w:tc>
          <w:tcPr>
            <w:tcW w:w="3618" w:type="pct"/>
            <w:tcBorders>
              <w:top w:val="single" w:sz="4" w:space="0" w:color="auto"/>
              <w:left w:val="nil"/>
              <w:bottom w:val="nil"/>
              <w:right w:val="nil"/>
            </w:tcBorders>
            <w:shd w:val="clear" w:color="000000" w:fill="FFFFFF"/>
            <w:vAlign w:val="center"/>
            <w:hideMark/>
          </w:tcPr>
          <w:p w14:paraId="5D2948A9" w14:textId="77777777" w:rsidR="00600324" w:rsidRPr="00600324" w:rsidRDefault="00600324" w:rsidP="00600324">
            <w:pPr>
              <w:spacing w:after="0" w:line="240" w:lineRule="auto"/>
              <w:jc w:val="left"/>
              <w:rPr>
                <w:rFonts w:asciiTheme="minorHAnsi" w:eastAsia="Times New Roman" w:hAnsiTheme="minorHAnsi" w:cstheme="minorHAnsi"/>
                <w:b/>
                <w:bCs/>
                <w:color w:val="000000"/>
                <w:sz w:val="18"/>
                <w:szCs w:val="18"/>
                <w:lang w:eastAsia="en-GB"/>
              </w:rPr>
            </w:pPr>
            <w:r w:rsidRPr="00600324">
              <w:rPr>
                <w:rFonts w:asciiTheme="minorHAnsi" w:eastAsia="Times New Roman" w:hAnsiTheme="minorHAnsi" w:cstheme="minorHAnsi"/>
                <w:b/>
                <w:bCs/>
                <w:color w:val="000000"/>
                <w:sz w:val="18"/>
                <w:szCs w:val="18"/>
                <w:lang w:eastAsia="en-GB"/>
              </w:rPr>
              <w:t>Total Adjustments between Revenue and Capital Resources</w:t>
            </w:r>
          </w:p>
        </w:tc>
        <w:tc>
          <w:tcPr>
            <w:tcW w:w="639" w:type="pct"/>
            <w:tcBorders>
              <w:top w:val="single" w:sz="4" w:space="0" w:color="auto"/>
              <w:left w:val="single" w:sz="4" w:space="0" w:color="auto"/>
              <w:bottom w:val="nil"/>
              <w:right w:val="nil"/>
            </w:tcBorders>
            <w:shd w:val="clear" w:color="000000" w:fill="FFFFFF"/>
            <w:vAlign w:val="center"/>
            <w:hideMark/>
          </w:tcPr>
          <w:p w14:paraId="13D55D8E" w14:textId="77777777" w:rsidR="00600324" w:rsidRPr="00600324" w:rsidRDefault="00600324" w:rsidP="00600324">
            <w:pPr>
              <w:spacing w:after="0" w:line="240" w:lineRule="auto"/>
              <w:jc w:val="right"/>
              <w:rPr>
                <w:rFonts w:asciiTheme="minorHAnsi" w:eastAsia="Times New Roman" w:hAnsiTheme="minorHAnsi" w:cstheme="minorHAnsi"/>
                <w:b/>
                <w:bCs/>
                <w:color w:val="auto"/>
                <w:sz w:val="18"/>
                <w:szCs w:val="18"/>
                <w:lang w:eastAsia="en-GB"/>
              </w:rPr>
            </w:pPr>
            <w:r w:rsidRPr="00600324">
              <w:rPr>
                <w:rFonts w:asciiTheme="minorHAnsi" w:eastAsia="Times New Roman" w:hAnsiTheme="minorHAnsi" w:cstheme="minorHAnsi"/>
                <w:b/>
                <w:bCs/>
                <w:color w:val="auto"/>
                <w:sz w:val="18"/>
                <w:szCs w:val="18"/>
                <w:lang w:eastAsia="en-GB"/>
              </w:rPr>
              <w:t>-</w:t>
            </w:r>
          </w:p>
        </w:tc>
        <w:tc>
          <w:tcPr>
            <w:tcW w:w="640" w:type="pct"/>
            <w:tcBorders>
              <w:top w:val="single" w:sz="4" w:space="0" w:color="auto"/>
              <w:left w:val="nil"/>
              <w:bottom w:val="nil"/>
              <w:right w:val="nil"/>
            </w:tcBorders>
            <w:shd w:val="clear" w:color="000000" w:fill="FFFFFF"/>
            <w:vAlign w:val="center"/>
            <w:hideMark/>
          </w:tcPr>
          <w:p w14:paraId="7B72C21C" w14:textId="77777777" w:rsidR="00600324" w:rsidRPr="00600324" w:rsidRDefault="00600324" w:rsidP="00600324">
            <w:pPr>
              <w:spacing w:after="0" w:line="240" w:lineRule="auto"/>
              <w:jc w:val="right"/>
              <w:rPr>
                <w:rFonts w:asciiTheme="minorHAnsi" w:eastAsia="Times New Roman" w:hAnsiTheme="minorHAnsi" w:cstheme="minorHAnsi"/>
                <w:b/>
                <w:bCs/>
                <w:color w:val="auto"/>
                <w:sz w:val="18"/>
                <w:szCs w:val="18"/>
                <w:lang w:eastAsia="en-GB"/>
              </w:rPr>
            </w:pPr>
            <w:r w:rsidRPr="00600324">
              <w:rPr>
                <w:rFonts w:asciiTheme="minorHAnsi" w:eastAsia="Times New Roman" w:hAnsiTheme="minorHAnsi" w:cstheme="minorHAnsi"/>
                <w:b/>
                <w:bCs/>
                <w:color w:val="auto"/>
                <w:sz w:val="18"/>
                <w:szCs w:val="18"/>
                <w:lang w:eastAsia="en-GB"/>
              </w:rPr>
              <w:t>-</w:t>
            </w:r>
          </w:p>
        </w:tc>
        <w:tc>
          <w:tcPr>
            <w:tcW w:w="103" w:type="pct"/>
            <w:vAlign w:val="center"/>
            <w:hideMark/>
          </w:tcPr>
          <w:p w14:paraId="7C8DAED8"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40742DBD" w14:textId="77777777" w:rsidTr="00600324">
        <w:trPr>
          <w:trHeight w:val="283"/>
        </w:trPr>
        <w:tc>
          <w:tcPr>
            <w:tcW w:w="3618" w:type="pct"/>
            <w:tcBorders>
              <w:top w:val="nil"/>
              <w:left w:val="nil"/>
              <w:bottom w:val="nil"/>
              <w:right w:val="nil"/>
            </w:tcBorders>
            <w:shd w:val="clear" w:color="000000" w:fill="FFFFFF"/>
            <w:vAlign w:val="center"/>
            <w:hideMark/>
          </w:tcPr>
          <w:p w14:paraId="6C076AB7"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vAlign w:val="center"/>
            <w:hideMark/>
          </w:tcPr>
          <w:p w14:paraId="7395D009"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555AD64A"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103" w:type="pct"/>
            <w:vAlign w:val="center"/>
            <w:hideMark/>
          </w:tcPr>
          <w:p w14:paraId="18DBB9D0"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71597F2B" w14:textId="77777777" w:rsidTr="00600324">
        <w:trPr>
          <w:trHeight w:val="283"/>
        </w:trPr>
        <w:tc>
          <w:tcPr>
            <w:tcW w:w="3618" w:type="pct"/>
            <w:tcBorders>
              <w:top w:val="nil"/>
              <w:left w:val="nil"/>
              <w:bottom w:val="nil"/>
              <w:right w:val="nil"/>
            </w:tcBorders>
            <w:shd w:val="clear" w:color="000000" w:fill="FFFFFF"/>
            <w:vAlign w:val="center"/>
            <w:hideMark/>
          </w:tcPr>
          <w:p w14:paraId="440B88F2"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Other Adjustments</w:t>
            </w:r>
          </w:p>
        </w:tc>
        <w:tc>
          <w:tcPr>
            <w:tcW w:w="639" w:type="pct"/>
            <w:tcBorders>
              <w:top w:val="nil"/>
              <w:left w:val="single" w:sz="4" w:space="0" w:color="auto"/>
              <w:bottom w:val="nil"/>
              <w:right w:val="nil"/>
            </w:tcBorders>
            <w:shd w:val="clear" w:color="000000" w:fill="FFFFFF"/>
            <w:vAlign w:val="center"/>
            <w:hideMark/>
          </w:tcPr>
          <w:p w14:paraId="09918B3A"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640" w:type="pct"/>
            <w:tcBorders>
              <w:top w:val="nil"/>
              <w:left w:val="nil"/>
              <w:bottom w:val="nil"/>
              <w:right w:val="nil"/>
            </w:tcBorders>
            <w:shd w:val="clear" w:color="000000" w:fill="FFFFFF"/>
            <w:vAlign w:val="center"/>
            <w:hideMark/>
          </w:tcPr>
          <w:p w14:paraId="2F96E558" w14:textId="77777777" w:rsidR="00600324" w:rsidRPr="00600324" w:rsidRDefault="00600324" w:rsidP="00600324">
            <w:pPr>
              <w:spacing w:after="0" w:line="240" w:lineRule="auto"/>
              <w:jc w:val="righ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w:t>
            </w:r>
          </w:p>
        </w:tc>
        <w:tc>
          <w:tcPr>
            <w:tcW w:w="103" w:type="pct"/>
            <w:vAlign w:val="center"/>
            <w:hideMark/>
          </w:tcPr>
          <w:p w14:paraId="4AE9406D"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0D01420C" w14:textId="77777777" w:rsidTr="00600324">
        <w:trPr>
          <w:trHeight w:val="283"/>
        </w:trPr>
        <w:tc>
          <w:tcPr>
            <w:tcW w:w="3618" w:type="pct"/>
            <w:tcBorders>
              <w:top w:val="nil"/>
              <w:left w:val="nil"/>
              <w:bottom w:val="nil"/>
              <w:right w:val="nil"/>
            </w:tcBorders>
            <w:shd w:val="clear" w:color="000000" w:fill="FFFFFF"/>
            <w:vAlign w:val="center"/>
            <w:hideMark/>
          </w:tcPr>
          <w:p w14:paraId="11709234" w14:textId="77777777" w:rsidR="00600324" w:rsidRPr="00600324" w:rsidRDefault="00600324" w:rsidP="00600324">
            <w:pPr>
              <w:spacing w:after="0" w:line="240" w:lineRule="auto"/>
              <w:jc w:val="left"/>
              <w:rPr>
                <w:rFonts w:asciiTheme="minorHAnsi" w:eastAsia="Times New Roman" w:hAnsiTheme="minorHAnsi" w:cstheme="minorHAnsi"/>
                <w:color w:val="000000"/>
                <w:sz w:val="18"/>
                <w:szCs w:val="18"/>
                <w:lang w:eastAsia="en-GB"/>
              </w:rPr>
            </w:pPr>
            <w:r w:rsidRPr="00600324">
              <w:rPr>
                <w:rFonts w:asciiTheme="minorHAnsi" w:eastAsia="Times New Roman" w:hAnsiTheme="minorHAnsi" w:cstheme="minorHAnsi"/>
                <w:color w:val="000000"/>
                <w:sz w:val="18"/>
                <w:szCs w:val="18"/>
                <w:lang w:eastAsia="en-GB"/>
              </w:rPr>
              <w:t> </w:t>
            </w:r>
          </w:p>
        </w:tc>
        <w:tc>
          <w:tcPr>
            <w:tcW w:w="639" w:type="pct"/>
            <w:tcBorders>
              <w:top w:val="nil"/>
              <w:left w:val="single" w:sz="4" w:space="0" w:color="auto"/>
              <w:bottom w:val="nil"/>
              <w:right w:val="nil"/>
            </w:tcBorders>
            <w:shd w:val="clear" w:color="000000" w:fill="FFFFFF"/>
            <w:vAlign w:val="center"/>
            <w:hideMark/>
          </w:tcPr>
          <w:p w14:paraId="26A598DA"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640" w:type="pct"/>
            <w:tcBorders>
              <w:top w:val="nil"/>
              <w:left w:val="nil"/>
              <w:bottom w:val="nil"/>
              <w:right w:val="nil"/>
            </w:tcBorders>
            <w:shd w:val="clear" w:color="000000" w:fill="FFFFFF"/>
            <w:vAlign w:val="center"/>
            <w:hideMark/>
          </w:tcPr>
          <w:p w14:paraId="39E5B35F" w14:textId="77777777" w:rsidR="00600324" w:rsidRPr="00600324" w:rsidRDefault="00600324" w:rsidP="00600324">
            <w:pPr>
              <w:spacing w:after="0" w:line="240" w:lineRule="auto"/>
              <w:jc w:val="left"/>
              <w:rPr>
                <w:rFonts w:asciiTheme="minorHAnsi" w:eastAsia="Times New Roman" w:hAnsiTheme="minorHAnsi" w:cstheme="minorHAnsi"/>
                <w:color w:val="auto"/>
                <w:sz w:val="18"/>
                <w:szCs w:val="18"/>
                <w:lang w:eastAsia="en-GB"/>
              </w:rPr>
            </w:pPr>
            <w:r w:rsidRPr="00600324">
              <w:rPr>
                <w:rFonts w:asciiTheme="minorHAnsi" w:eastAsia="Times New Roman" w:hAnsiTheme="minorHAnsi" w:cstheme="minorHAnsi"/>
                <w:color w:val="auto"/>
                <w:sz w:val="18"/>
                <w:szCs w:val="18"/>
                <w:lang w:eastAsia="en-GB"/>
              </w:rPr>
              <w:t> </w:t>
            </w:r>
          </w:p>
        </w:tc>
        <w:tc>
          <w:tcPr>
            <w:tcW w:w="103" w:type="pct"/>
            <w:vAlign w:val="center"/>
            <w:hideMark/>
          </w:tcPr>
          <w:p w14:paraId="3C1F04A0"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r w:rsidR="00600324" w:rsidRPr="00600324" w14:paraId="21BB3303" w14:textId="77777777" w:rsidTr="00600324">
        <w:trPr>
          <w:trHeight w:val="283"/>
        </w:trPr>
        <w:tc>
          <w:tcPr>
            <w:tcW w:w="3618" w:type="pct"/>
            <w:tcBorders>
              <w:top w:val="single" w:sz="4" w:space="0" w:color="auto"/>
              <w:left w:val="nil"/>
              <w:bottom w:val="single" w:sz="4" w:space="0" w:color="auto"/>
              <w:right w:val="nil"/>
            </w:tcBorders>
            <w:shd w:val="clear" w:color="000000" w:fill="FFFFFF"/>
            <w:vAlign w:val="center"/>
            <w:hideMark/>
          </w:tcPr>
          <w:p w14:paraId="044F8A9F" w14:textId="77777777" w:rsidR="00600324" w:rsidRPr="00600324" w:rsidRDefault="00600324" w:rsidP="00600324">
            <w:pPr>
              <w:spacing w:after="0" w:line="240" w:lineRule="auto"/>
              <w:jc w:val="left"/>
              <w:rPr>
                <w:rFonts w:asciiTheme="minorHAnsi" w:eastAsia="Times New Roman" w:hAnsiTheme="minorHAnsi" w:cstheme="minorHAnsi"/>
                <w:b/>
                <w:bCs/>
                <w:color w:val="000000"/>
                <w:sz w:val="18"/>
                <w:szCs w:val="18"/>
                <w:lang w:eastAsia="en-GB"/>
              </w:rPr>
            </w:pPr>
            <w:r w:rsidRPr="00600324">
              <w:rPr>
                <w:rFonts w:asciiTheme="minorHAnsi" w:eastAsia="Times New Roman" w:hAnsiTheme="minorHAnsi" w:cstheme="minorHAnsi"/>
                <w:b/>
                <w:bCs/>
                <w:color w:val="000000"/>
                <w:sz w:val="18"/>
                <w:szCs w:val="18"/>
                <w:lang w:eastAsia="en-GB"/>
              </w:rPr>
              <w:t>Total Adjustments</w:t>
            </w:r>
          </w:p>
        </w:tc>
        <w:tc>
          <w:tcPr>
            <w:tcW w:w="639" w:type="pct"/>
            <w:tcBorders>
              <w:top w:val="single" w:sz="4" w:space="0" w:color="auto"/>
              <w:left w:val="single" w:sz="4" w:space="0" w:color="auto"/>
              <w:bottom w:val="single" w:sz="4" w:space="0" w:color="auto"/>
              <w:right w:val="nil"/>
            </w:tcBorders>
            <w:shd w:val="clear" w:color="000000" w:fill="FFFFFF"/>
            <w:vAlign w:val="center"/>
            <w:hideMark/>
          </w:tcPr>
          <w:p w14:paraId="7A85BB71" w14:textId="77777777" w:rsidR="00600324" w:rsidRPr="0040499F" w:rsidRDefault="00600324" w:rsidP="00600324">
            <w:pPr>
              <w:spacing w:after="0" w:line="240" w:lineRule="auto"/>
              <w:jc w:val="right"/>
              <w:rPr>
                <w:rFonts w:asciiTheme="minorHAnsi" w:eastAsia="Times New Roman" w:hAnsiTheme="minorHAnsi" w:cstheme="minorHAnsi"/>
                <w:b/>
                <w:bCs/>
                <w:color w:val="auto"/>
                <w:sz w:val="18"/>
                <w:szCs w:val="18"/>
                <w:lang w:eastAsia="en-GB"/>
              </w:rPr>
            </w:pPr>
            <w:r w:rsidRPr="0040499F">
              <w:rPr>
                <w:rFonts w:asciiTheme="minorHAnsi" w:eastAsia="Times New Roman" w:hAnsiTheme="minorHAnsi" w:cstheme="minorHAnsi"/>
                <w:b/>
                <w:bCs/>
                <w:color w:val="000000"/>
                <w:sz w:val="18"/>
                <w:szCs w:val="18"/>
                <w:lang w:eastAsia="en-GB"/>
              </w:rPr>
              <w:t>(18,327)</w:t>
            </w:r>
          </w:p>
        </w:tc>
        <w:tc>
          <w:tcPr>
            <w:tcW w:w="640" w:type="pct"/>
            <w:tcBorders>
              <w:top w:val="single" w:sz="4" w:space="0" w:color="auto"/>
              <w:left w:val="nil"/>
              <w:bottom w:val="single" w:sz="4" w:space="0" w:color="auto"/>
              <w:right w:val="nil"/>
            </w:tcBorders>
            <w:shd w:val="clear" w:color="000000" w:fill="FFFFFF"/>
            <w:vAlign w:val="center"/>
            <w:hideMark/>
          </w:tcPr>
          <w:p w14:paraId="7774DB67" w14:textId="77777777" w:rsidR="00600324" w:rsidRPr="0040499F" w:rsidRDefault="00600324" w:rsidP="00600324">
            <w:pPr>
              <w:spacing w:after="0" w:line="240" w:lineRule="auto"/>
              <w:jc w:val="right"/>
              <w:rPr>
                <w:rFonts w:asciiTheme="minorHAnsi" w:eastAsia="Times New Roman" w:hAnsiTheme="minorHAnsi" w:cstheme="minorHAnsi"/>
                <w:b/>
                <w:bCs/>
                <w:color w:val="auto"/>
                <w:sz w:val="18"/>
                <w:szCs w:val="18"/>
                <w:lang w:eastAsia="en-GB"/>
              </w:rPr>
            </w:pPr>
            <w:r w:rsidRPr="0040499F">
              <w:rPr>
                <w:rFonts w:asciiTheme="minorHAnsi" w:eastAsia="Times New Roman" w:hAnsiTheme="minorHAnsi" w:cstheme="minorHAnsi"/>
                <w:b/>
                <w:bCs/>
                <w:color w:val="auto"/>
                <w:sz w:val="18"/>
                <w:szCs w:val="18"/>
                <w:lang w:eastAsia="en-GB"/>
              </w:rPr>
              <w:t>18,327</w:t>
            </w:r>
          </w:p>
        </w:tc>
        <w:tc>
          <w:tcPr>
            <w:tcW w:w="103" w:type="pct"/>
            <w:vAlign w:val="center"/>
            <w:hideMark/>
          </w:tcPr>
          <w:p w14:paraId="5911FA46" w14:textId="77777777" w:rsidR="00600324" w:rsidRPr="00600324" w:rsidRDefault="00600324" w:rsidP="00600324">
            <w:pPr>
              <w:spacing w:after="0" w:line="240" w:lineRule="auto"/>
              <w:jc w:val="left"/>
              <w:rPr>
                <w:rFonts w:ascii="Times New Roman" w:eastAsia="Times New Roman" w:hAnsi="Times New Roman" w:cs="Times New Roman"/>
                <w:color w:val="auto"/>
                <w:szCs w:val="20"/>
                <w:lang w:eastAsia="en-GB"/>
              </w:rPr>
            </w:pPr>
          </w:p>
        </w:tc>
      </w:tr>
    </w:tbl>
    <w:p w14:paraId="79D57307" w14:textId="77777777" w:rsidR="00D6777E" w:rsidRDefault="00D6777E" w:rsidP="003356AE">
      <w:pPr>
        <w:spacing w:line="240" w:lineRule="auto"/>
        <w:rPr>
          <w:lang w:val="pt-BR"/>
        </w:rPr>
      </w:pPr>
    </w:p>
    <w:p w14:paraId="2CEE12B2" w14:textId="2CE60A97" w:rsidR="002522D4" w:rsidRPr="00912B24" w:rsidRDefault="002522D4" w:rsidP="003356AE">
      <w:pPr>
        <w:pStyle w:val="NoteHeader"/>
        <w:spacing w:line="240" w:lineRule="auto"/>
      </w:pPr>
      <w:bookmarkStart w:id="95" w:name="_Toc517077283"/>
      <w:bookmarkStart w:id="96" w:name="_Toc9272508"/>
      <w:bookmarkStart w:id="97" w:name="_Toc9592055"/>
      <w:bookmarkStart w:id="98" w:name="_Toc230858562"/>
      <w:r w:rsidRPr="00912B24">
        <w:t>Note 7 - Other Operating Expenditure</w:t>
      </w:r>
      <w:bookmarkEnd w:id="95"/>
      <w:bookmarkEnd w:id="96"/>
      <w:bookmarkEnd w:id="97"/>
      <w:bookmarkEnd w:id="98"/>
    </w:p>
    <w:p w14:paraId="444FFBF9" w14:textId="77777777" w:rsidR="002522D4" w:rsidRPr="00912B24" w:rsidRDefault="002522D4" w:rsidP="003356AE">
      <w:pPr>
        <w:spacing w:line="240" w:lineRule="auto"/>
      </w:pPr>
    </w:p>
    <w:p w14:paraId="2586A790" w14:textId="1A8F408F" w:rsidR="00A805A9" w:rsidRPr="00A805A9" w:rsidRDefault="00A805A9" w:rsidP="003356AE">
      <w:pPr>
        <w:spacing w:line="240" w:lineRule="auto"/>
        <w:rPr>
          <w:rFonts w:asciiTheme="minorHAnsi" w:hAnsiTheme="minorHAnsi"/>
          <w:noProof/>
          <w:color w:val="auto"/>
          <w:szCs w:val="20"/>
          <w:lang w:eastAsia="en-GB"/>
        </w:rPr>
      </w:pPr>
      <w:r w:rsidRPr="00A805A9">
        <w:rPr>
          <w:rFonts w:asciiTheme="minorHAnsi" w:hAnsiTheme="minorHAnsi"/>
          <w:noProof/>
          <w:color w:val="auto"/>
          <w:szCs w:val="20"/>
          <w:lang w:eastAsia="en-GB"/>
        </w:rPr>
        <w:t xml:space="preserve">The Chief Constable holds no balance in respect of these items. For information, please refer to Note </w:t>
      </w:r>
      <w:r>
        <w:rPr>
          <w:rFonts w:asciiTheme="minorHAnsi" w:hAnsiTheme="minorHAnsi"/>
          <w:noProof/>
          <w:color w:val="auto"/>
          <w:szCs w:val="20"/>
          <w:lang w:eastAsia="en-GB"/>
        </w:rPr>
        <w:t>7</w:t>
      </w:r>
      <w:r w:rsidRPr="00A805A9">
        <w:rPr>
          <w:rFonts w:asciiTheme="minorHAnsi" w:hAnsiTheme="minorHAnsi"/>
          <w:noProof/>
          <w:color w:val="auto"/>
          <w:szCs w:val="20"/>
          <w:lang w:eastAsia="en-GB"/>
        </w:rPr>
        <w:t xml:space="preserve"> of the Office of the Police, Fire &amp; Crime Commissioner (OPFCC) Statement of Accounts.</w:t>
      </w:r>
    </w:p>
    <w:p w14:paraId="4D9A78AB" w14:textId="77777777" w:rsidR="008441E1" w:rsidRDefault="008441E1" w:rsidP="003356AE">
      <w:pPr>
        <w:spacing w:line="240" w:lineRule="auto"/>
      </w:pPr>
    </w:p>
    <w:p w14:paraId="282919C4" w14:textId="59175DF5" w:rsidR="009E7D01" w:rsidRPr="00912B24" w:rsidRDefault="002522D4" w:rsidP="003356AE">
      <w:pPr>
        <w:pStyle w:val="NoteHeader"/>
        <w:spacing w:line="240" w:lineRule="auto"/>
      </w:pPr>
      <w:bookmarkStart w:id="99" w:name="_Toc517077284"/>
      <w:bookmarkStart w:id="100" w:name="_Toc9272509"/>
      <w:bookmarkStart w:id="101" w:name="_Toc9592056"/>
      <w:bookmarkStart w:id="102" w:name="_Toc230858563"/>
      <w:r w:rsidRPr="00912B24">
        <w:t>Note 8 - Financing and Investment Income and Expenditure</w:t>
      </w:r>
      <w:bookmarkEnd w:id="99"/>
      <w:bookmarkEnd w:id="100"/>
      <w:bookmarkEnd w:id="101"/>
      <w:bookmarkEnd w:id="102"/>
    </w:p>
    <w:p w14:paraId="3830216D" w14:textId="23339F66" w:rsidR="00020078" w:rsidRDefault="00020078" w:rsidP="003356AE">
      <w:pPr>
        <w:spacing w:line="240" w:lineRule="auto"/>
        <w:rPr>
          <w:rFonts w:asciiTheme="minorHAnsi" w:hAnsiTheme="minorHAnsi"/>
          <w:color w:val="auto"/>
          <w:sz w:val="24"/>
          <w:lang w:val="en-US"/>
        </w:rPr>
      </w:pPr>
    </w:p>
    <w:tbl>
      <w:tblPr>
        <w:tblW w:w="4906" w:type="pct"/>
        <w:tblLook w:val="04A0" w:firstRow="1" w:lastRow="0" w:firstColumn="1" w:lastColumn="0" w:noHBand="0" w:noVBand="1"/>
      </w:tblPr>
      <w:tblGrid>
        <w:gridCol w:w="1474"/>
        <w:gridCol w:w="5953"/>
        <w:gridCol w:w="1474"/>
      </w:tblGrid>
      <w:tr w:rsidR="004C31A9" w:rsidRPr="004C31A9" w14:paraId="4ABB28A0" w14:textId="77777777" w:rsidTr="0009479F">
        <w:trPr>
          <w:trHeight w:val="283"/>
        </w:trPr>
        <w:tc>
          <w:tcPr>
            <w:tcW w:w="828" w:type="pct"/>
            <w:tcBorders>
              <w:top w:val="nil"/>
              <w:left w:val="nil"/>
              <w:bottom w:val="nil"/>
              <w:right w:val="nil"/>
            </w:tcBorders>
            <w:shd w:val="clear" w:color="000000" w:fill="000099"/>
            <w:vAlign w:val="center"/>
            <w:hideMark/>
          </w:tcPr>
          <w:p w14:paraId="4EC7B61E" w14:textId="77777777" w:rsidR="004C31A9" w:rsidRPr="004C31A9" w:rsidRDefault="004C31A9" w:rsidP="004C31A9">
            <w:pPr>
              <w:spacing w:after="0" w:line="240" w:lineRule="auto"/>
              <w:jc w:val="center"/>
              <w:rPr>
                <w:rFonts w:eastAsia="Times New Roman" w:cs="Calibri"/>
                <w:b/>
                <w:bCs/>
                <w:color w:val="FFFFFF"/>
                <w:sz w:val="18"/>
                <w:szCs w:val="18"/>
                <w:lang w:eastAsia="en-GB"/>
              </w:rPr>
            </w:pPr>
            <w:r w:rsidRPr="004C31A9">
              <w:rPr>
                <w:rFonts w:eastAsia="Times New Roman" w:cs="Calibri"/>
                <w:b/>
                <w:bCs/>
                <w:color w:val="FFFFFF"/>
                <w:sz w:val="18"/>
                <w:szCs w:val="18"/>
                <w:lang w:eastAsia="en-GB"/>
              </w:rPr>
              <w:t>2024/25</w:t>
            </w:r>
          </w:p>
        </w:tc>
        <w:tc>
          <w:tcPr>
            <w:tcW w:w="3344" w:type="pct"/>
            <w:tcBorders>
              <w:top w:val="nil"/>
              <w:left w:val="nil"/>
              <w:bottom w:val="nil"/>
              <w:right w:val="nil"/>
            </w:tcBorders>
            <w:shd w:val="clear" w:color="000000" w:fill="000099"/>
            <w:vAlign w:val="center"/>
            <w:hideMark/>
          </w:tcPr>
          <w:p w14:paraId="5EA28F2A" w14:textId="77777777" w:rsidR="004C31A9" w:rsidRPr="004C31A9" w:rsidRDefault="004C31A9" w:rsidP="004C31A9">
            <w:pPr>
              <w:spacing w:after="0" w:line="240" w:lineRule="auto"/>
              <w:jc w:val="center"/>
              <w:rPr>
                <w:rFonts w:eastAsia="Times New Roman" w:cs="Calibri"/>
                <w:b/>
                <w:bCs/>
                <w:color w:val="FFFFFF"/>
                <w:sz w:val="18"/>
                <w:szCs w:val="18"/>
                <w:lang w:eastAsia="en-GB"/>
              </w:rPr>
            </w:pPr>
            <w:r w:rsidRPr="004C31A9">
              <w:rPr>
                <w:rFonts w:eastAsia="Times New Roman" w:cs="Calibri"/>
                <w:b/>
                <w:bCs/>
                <w:color w:val="FFFFFF"/>
                <w:sz w:val="18"/>
                <w:szCs w:val="18"/>
                <w:lang w:eastAsia="en-GB"/>
              </w:rPr>
              <w:t xml:space="preserve"> </w:t>
            </w:r>
          </w:p>
        </w:tc>
        <w:tc>
          <w:tcPr>
            <w:tcW w:w="828" w:type="pct"/>
            <w:tcBorders>
              <w:top w:val="nil"/>
              <w:left w:val="nil"/>
              <w:bottom w:val="nil"/>
              <w:right w:val="nil"/>
            </w:tcBorders>
            <w:shd w:val="clear" w:color="000000" w:fill="000099"/>
            <w:vAlign w:val="center"/>
            <w:hideMark/>
          </w:tcPr>
          <w:p w14:paraId="1D5B182D" w14:textId="77777777" w:rsidR="004C31A9" w:rsidRPr="004C31A9" w:rsidRDefault="004C31A9" w:rsidP="004C31A9">
            <w:pPr>
              <w:spacing w:after="0" w:line="240" w:lineRule="auto"/>
              <w:jc w:val="center"/>
              <w:rPr>
                <w:rFonts w:eastAsia="Times New Roman" w:cs="Calibri"/>
                <w:b/>
                <w:bCs/>
                <w:color w:val="FFFFFF"/>
                <w:sz w:val="18"/>
                <w:szCs w:val="18"/>
                <w:lang w:eastAsia="en-GB"/>
              </w:rPr>
            </w:pPr>
            <w:r w:rsidRPr="004C31A9">
              <w:rPr>
                <w:rFonts w:eastAsia="Times New Roman" w:cs="Calibri"/>
                <w:b/>
                <w:bCs/>
                <w:color w:val="FFFFFF"/>
                <w:sz w:val="18"/>
                <w:szCs w:val="18"/>
                <w:lang w:eastAsia="en-GB"/>
              </w:rPr>
              <w:t>2025/26</w:t>
            </w:r>
          </w:p>
        </w:tc>
      </w:tr>
      <w:tr w:rsidR="004C31A9" w:rsidRPr="004C31A9" w14:paraId="72C7E30E" w14:textId="77777777" w:rsidTr="0009479F">
        <w:trPr>
          <w:trHeight w:val="283"/>
        </w:trPr>
        <w:tc>
          <w:tcPr>
            <w:tcW w:w="828" w:type="pct"/>
            <w:tcBorders>
              <w:top w:val="nil"/>
              <w:left w:val="nil"/>
              <w:bottom w:val="nil"/>
              <w:right w:val="nil"/>
            </w:tcBorders>
            <w:shd w:val="clear" w:color="000000" w:fill="000099"/>
            <w:vAlign w:val="center"/>
            <w:hideMark/>
          </w:tcPr>
          <w:p w14:paraId="09125766" w14:textId="77777777" w:rsidR="004C31A9" w:rsidRPr="004C31A9" w:rsidRDefault="004C31A9" w:rsidP="004C31A9">
            <w:pPr>
              <w:spacing w:after="0" w:line="240" w:lineRule="auto"/>
              <w:jc w:val="center"/>
              <w:rPr>
                <w:rFonts w:eastAsia="Times New Roman" w:cs="Calibri"/>
                <w:b/>
                <w:bCs/>
                <w:color w:val="FFFFFF"/>
                <w:sz w:val="18"/>
                <w:szCs w:val="18"/>
                <w:lang w:eastAsia="en-GB"/>
              </w:rPr>
            </w:pPr>
            <w:r w:rsidRPr="004C31A9">
              <w:rPr>
                <w:rFonts w:eastAsia="Times New Roman" w:cs="Calibri"/>
                <w:b/>
                <w:bCs/>
                <w:color w:val="FFFFFF"/>
                <w:sz w:val="18"/>
                <w:szCs w:val="18"/>
                <w:lang w:eastAsia="en-GB"/>
              </w:rPr>
              <w:t>£000</w:t>
            </w:r>
          </w:p>
        </w:tc>
        <w:tc>
          <w:tcPr>
            <w:tcW w:w="3344" w:type="pct"/>
            <w:tcBorders>
              <w:top w:val="nil"/>
              <w:left w:val="nil"/>
              <w:bottom w:val="nil"/>
              <w:right w:val="nil"/>
            </w:tcBorders>
            <w:shd w:val="clear" w:color="000000" w:fill="000099"/>
            <w:vAlign w:val="center"/>
            <w:hideMark/>
          </w:tcPr>
          <w:p w14:paraId="1FAF8C4B" w14:textId="77777777" w:rsidR="004C31A9" w:rsidRPr="004C31A9" w:rsidRDefault="004C31A9" w:rsidP="004C31A9">
            <w:pPr>
              <w:spacing w:after="0" w:line="240" w:lineRule="auto"/>
              <w:jc w:val="center"/>
              <w:rPr>
                <w:rFonts w:eastAsia="Times New Roman" w:cs="Calibri"/>
                <w:b/>
                <w:bCs/>
                <w:color w:val="FFFFFF"/>
                <w:sz w:val="18"/>
                <w:szCs w:val="18"/>
                <w:lang w:eastAsia="en-GB"/>
              </w:rPr>
            </w:pPr>
            <w:r w:rsidRPr="004C31A9">
              <w:rPr>
                <w:rFonts w:eastAsia="Times New Roman" w:cs="Calibri"/>
                <w:b/>
                <w:bCs/>
                <w:color w:val="FFFFFF"/>
                <w:sz w:val="18"/>
                <w:szCs w:val="18"/>
                <w:lang w:eastAsia="en-GB"/>
              </w:rPr>
              <w:t xml:space="preserve"> </w:t>
            </w:r>
          </w:p>
        </w:tc>
        <w:tc>
          <w:tcPr>
            <w:tcW w:w="828" w:type="pct"/>
            <w:tcBorders>
              <w:top w:val="nil"/>
              <w:left w:val="nil"/>
              <w:bottom w:val="nil"/>
              <w:right w:val="nil"/>
            </w:tcBorders>
            <w:shd w:val="clear" w:color="000000" w:fill="000099"/>
            <w:vAlign w:val="center"/>
            <w:hideMark/>
          </w:tcPr>
          <w:p w14:paraId="2CA5E17A" w14:textId="77777777" w:rsidR="004C31A9" w:rsidRPr="004C31A9" w:rsidRDefault="004C31A9" w:rsidP="004C31A9">
            <w:pPr>
              <w:spacing w:after="0" w:line="240" w:lineRule="auto"/>
              <w:jc w:val="center"/>
              <w:rPr>
                <w:rFonts w:eastAsia="Times New Roman" w:cs="Calibri"/>
                <w:b/>
                <w:bCs/>
                <w:color w:val="FFFFFF"/>
                <w:sz w:val="18"/>
                <w:szCs w:val="18"/>
                <w:lang w:eastAsia="en-GB"/>
              </w:rPr>
            </w:pPr>
            <w:r w:rsidRPr="004C31A9">
              <w:rPr>
                <w:rFonts w:eastAsia="Times New Roman" w:cs="Calibri"/>
                <w:b/>
                <w:bCs/>
                <w:color w:val="FFFFFF"/>
                <w:sz w:val="18"/>
                <w:szCs w:val="18"/>
                <w:lang w:eastAsia="en-GB"/>
              </w:rPr>
              <w:t>£000</w:t>
            </w:r>
          </w:p>
        </w:tc>
      </w:tr>
      <w:tr w:rsidR="004C31A9" w:rsidRPr="004C31A9" w14:paraId="47267103" w14:textId="77777777" w:rsidTr="0009479F">
        <w:trPr>
          <w:trHeight w:val="283"/>
        </w:trPr>
        <w:tc>
          <w:tcPr>
            <w:tcW w:w="828" w:type="pct"/>
            <w:tcBorders>
              <w:top w:val="nil"/>
              <w:left w:val="nil"/>
              <w:bottom w:val="nil"/>
              <w:right w:val="nil"/>
            </w:tcBorders>
            <w:shd w:val="clear" w:color="000000" w:fill="FFFFFF"/>
            <w:vAlign w:val="center"/>
            <w:hideMark/>
          </w:tcPr>
          <w:p w14:paraId="795E72D7" w14:textId="77777777" w:rsidR="004C31A9" w:rsidRPr="004C31A9" w:rsidRDefault="004C31A9" w:rsidP="003F7450">
            <w:pPr>
              <w:spacing w:after="0" w:line="240" w:lineRule="auto"/>
              <w:jc w:val="right"/>
              <w:rPr>
                <w:rFonts w:eastAsia="Times New Roman" w:cs="Calibri"/>
                <w:color w:val="auto"/>
                <w:sz w:val="18"/>
                <w:szCs w:val="18"/>
                <w:lang w:eastAsia="en-GB"/>
              </w:rPr>
            </w:pPr>
            <w:r w:rsidRPr="004C31A9">
              <w:rPr>
                <w:rFonts w:eastAsia="Times New Roman" w:cs="Calibri"/>
                <w:color w:val="auto"/>
                <w:sz w:val="18"/>
                <w:szCs w:val="18"/>
                <w:lang w:eastAsia="en-GB"/>
              </w:rPr>
              <w:t>-</w:t>
            </w:r>
          </w:p>
        </w:tc>
        <w:tc>
          <w:tcPr>
            <w:tcW w:w="3344" w:type="pct"/>
            <w:tcBorders>
              <w:top w:val="nil"/>
              <w:left w:val="nil"/>
              <w:bottom w:val="nil"/>
              <w:right w:val="nil"/>
            </w:tcBorders>
            <w:shd w:val="clear" w:color="000000" w:fill="FFFFFF"/>
            <w:vAlign w:val="center"/>
            <w:hideMark/>
          </w:tcPr>
          <w:p w14:paraId="37688B88" w14:textId="77777777" w:rsidR="004C31A9" w:rsidRPr="004C31A9" w:rsidRDefault="004C31A9" w:rsidP="003F7450">
            <w:pPr>
              <w:spacing w:after="0" w:line="240" w:lineRule="auto"/>
              <w:jc w:val="left"/>
              <w:rPr>
                <w:rFonts w:eastAsia="Times New Roman" w:cs="Calibri"/>
                <w:color w:val="auto"/>
                <w:sz w:val="18"/>
                <w:szCs w:val="18"/>
                <w:lang w:eastAsia="en-GB"/>
              </w:rPr>
            </w:pPr>
            <w:r w:rsidRPr="004C31A9">
              <w:rPr>
                <w:rFonts w:eastAsia="Times New Roman" w:cs="Calibri"/>
                <w:color w:val="auto"/>
                <w:sz w:val="18"/>
                <w:szCs w:val="18"/>
                <w:lang w:eastAsia="en-GB"/>
              </w:rPr>
              <w:t>Interest payable and similar charges</w:t>
            </w:r>
          </w:p>
        </w:tc>
        <w:tc>
          <w:tcPr>
            <w:tcW w:w="828" w:type="pct"/>
            <w:tcBorders>
              <w:top w:val="nil"/>
              <w:left w:val="nil"/>
              <w:bottom w:val="nil"/>
              <w:right w:val="nil"/>
            </w:tcBorders>
            <w:shd w:val="clear" w:color="000000" w:fill="CCECFF"/>
            <w:vAlign w:val="center"/>
            <w:hideMark/>
          </w:tcPr>
          <w:p w14:paraId="40BDA9C3" w14:textId="77777777" w:rsidR="004C31A9" w:rsidRPr="004C31A9" w:rsidRDefault="004C31A9" w:rsidP="003F7450">
            <w:pPr>
              <w:spacing w:after="0" w:line="240" w:lineRule="auto"/>
              <w:jc w:val="right"/>
              <w:rPr>
                <w:rFonts w:eastAsia="Times New Roman" w:cs="Calibri"/>
                <w:color w:val="auto"/>
                <w:sz w:val="18"/>
                <w:szCs w:val="18"/>
                <w:lang w:eastAsia="en-GB"/>
              </w:rPr>
            </w:pPr>
            <w:r w:rsidRPr="004C31A9">
              <w:rPr>
                <w:rFonts w:eastAsia="Times New Roman" w:cs="Calibri"/>
                <w:color w:val="auto"/>
                <w:sz w:val="18"/>
                <w:szCs w:val="18"/>
                <w:lang w:eastAsia="en-GB"/>
              </w:rPr>
              <w:t>-</w:t>
            </w:r>
          </w:p>
        </w:tc>
      </w:tr>
      <w:tr w:rsidR="004C31A9" w:rsidRPr="004C31A9" w14:paraId="7FB825FC" w14:textId="77777777" w:rsidTr="0009479F">
        <w:trPr>
          <w:trHeight w:val="283"/>
        </w:trPr>
        <w:tc>
          <w:tcPr>
            <w:tcW w:w="828" w:type="pct"/>
            <w:tcBorders>
              <w:top w:val="nil"/>
              <w:left w:val="nil"/>
              <w:bottom w:val="nil"/>
              <w:right w:val="nil"/>
            </w:tcBorders>
            <w:shd w:val="clear" w:color="000000" w:fill="FFFFFF"/>
            <w:vAlign w:val="center"/>
            <w:hideMark/>
          </w:tcPr>
          <w:p w14:paraId="28CA4B65" w14:textId="77777777" w:rsidR="004C31A9" w:rsidRPr="004C31A9" w:rsidRDefault="004C31A9" w:rsidP="003F7450">
            <w:pPr>
              <w:spacing w:after="0" w:line="240" w:lineRule="auto"/>
              <w:jc w:val="right"/>
              <w:rPr>
                <w:rFonts w:eastAsia="Times New Roman" w:cs="Calibri"/>
                <w:color w:val="auto"/>
                <w:sz w:val="18"/>
                <w:szCs w:val="18"/>
                <w:lang w:eastAsia="en-GB"/>
              </w:rPr>
            </w:pPr>
            <w:r w:rsidRPr="004C31A9">
              <w:rPr>
                <w:rFonts w:eastAsia="Times New Roman" w:cs="Calibri"/>
                <w:color w:val="auto"/>
                <w:sz w:val="18"/>
                <w:szCs w:val="18"/>
                <w:lang w:eastAsia="en-GB"/>
              </w:rPr>
              <w:t>48,396</w:t>
            </w:r>
          </w:p>
        </w:tc>
        <w:tc>
          <w:tcPr>
            <w:tcW w:w="3344" w:type="pct"/>
            <w:tcBorders>
              <w:top w:val="nil"/>
              <w:left w:val="nil"/>
              <w:bottom w:val="nil"/>
              <w:right w:val="nil"/>
            </w:tcBorders>
            <w:shd w:val="clear" w:color="000000" w:fill="FFFFFF"/>
            <w:noWrap/>
            <w:vAlign w:val="center"/>
            <w:hideMark/>
          </w:tcPr>
          <w:p w14:paraId="73BB2A38" w14:textId="77777777" w:rsidR="004C31A9" w:rsidRPr="004C31A9" w:rsidRDefault="004C31A9" w:rsidP="003F7450">
            <w:pPr>
              <w:spacing w:after="0" w:line="240" w:lineRule="auto"/>
              <w:jc w:val="left"/>
              <w:rPr>
                <w:rFonts w:eastAsia="Times New Roman" w:cs="Calibri"/>
                <w:color w:val="auto"/>
                <w:sz w:val="18"/>
                <w:szCs w:val="18"/>
                <w:lang w:eastAsia="en-GB"/>
              </w:rPr>
            </w:pPr>
            <w:r w:rsidRPr="004C31A9">
              <w:rPr>
                <w:rFonts w:eastAsia="Times New Roman" w:cs="Calibri"/>
                <w:color w:val="auto"/>
                <w:sz w:val="18"/>
                <w:szCs w:val="18"/>
                <w:lang w:eastAsia="en-GB"/>
              </w:rPr>
              <w:t>Net interest on the net defined benefit liability/(asset)</w:t>
            </w:r>
          </w:p>
        </w:tc>
        <w:tc>
          <w:tcPr>
            <w:tcW w:w="828" w:type="pct"/>
            <w:tcBorders>
              <w:top w:val="nil"/>
              <w:left w:val="nil"/>
              <w:bottom w:val="nil"/>
              <w:right w:val="nil"/>
            </w:tcBorders>
            <w:shd w:val="clear" w:color="000000" w:fill="CCECFF"/>
            <w:vAlign w:val="center"/>
            <w:hideMark/>
          </w:tcPr>
          <w:p w14:paraId="6E4F9FF3" w14:textId="77777777" w:rsidR="004C31A9" w:rsidRPr="004C31A9" w:rsidRDefault="004C31A9" w:rsidP="003F7450">
            <w:pPr>
              <w:spacing w:after="0" w:line="240" w:lineRule="auto"/>
              <w:jc w:val="right"/>
              <w:rPr>
                <w:rFonts w:eastAsia="Times New Roman" w:cs="Calibri"/>
                <w:color w:val="auto"/>
                <w:sz w:val="18"/>
                <w:szCs w:val="18"/>
                <w:lang w:eastAsia="en-GB"/>
              </w:rPr>
            </w:pPr>
            <w:r w:rsidRPr="004C31A9">
              <w:rPr>
                <w:rFonts w:eastAsia="Times New Roman" w:cs="Calibri"/>
                <w:color w:val="auto"/>
                <w:sz w:val="18"/>
                <w:szCs w:val="18"/>
                <w:lang w:eastAsia="en-GB"/>
              </w:rPr>
              <w:t>52,917</w:t>
            </w:r>
          </w:p>
        </w:tc>
      </w:tr>
      <w:tr w:rsidR="004C31A9" w:rsidRPr="004C31A9" w14:paraId="4F9C864F" w14:textId="77777777" w:rsidTr="0009479F">
        <w:trPr>
          <w:trHeight w:val="283"/>
        </w:trPr>
        <w:tc>
          <w:tcPr>
            <w:tcW w:w="828" w:type="pct"/>
            <w:tcBorders>
              <w:top w:val="nil"/>
              <w:left w:val="nil"/>
              <w:bottom w:val="nil"/>
              <w:right w:val="nil"/>
            </w:tcBorders>
            <w:shd w:val="clear" w:color="000000" w:fill="FFFFFF"/>
            <w:vAlign w:val="center"/>
            <w:hideMark/>
          </w:tcPr>
          <w:p w14:paraId="5696265D" w14:textId="77777777" w:rsidR="004C31A9" w:rsidRPr="004C31A9" w:rsidRDefault="004C31A9" w:rsidP="003F7450">
            <w:pPr>
              <w:spacing w:after="0" w:line="240" w:lineRule="auto"/>
              <w:jc w:val="right"/>
              <w:rPr>
                <w:rFonts w:eastAsia="Times New Roman" w:cs="Calibri"/>
                <w:color w:val="auto"/>
                <w:sz w:val="18"/>
                <w:szCs w:val="18"/>
                <w:lang w:eastAsia="en-GB"/>
              </w:rPr>
            </w:pPr>
            <w:r w:rsidRPr="004C31A9">
              <w:rPr>
                <w:rFonts w:eastAsia="Times New Roman" w:cs="Calibri"/>
                <w:color w:val="000000"/>
                <w:sz w:val="18"/>
                <w:szCs w:val="18"/>
                <w:lang w:eastAsia="en-GB"/>
              </w:rPr>
              <w:t>(856)</w:t>
            </w:r>
          </w:p>
        </w:tc>
        <w:tc>
          <w:tcPr>
            <w:tcW w:w="3344" w:type="pct"/>
            <w:tcBorders>
              <w:top w:val="nil"/>
              <w:left w:val="nil"/>
              <w:bottom w:val="nil"/>
              <w:right w:val="nil"/>
            </w:tcBorders>
            <w:shd w:val="clear" w:color="000000" w:fill="FFFFFF"/>
            <w:noWrap/>
            <w:vAlign w:val="center"/>
            <w:hideMark/>
          </w:tcPr>
          <w:p w14:paraId="594A9453" w14:textId="77777777" w:rsidR="004C31A9" w:rsidRPr="004C31A9" w:rsidRDefault="004C31A9" w:rsidP="003F7450">
            <w:pPr>
              <w:spacing w:after="0" w:line="240" w:lineRule="auto"/>
              <w:jc w:val="left"/>
              <w:rPr>
                <w:rFonts w:eastAsia="Times New Roman" w:cs="Calibri"/>
                <w:color w:val="auto"/>
                <w:sz w:val="18"/>
                <w:szCs w:val="18"/>
                <w:lang w:eastAsia="en-GB"/>
              </w:rPr>
            </w:pPr>
            <w:r w:rsidRPr="004C31A9">
              <w:rPr>
                <w:rFonts w:eastAsia="Times New Roman" w:cs="Calibri"/>
                <w:color w:val="auto"/>
                <w:sz w:val="18"/>
                <w:szCs w:val="18"/>
                <w:lang w:eastAsia="en-GB"/>
              </w:rPr>
              <w:t>Interest receivable and similar income</w:t>
            </w:r>
          </w:p>
        </w:tc>
        <w:tc>
          <w:tcPr>
            <w:tcW w:w="828" w:type="pct"/>
            <w:tcBorders>
              <w:top w:val="nil"/>
              <w:left w:val="nil"/>
              <w:bottom w:val="nil"/>
              <w:right w:val="nil"/>
            </w:tcBorders>
            <w:shd w:val="clear" w:color="000000" w:fill="CCECFF"/>
            <w:vAlign w:val="center"/>
            <w:hideMark/>
          </w:tcPr>
          <w:p w14:paraId="1D292C7D" w14:textId="77777777" w:rsidR="004C31A9" w:rsidRPr="004C31A9" w:rsidRDefault="004C31A9" w:rsidP="003F7450">
            <w:pPr>
              <w:spacing w:after="0" w:line="240" w:lineRule="auto"/>
              <w:jc w:val="right"/>
              <w:rPr>
                <w:rFonts w:eastAsia="Times New Roman" w:cs="Calibri"/>
                <w:color w:val="auto"/>
                <w:sz w:val="18"/>
                <w:szCs w:val="18"/>
                <w:lang w:eastAsia="en-GB"/>
              </w:rPr>
            </w:pPr>
            <w:r w:rsidRPr="004C31A9">
              <w:rPr>
                <w:rFonts w:eastAsia="Times New Roman" w:cs="Calibri"/>
                <w:color w:val="000000"/>
                <w:sz w:val="18"/>
                <w:szCs w:val="18"/>
                <w:lang w:eastAsia="en-GB"/>
              </w:rPr>
              <w:t>(865)</w:t>
            </w:r>
          </w:p>
        </w:tc>
      </w:tr>
      <w:tr w:rsidR="004C31A9" w:rsidRPr="004C31A9" w14:paraId="1DDCD014" w14:textId="77777777" w:rsidTr="0009479F">
        <w:trPr>
          <w:trHeight w:val="283"/>
        </w:trPr>
        <w:tc>
          <w:tcPr>
            <w:tcW w:w="828" w:type="pct"/>
            <w:tcBorders>
              <w:top w:val="single" w:sz="4" w:space="0" w:color="auto"/>
              <w:left w:val="nil"/>
              <w:bottom w:val="single" w:sz="4" w:space="0" w:color="auto"/>
              <w:right w:val="nil"/>
            </w:tcBorders>
            <w:shd w:val="clear" w:color="000000" w:fill="FFFFFF"/>
            <w:vAlign w:val="center"/>
            <w:hideMark/>
          </w:tcPr>
          <w:p w14:paraId="42D968CE" w14:textId="77777777" w:rsidR="004C31A9" w:rsidRPr="0040499F" w:rsidRDefault="004C31A9" w:rsidP="003F7450">
            <w:pPr>
              <w:spacing w:after="0" w:line="240" w:lineRule="auto"/>
              <w:jc w:val="right"/>
              <w:rPr>
                <w:rFonts w:eastAsia="Times New Roman" w:cs="Calibri"/>
                <w:b/>
                <w:bCs/>
                <w:color w:val="auto"/>
                <w:sz w:val="18"/>
                <w:szCs w:val="18"/>
                <w:lang w:eastAsia="en-GB"/>
              </w:rPr>
            </w:pPr>
            <w:r w:rsidRPr="0040499F">
              <w:rPr>
                <w:rFonts w:eastAsia="Times New Roman" w:cs="Calibri"/>
                <w:b/>
                <w:bCs/>
                <w:color w:val="auto"/>
                <w:sz w:val="18"/>
                <w:szCs w:val="18"/>
                <w:lang w:eastAsia="en-GB"/>
              </w:rPr>
              <w:t>47,540</w:t>
            </w:r>
          </w:p>
        </w:tc>
        <w:tc>
          <w:tcPr>
            <w:tcW w:w="3344" w:type="pct"/>
            <w:tcBorders>
              <w:top w:val="single" w:sz="4" w:space="0" w:color="auto"/>
              <w:left w:val="nil"/>
              <w:bottom w:val="single" w:sz="4" w:space="0" w:color="auto"/>
              <w:right w:val="nil"/>
            </w:tcBorders>
            <w:shd w:val="clear" w:color="000000" w:fill="FFFFFF"/>
            <w:noWrap/>
            <w:vAlign w:val="center"/>
            <w:hideMark/>
          </w:tcPr>
          <w:p w14:paraId="29967417" w14:textId="77777777" w:rsidR="004C31A9" w:rsidRPr="0040499F" w:rsidRDefault="004C31A9" w:rsidP="003F7450">
            <w:pPr>
              <w:spacing w:after="0" w:line="240" w:lineRule="auto"/>
              <w:jc w:val="left"/>
              <w:rPr>
                <w:rFonts w:eastAsia="Times New Roman" w:cs="Calibri"/>
                <w:b/>
                <w:bCs/>
                <w:color w:val="auto"/>
                <w:sz w:val="18"/>
                <w:szCs w:val="18"/>
                <w:lang w:eastAsia="en-GB"/>
              </w:rPr>
            </w:pPr>
            <w:r w:rsidRPr="0040499F">
              <w:rPr>
                <w:rFonts w:eastAsia="Times New Roman" w:cs="Calibri"/>
                <w:b/>
                <w:bCs/>
                <w:color w:val="auto"/>
                <w:sz w:val="18"/>
                <w:szCs w:val="18"/>
                <w:lang w:eastAsia="en-GB"/>
              </w:rPr>
              <w:t>Total</w:t>
            </w:r>
          </w:p>
        </w:tc>
        <w:tc>
          <w:tcPr>
            <w:tcW w:w="828" w:type="pct"/>
            <w:tcBorders>
              <w:top w:val="single" w:sz="4" w:space="0" w:color="auto"/>
              <w:left w:val="nil"/>
              <w:bottom w:val="single" w:sz="4" w:space="0" w:color="auto"/>
              <w:right w:val="nil"/>
            </w:tcBorders>
            <w:shd w:val="clear" w:color="000000" w:fill="CCECFF"/>
            <w:vAlign w:val="center"/>
            <w:hideMark/>
          </w:tcPr>
          <w:p w14:paraId="0BF05440" w14:textId="77777777" w:rsidR="004C31A9" w:rsidRPr="0040499F" w:rsidRDefault="004C31A9" w:rsidP="003F7450">
            <w:pPr>
              <w:spacing w:after="0" w:line="240" w:lineRule="auto"/>
              <w:jc w:val="right"/>
              <w:rPr>
                <w:rFonts w:eastAsia="Times New Roman" w:cs="Calibri"/>
                <w:b/>
                <w:bCs/>
                <w:color w:val="auto"/>
                <w:sz w:val="18"/>
                <w:szCs w:val="18"/>
                <w:lang w:eastAsia="en-GB"/>
              </w:rPr>
            </w:pPr>
            <w:r w:rsidRPr="0040499F">
              <w:rPr>
                <w:rFonts w:eastAsia="Times New Roman" w:cs="Calibri"/>
                <w:b/>
                <w:bCs/>
                <w:color w:val="auto"/>
                <w:sz w:val="18"/>
                <w:szCs w:val="18"/>
                <w:lang w:eastAsia="en-GB"/>
              </w:rPr>
              <w:t>52,052</w:t>
            </w:r>
          </w:p>
        </w:tc>
      </w:tr>
    </w:tbl>
    <w:p w14:paraId="47B17B61" w14:textId="00A3B3C1" w:rsidR="00161E23" w:rsidRPr="00354E03" w:rsidRDefault="00161E23" w:rsidP="003356AE">
      <w:pPr>
        <w:spacing w:line="240" w:lineRule="auto"/>
      </w:pPr>
    </w:p>
    <w:p w14:paraId="51772514" w14:textId="77777777" w:rsidR="008278ED" w:rsidRDefault="008278ED">
      <w:pPr>
        <w:spacing w:after="0" w:line="240" w:lineRule="auto"/>
        <w:jc w:val="left"/>
        <w:rPr>
          <w:rFonts w:asciiTheme="minorHAnsi" w:eastAsia="Times New Roman" w:hAnsiTheme="minorHAnsi" w:cs="Times New Roman"/>
          <w:b/>
          <w:bCs/>
          <w:color w:val="25316C"/>
          <w:sz w:val="24"/>
          <w:u w:val="single"/>
          <w:lang w:val="pt-BR"/>
        </w:rPr>
      </w:pPr>
      <w:bookmarkStart w:id="103" w:name="_Toc517077285"/>
      <w:bookmarkStart w:id="104" w:name="_Toc9272510"/>
      <w:bookmarkStart w:id="105" w:name="_Toc9592057"/>
      <w:r>
        <w:rPr>
          <w:lang w:val="pt-BR"/>
        </w:rPr>
        <w:br w:type="page"/>
      </w:r>
    </w:p>
    <w:p w14:paraId="6FC73F10" w14:textId="22261945" w:rsidR="002522D4" w:rsidRPr="00653D20" w:rsidRDefault="002522D4" w:rsidP="003356AE">
      <w:pPr>
        <w:pStyle w:val="NoteHeader"/>
        <w:spacing w:line="240" w:lineRule="auto"/>
        <w:rPr>
          <w:lang w:val="pt-BR"/>
        </w:rPr>
      </w:pPr>
      <w:bookmarkStart w:id="106" w:name="_Toc230858564"/>
      <w:r w:rsidRPr="00653D20">
        <w:rPr>
          <w:lang w:val="pt-BR"/>
        </w:rPr>
        <w:lastRenderedPageBreak/>
        <w:t>Note 9 - Taxation and Non-Specific Grant Income</w:t>
      </w:r>
      <w:bookmarkEnd w:id="103"/>
      <w:bookmarkEnd w:id="104"/>
      <w:bookmarkEnd w:id="105"/>
      <w:bookmarkEnd w:id="106"/>
    </w:p>
    <w:p w14:paraId="49CB3011" w14:textId="77777777" w:rsidR="002522D4" w:rsidRPr="00653D20" w:rsidRDefault="002522D4" w:rsidP="003356AE">
      <w:pPr>
        <w:spacing w:line="240" w:lineRule="auto"/>
        <w:rPr>
          <w:lang w:val="pt-BR"/>
        </w:rPr>
      </w:pPr>
    </w:p>
    <w:p w14:paraId="53355C04" w14:textId="77777777" w:rsidR="00A805A9" w:rsidRPr="00A805A9" w:rsidRDefault="00A805A9" w:rsidP="003356AE">
      <w:pPr>
        <w:spacing w:line="240" w:lineRule="auto"/>
        <w:rPr>
          <w:rFonts w:asciiTheme="minorHAnsi" w:hAnsiTheme="minorHAnsi"/>
          <w:noProof/>
          <w:color w:val="auto"/>
          <w:szCs w:val="20"/>
          <w:lang w:eastAsia="en-GB"/>
        </w:rPr>
      </w:pPr>
      <w:bookmarkStart w:id="107" w:name="_Toc517077286"/>
      <w:bookmarkStart w:id="108" w:name="_Toc9272511"/>
      <w:r w:rsidRPr="00A805A9">
        <w:rPr>
          <w:rFonts w:asciiTheme="minorHAnsi" w:hAnsiTheme="minorHAnsi"/>
          <w:noProof/>
          <w:color w:val="auto"/>
          <w:szCs w:val="20"/>
          <w:lang w:eastAsia="en-GB"/>
        </w:rPr>
        <w:t>The Chief Constable holds no balance in respect of these items. For information, please refer to Note 9 of the Office of the Police, Fire &amp; Crime Commissioner (OPFCC) Statement of Accounts.</w:t>
      </w:r>
    </w:p>
    <w:p w14:paraId="50535196" w14:textId="77777777" w:rsidR="008278ED" w:rsidRDefault="008278ED" w:rsidP="00041EFE">
      <w:bookmarkStart w:id="109" w:name="_Toc9592058"/>
    </w:p>
    <w:p w14:paraId="08DBA064" w14:textId="64AC6E36" w:rsidR="002522D4" w:rsidRPr="00653D20" w:rsidRDefault="002522D4" w:rsidP="003356AE">
      <w:pPr>
        <w:pStyle w:val="NoteHeader"/>
        <w:spacing w:line="240" w:lineRule="auto"/>
      </w:pPr>
      <w:bookmarkStart w:id="110" w:name="_Toc230858565"/>
      <w:r w:rsidRPr="00653D20">
        <w:t>Note 10 - Material Items of Income and Expense</w:t>
      </w:r>
      <w:bookmarkEnd w:id="107"/>
      <w:bookmarkEnd w:id="108"/>
      <w:bookmarkEnd w:id="109"/>
      <w:bookmarkEnd w:id="110"/>
      <w:r w:rsidRPr="00653D20">
        <w:t xml:space="preserve"> </w:t>
      </w:r>
    </w:p>
    <w:p w14:paraId="6CA4E48F" w14:textId="77777777" w:rsidR="008E12FD" w:rsidRPr="00653D20" w:rsidRDefault="008E12FD" w:rsidP="003356AE">
      <w:pPr>
        <w:spacing w:line="240" w:lineRule="auto"/>
      </w:pPr>
    </w:p>
    <w:p w14:paraId="586C1B62" w14:textId="7BDD801A" w:rsidR="00A805A9" w:rsidRPr="00A805A9" w:rsidRDefault="00A805A9" w:rsidP="003356AE">
      <w:pPr>
        <w:spacing w:line="240" w:lineRule="auto"/>
        <w:rPr>
          <w:rFonts w:asciiTheme="minorHAnsi" w:hAnsiTheme="minorHAnsi"/>
          <w:noProof/>
          <w:color w:val="auto"/>
          <w:szCs w:val="20"/>
          <w:lang w:eastAsia="en-GB"/>
        </w:rPr>
      </w:pPr>
      <w:r w:rsidRPr="00A805A9">
        <w:rPr>
          <w:rFonts w:asciiTheme="minorHAnsi" w:hAnsiTheme="minorHAnsi"/>
          <w:noProof/>
          <w:color w:val="auto"/>
          <w:szCs w:val="20"/>
          <w:lang w:eastAsia="en-GB"/>
        </w:rPr>
        <w:t xml:space="preserve">The Chief Constable holds no balance in respect of these items. For information, please refer to Note </w:t>
      </w:r>
      <w:r>
        <w:rPr>
          <w:rFonts w:asciiTheme="minorHAnsi" w:hAnsiTheme="minorHAnsi"/>
          <w:noProof/>
          <w:color w:val="auto"/>
          <w:szCs w:val="20"/>
          <w:lang w:eastAsia="en-GB"/>
        </w:rPr>
        <w:t>10</w:t>
      </w:r>
      <w:r w:rsidRPr="00A805A9">
        <w:rPr>
          <w:rFonts w:asciiTheme="minorHAnsi" w:hAnsiTheme="minorHAnsi"/>
          <w:noProof/>
          <w:color w:val="auto"/>
          <w:szCs w:val="20"/>
          <w:lang w:eastAsia="en-GB"/>
        </w:rPr>
        <w:t xml:space="preserve"> of the Office of the Police, Fire &amp; Crime Commissioner (OPFCC) Statement of Accounts.</w:t>
      </w:r>
    </w:p>
    <w:p w14:paraId="68C7DDC6" w14:textId="77777777" w:rsidR="005433C7" w:rsidRDefault="005433C7" w:rsidP="003356AE">
      <w:pPr>
        <w:spacing w:line="240" w:lineRule="auto"/>
      </w:pPr>
    </w:p>
    <w:p w14:paraId="4CCAA732" w14:textId="3CB46754" w:rsidR="005568D8" w:rsidRPr="0082082B" w:rsidRDefault="005568D8" w:rsidP="005568D8">
      <w:pPr>
        <w:pStyle w:val="NoteHeader"/>
        <w:spacing w:line="240" w:lineRule="auto"/>
      </w:pPr>
      <w:bookmarkStart w:id="111" w:name="_Toc230858566"/>
      <w:r w:rsidRPr="0082082B">
        <w:t xml:space="preserve">Note </w:t>
      </w:r>
      <w:r>
        <w:t>11</w:t>
      </w:r>
      <w:r w:rsidRPr="0082082B">
        <w:t xml:space="preserve"> - Critical Judgements in Applying Accounting Policies</w:t>
      </w:r>
      <w:bookmarkEnd w:id="111"/>
      <w:r w:rsidRPr="0082082B">
        <w:t xml:space="preserve"> </w:t>
      </w:r>
    </w:p>
    <w:p w14:paraId="157D003C" w14:textId="77777777" w:rsidR="005568D8" w:rsidRPr="0082082B" w:rsidRDefault="005568D8" w:rsidP="005568D8">
      <w:pPr>
        <w:spacing w:line="240" w:lineRule="auto"/>
      </w:pPr>
    </w:p>
    <w:p w14:paraId="777EB3D1" w14:textId="77777777" w:rsidR="005568D8" w:rsidRPr="006D16E0" w:rsidRDefault="005568D8" w:rsidP="005568D8">
      <w:pPr>
        <w:spacing w:line="240" w:lineRule="auto"/>
      </w:pPr>
      <w:r w:rsidRPr="006D16E0">
        <w:t>In applying its accounting policies, the Authority has made judgements about complex transactions and those involving uncertainty about future events.  These judgements are significant in understanding the financial statements and are set out below.</w:t>
      </w:r>
    </w:p>
    <w:p w14:paraId="52C557B4" w14:textId="77777777" w:rsidR="005568D8" w:rsidRDefault="005568D8" w:rsidP="005568D8">
      <w:pPr>
        <w:spacing w:line="240" w:lineRule="auto"/>
        <w:rPr>
          <w:sz w:val="22"/>
        </w:rPr>
      </w:pPr>
    </w:p>
    <w:p w14:paraId="77C27B1D" w14:textId="77777777" w:rsidR="005568D8" w:rsidRDefault="005568D8" w:rsidP="005568D8">
      <w:pPr>
        <w:pStyle w:val="VAHeadingLevel3"/>
        <w:spacing w:line="240" w:lineRule="auto"/>
      </w:pPr>
      <w:r w:rsidRPr="006D16E0">
        <w:t>Classification of Joint Operations</w:t>
      </w:r>
    </w:p>
    <w:p w14:paraId="7AFA08DC" w14:textId="77777777" w:rsidR="005568D8" w:rsidRDefault="005568D8" w:rsidP="005568D8">
      <w:pPr>
        <w:pStyle w:val="VAHeadingLevel3"/>
        <w:spacing w:line="240" w:lineRule="auto"/>
      </w:pPr>
    </w:p>
    <w:p w14:paraId="6532CD8A" w14:textId="77777777" w:rsidR="005568D8" w:rsidRDefault="005568D8" w:rsidP="005568D8">
      <w:pPr>
        <w:spacing w:line="240" w:lineRule="auto"/>
      </w:pPr>
      <w:r w:rsidRPr="006D16E0">
        <w:t>Following a review of the governance and operational arrangements, the Authority has concluded that joint venture activities should be recognised within the accounts of the Office of the Police, Fire and Crime Commissioner (OPFCC), rather than those of the Chief Constable.  This treatment more accurately reflects the substance and control of the arrangement.</w:t>
      </w:r>
    </w:p>
    <w:p w14:paraId="69041D71" w14:textId="77777777" w:rsidR="005568D8" w:rsidRDefault="005568D8" w:rsidP="005568D8">
      <w:pPr>
        <w:spacing w:line="240" w:lineRule="auto"/>
      </w:pPr>
    </w:p>
    <w:p w14:paraId="5DEA70FC" w14:textId="77777777" w:rsidR="005568D8" w:rsidRPr="006D16E0" w:rsidRDefault="005568D8" w:rsidP="005568D8">
      <w:pPr>
        <w:spacing w:line="240" w:lineRule="auto"/>
      </w:pPr>
      <w:r w:rsidRPr="006D16E0">
        <w:t>The Authority has reviewed the governance and operational arrangements relating to joint venture activities.  Following this review, it has been determined that these activities should be recognised within the accounts of the Office of the Police, Fire and Crime Commissioner (OPFCC), rather than in the accounts of the Chief Constable.  This treatment best reflects the substance of the arrangement and the extent to which the OPFCC exercises control.</w:t>
      </w:r>
    </w:p>
    <w:p w14:paraId="05FD53D5" w14:textId="77777777" w:rsidR="005568D8" w:rsidRPr="006D16E0" w:rsidRDefault="005568D8" w:rsidP="005568D8">
      <w:pPr>
        <w:spacing w:line="240" w:lineRule="auto"/>
      </w:pPr>
      <w:r w:rsidRPr="006D16E0">
        <w:t>Management considers participation in regional joint ventures to be a strategic commissioning decision.  The commissioning responsibility for such arrangements rests with the Police, Fire and Crime Commissioner (PFCC), not the Chief Constable.  As a result, the OPFCC is the appropriate entity to recognise and account for the associated transactions.</w:t>
      </w:r>
    </w:p>
    <w:p w14:paraId="6285D583" w14:textId="77777777" w:rsidR="005568D8" w:rsidRPr="006D16E0" w:rsidRDefault="005568D8" w:rsidP="005568D8">
      <w:pPr>
        <w:spacing w:line="240" w:lineRule="auto"/>
      </w:pPr>
      <w:r w:rsidRPr="006D16E0">
        <w:t>In addition, the legal and governance framework underpinning the joint venture requires PFCC approval for participation.  The Chief Constable does not hold delegated authority to independently enter into such arrangements.  This demonstrates that the OPFCC holds overarching control and therefore should account for the joint operations.</w:t>
      </w:r>
    </w:p>
    <w:p w14:paraId="435CF934" w14:textId="77777777" w:rsidR="005568D8" w:rsidRDefault="005568D8" w:rsidP="005568D8">
      <w:pPr>
        <w:spacing w:line="240" w:lineRule="auto"/>
      </w:pPr>
    </w:p>
    <w:p w14:paraId="60D107F8" w14:textId="77777777" w:rsidR="005568D8" w:rsidRDefault="005568D8" w:rsidP="005568D8">
      <w:pPr>
        <w:pStyle w:val="VAHeadingLevel3"/>
        <w:spacing w:line="240" w:lineRule="auto"/>
      </w:pPr>
      <w:r w:rsidRPr="006D16E0">
        <w:t>Use of OPFCC Assets and Scope of IFRS 16</w:t>
      </w:r>
    </w:p>
    <w:p w14:paraId="4E2BAB41" w14:textId="77777777" w:rsidR="005568D8" w:rsidRDefault="005568D8" w:rsidP="005568D8">
      <w:pPr>
        <w:pStyle w:val="VAHeadingLevel3"/>
        <w:spacing w:line="240" w:lineRule="auto"/>
      </w:pPr>
    </w:p>
    <w:p w14:paraId="7C55C79C" w14:textId="77777777" w:rsidR="005568D8" w:rsidRPr="006D16E0" w:rsidRDefault="005568D8" w:rsidP="005568D8">
      <w:pPr>
        <w:spacing w:line="240" w:lineRule="auto"/>
      </w:pPr>
      <w:r w:rsidRPr="006D16E0">
        <w:t>Management has exercised judgement in determining whether the Chief Constable’s use of OPFCC</w:t>
      </w:r>
      <w:r w:rsidRPr="006D16E0">
        <w:noBreakHyphen/>
        <w:t>owned assets gives rise to a lease within the scope of IFRS 16.  Although OPFCC assets are used operationally by the Chief Constable, there is no enforceable contract or agreement that conveys a legally enforceable right to use specifically identified assets.</w:t>
      </w:r>
    </w:p>
    <w:p w14:paraId="01D79433" w14:textId="77777777" w:rsidR="005568D8" w:rsidRPr="006D16E0" w:rsidRDefault="005568D8" w:rsidP="005568D8">
      <w:pPr>
        <w:spacing w:line="240" w:lineRule="auto"/>
      </w:pPr>
      <w:r w:rsidRPr="006D16E0">
        <w:t>In the absence of such an arrangement, management has concluded that the Chief Constable does not obtain the right to control the use of OPFCC assets within the meaning of IFRS 16.  Consequently, no lease is recognised in the Chief Constable’s financial statements.  The assets continue to be recognised by the OPFCC as the legal and accounting owner.</w:t>
      </w:r>
    </w:p>
    <w:p w14:paraId="56B3DA4D" w14:textId="77777777" w:rsidR="005568D8" w:rsidRDefault="005568D8" w:rsidP="003356AE">
      <w:pPr>
        <w:spacing w:line="240" w:lineRule="auto"/>
      </w:pPr>
    </w:p>
    <w:p w14:paraId="70960D01" w14:textId="77777777" w:rsidR="005433C7" w:rsidRPr="00653D20" w:rsidRDefault="005433C7" w:rsidP="003356AE">
      <w:pPr>
        <w:spacing w:line="240" w:lineRule="auto"/>
      </w:pPr>
    </w:p>
    <w:p w14:paraId="477DCC29" w14:textId="77777777" w:rsidR="002522D4" w:rsidRPr="00653D20" w:rsidRDefault="002522D4" w:rsidP="003356AE">
      <w:pPr>
        <w:pStyle w:val="NoteHeader"/>
        <w:spacing w:line="240" w:lineRule="auto"/>
        <w:rPr>
          <w:lang w:val="pt-BR"/>
        </w:rPr>
      </w:pPr>
      <w:bookmarkStart w:id="112" w:name="_Toc517077288"/>
      <w:bookmarkStart w:id="113" w:name="_Toc9272513"/>
      <w:bookmarkStart w:id="114" w:name="_Toc9592060"/>
      <w:bookmarkStart w:id="115" w:name="_Toc230858567"/>
      <w:r w:rsidRPr="00653D20">
        <w:rPr>
          <w:lang w:val="pt-BR"/>
        </w:rPr>
        <w:lastRenderedPageBreak/>
        <w:t>Note 12 - Members’ Allowances</w:t>
      </w:r>
      <w:bookmarkEnd w:id="112"/>
      <w:bookmarkEnd w:id="113"/>
      <w:bookmarkEnd w:id="114"/>
      <w:bookmarkEnd w:id="115"/>
      <w:r w:rsidRPr="00653D20">
        <w:rPr>
          <w:lang w:val="pt-BR"/>
        </w:rPr>
        <w:t xml:space="preserve"> </w:t>
      </w:r>
    </w:p>
    <w:p w14:paraId="400E10D8" w14:textId="77777777" w:rsidR="00166707" w:rsidRPr="00653D20" w:rsidRDefault="00166707" w:rsidP="003356AE">
      <w:pPr>
        <w:spacing w:line="240" w:lineRule="auto"/>
        <w:rPr>
          <w:lang w:val="pt-BR"/>
        </w:rPr>
      </w:pPr>
    </w:p>
    <w:p w14:paraId="6C19B6EE" w14:textId="1BFF9156" w:rsidR="00A805A9" w:rsidRPr="00A805A9" w:rsidRDefault="00A805A9" w:rsidP="003356AE">
      <w:pPr>
        <w:spacing w:line="240" w:lineRule="auto"/>
        <w:rPr>
          <w:rFonts w:asciiTheme="minorHAnsi" w:hAnsiTheme="minorHAnsi"/>
          <w:noProof/>
          <w:color w:val="auto"/>
          <w:szCs w:val="20"/>
          <w:lang w:eastAsia="en-GB"/>
        </w:rPr>
      </w:pPr>
      <w:r w:rsidRPr="00A805A9">
        <w:rPr>
          <w:rFonts w:asciiTheme="minorHAnsi" w:hAnsiTheme="minorHAnsi"/>
          <w:noProof/>
          <w:color w:val="auto"/>
          <w:szCs w:val="20"/>
          <w:lang w:eastAsia="en-GB"/>
        </w:rPr>
        <w:t xml:space="preserve">The Chief Constable holds no balance in respect of these items. For information, please refer to Note </w:t>
      </w:r>
      <w:r>
        <w:rPr>
          <w:rFonts w:asciiTheme="minorHAnsi" w:hAnsiTheme="minorHAnsi"/>
          <w:noProof/>
          <w:color w:val="auto"/>
          <w:szCs w:val="20"/>
          <w:lang w:eastAsia="en-GB"/>
        </w:rPr>
        <w:t>12</w:t>
      </w:r>
      <w:r w:rsidRPr="00A805A9">
        <w:rPr>
          <w:rFonts w:asciiTheme="minorHAnsi" w:hAnsiTheme="minorHAnsi"/>
          <w:noProof/>
          <w:color w:val="auto"/>
          <w:szCs w:val="20"/>
          <w:lang w:eastAsia="en-GB"/>
        </w:rPr>
        <w:t xml:space="preserve"> of the Office of the Police, Fire &amp; Crime Commissioner (OPFCC) Statement of Accounts.</w:t>
      </w:r>
    </w:p>
    <w:p w14:paraId="40F14695" w14:textId="72430C12" w:rsidR="005433C7" w:rsidRPr="00653D20" w:rsidRDefault="002522D4" w:rsidP="003356AE">
      <w:pPr>
        <w:spacing w:line="240" w:lineRule="auto"/>
        <w:rPr>
          <w:lang w:val="pt-BR"/>
        </w:rPr>
      </w:pPr>
      <w:r w:rsidRPr="00653D20">
        <w:rPr>
          <w:lang w:val="pt-BR"/>
        </w:rPr>
        <w:t xml:space="preserve"> </w:t>
      </w:r>
    </w:p>
    <w:p w14:paraId="032D9959" w14:textId="3E9AC1E3" w:rsidR="002522D4" w:rsidRPr="00653D20" w:rsidRDefault="002522D4" w:rsidP="003356AE">
      <w:pPr>
        <w:pStyle w:val="NoteHeader"/>
        <w:spacing w:line="240" w:lineRule="auto"/>
      </w:pPr>
      <w:bookmarkStart w:id="116" w:name="_Toc517077289"/>
      <w:bookmarkStart w:id="117" w:name="_Toc9272514"/>
      <w:bookmarkStart w:id="118" w:name="_Toc9592061"/>
      <w:bookmarkStart w:id="119" w:name="_Toc230858568"/>
      <w:r w:rsidRPr="00653D20">
        <w:t>Note 13 - External Audit Costs</w:t>
      </w:r>
      <w:bookmarkEnd w:id="116"/>
      <w:bookmarkEnd w:id="117"/>
      <w:bookmarkEnd w:id="118"/>
      <w:bookmarkEnd w:id="119"/>
    </w:p>
    <w:p w14:paraId="0760AF4C" w14:textId="77777777" w:rsidR="00335550" w:rsidRPr="00653D20" w:rsidRDefault="00335550" w:rsidP="003356AE">
      <w:pPr>
        <w:spacing w:line="240" w:lineRule="auto"/>
        <w:rPr>
          <w:lang w:val="pt-BR"/>
        </w:rPr>
      </w:pPr>
    </w:p>
    <w:p w14:paraId="0B28E14E" w14:textId="57D3B08B" w:rsidR="000B731D" w:rsidRDefault="000B731D" w:rsidP="003356AE">
      <w:pPr>
        <w:spacing w:line="240" w:lineRule="auto"/>
        <w:rPr>
          <w:noProof/>
        </w:rPr>
      </w:pPr>
      <w:r>
        <w:rPr>
          <w:lang w:val="pt-BR"/>
        </w:rPr>
        <w:t>The OCC</w:t>
      </w:r>
      <w:r w:rsidR="00653D20" w:rsidRPr="00653D20">
        <w:rPr>
          <w:lang w:val="pt-BR"/>
        </w:rPr>
        <w:t xml:space="preserve"> incurred direct external audit fees as fo</w:t>
      </w:r>
      <w:r>
        <w:rPr>
          <w:lang w:val="pt-BR"/>
        </w:rPr>
        <w:t xml:space="preserve">llows for </w:t>
      </w:r>
      <w:r w:rsidR="00653D20" w:rsidRPr="00653D20">
        <w:rPr>
          <w:lang w:val="pt-BR"/>
        </w:rPr>
        <w:t>audit</w:t>
      </w:r>
      <w:r w:rsidR="00653D20" w:rsidRPr="00C53A0F">
        <w:rPr>
          <w:lang w:val="pt-BR"/>
        </w:rPr>
        <w:t xml:space="preserve"> work </w:t>
      </w:r>
      <w:r>
        <w:rPr>
          <w:lang w:val="pt-BR"/>
        </w:rPr>
        <w:t>on the</w:t>
      </w:r>
      <w:r w:rsidR="00653D20" w:rsidRPr="00C53A0F">
        <w:rPr>
          <w:lang w:val="pt-BR"/>
        </w:rPr>
        <w:t xml:space="preserve"> Statement of Accounts, which is a statutory requirement.</w:t>
      </w:r>
    </w:p>
    <w:p w14:paraId="45D73D6B" w14:textId="4D66ED20" w:rsidR="006F1DE5" w:rsidRDefault="006F1DE5" w:rsidP="003356AE">
      <w:pPr>
        <w:spacing w:line="240" w:lineRule="auto"/>
        <w:rPr>
          <w:rFonts w:asciiTheme="minorHAnsi" w:hAnsiTheme="minorHAnsi"/>
          <w:color w:val="auto"/>
          <w:sz w:val="24"/>
          <w:lang w:val="en-US"/>
        </w:rPr>
      </w:pPr>
    </w:p>
    <w:tbl>
      <w:tblPr>
        <w:tblW w:w="4905" w:type="pct"/>
        <w:tblLook w:val="04A0" w:firstRow="1" w:lastRow="0" w:firstColumn="1" w:lastColumn="0" w:noHBand="0" w:noVBand="1"/>
      </w:tblPr>
      <w:tblGrid>
        <w:gridCol w:w="1474"/>
        <w:gridCol w:w="5952"/>
        <w:gridCol w:w="1474"/>
      </w:tblGrid>
      <w:tr w:rsidR="00C7252A" w:rsidRPr="00C7252A" w14:paraId="6DBE2F8C" w14:textId="77777777" w:rsidTr="0009479F">
        <w:trPr>
          <w:trHeight w:val="283"/>
        </w:trPr>
        <w:tc>
          <w:tcPr>
            <w:tcW w:w="828" w:type="pct"/>
            <w:tcBorders>
              <w:top w:val="nil"/>
              <w:left w:val="nil"/>
              <w:bottom w:val="nil"/>
              <w:right w:val="nil"/>
            </w:tcBorders>
            <w:shd w:val="clear" w:color="000000" w:fill="000099"/>
            <w:vAlign w:val="center"/>
            <w:hideMark/>
          </w:tcPr>
          <w:p w14:paraId="0DA96380" w14:textId="77777777" w:rsidR="00C7252A" w:rsidRPr="00C7252A" w:rsidRDefault="00C7252A" w:rsidP="00C7252A">
            <w:pPr>
              <w:spacing w:after="0" w:line="240" w:lineRule="auto"/>
              <w:jc w:val="center"/>
              <w:rPr>
                <w:rFonts w:eastAsia="Times New Roman" w:cs="Calibri"/>
                <w:b/>
                <w:bCs/>
                <w:color w:val="FFFFFF"/>
                <w:sz w:val="18"/>
                <w:szCs w:val="18"/>
                <w:lang w:eastAsia="en-GB"/>
              </w:rPr>
            </w:pPr>
            <w:r w:rsidRPr="00C7252A">
              <w:rPr>
                <w:rFonts w:eastAsia="Times New Roman" w:cs="Calibri"/>
                <w:b/>
                <w:bCs/>
                <w:color w:val="FFFFFF"/>
                <w:sz w:val="18"/>
                <w:szCs w:val="18"/>
                <w:lang w:eastAsia="en-GB"/>
              </w:rPr>
              <w:t>2024/25</w:t>
            </w:r>
          </w:p>
        </w:tc>
        <w:tc>
          <w:tcPr>
            <w:tcW w:w="3344" w:type="pct"/>
            <w:tcBorders>
              <w:top w:val="nil"/>
              <w:left w:val="nil"/>
              <w:bottom w:val="nil"/>
              <w:right w:val="nil"/>
            </w:tcBorders>
            <w:shd w:val="clear" w:color="000000" w:fill="000099"/>
            <w:vAlign w:val="center"/>
            <w:hideMark/>
          </w:tcPr>
          <w:p w14:paraId="365AD1DC" w14:textId="77777777" w:rsidR="00C7252A" w:rsidRPr="00C7252A" w:rsidRDefault="00C7252A" w:rsidP="00C7252A">
            <w:pPr>
              <w:spacing w:after="0" w:line="240" w:lineRule="auto"/>
              <w:jc w:val="center"/>
              <w:rPr>
                <w:rFonts w:eastAsia="Times New Roman" w:cs="Calibri"/>
                <w:b/>
                <w:bCs/>
                <w:color w:val="FFFFFF"/>
                <w:sz w:val="18"/>
                <w:szCs w:val="18"/>
                <w:lang w:eastAsia="en-GB"/>
              </w:rPr>
            </w:pPr>
            <w:r w:rsidRPr="00C7252A">
              <w:rPr>
                <w:rFonts w:eastAsia="Times New Roman" w:cs="Calibri"/>
                <w:b/>
                <w:bCs/>
                <w:color w:val="FFFFFF"/>
                <w:sz w:val="18"/>
                <w:szCs w:val="18"/>
                <w:lang w:eastAsia="en-GB"/>
              </w:rPr>
              <w:t xml:space="preserve"> </w:t>
            </w:r>
          </w:p>
        </w:tc>
        <w:tc>
          <w:tcPr>
            <w:tcW w:w="828" w:type="pct"/>
            <w:tcBorders>
              <w:top w:val="nil"/>
              <w:left w:val="nil"/>
              <w:bottom w:val="nil"/>
              <w:right w:val="nil"/>
            </w:tcBorders>
            <w:shd w:val="clear" w:color="000000" w:fill="000099"/>
            <w:vAlign w:val="center"/>
            <w:hideMark/>
          </w:tcPr>
          <w:p w14:paraId="5531ACC7" w14:textId="77777777" w:rsidR="00C7252A" w:rsidRPr="00C7252A" w:rsidRDefault="00C7252A" w:rsidP="00C7252A">
            <w:pPr>
              <w:spacing w:after="0" w:line="240" w:lineRule="auto"/>
              <w:jc w:val="center"/>
              <w:rPr>
                <w:rFonts w:eastAsia="Times New Roman" w:cs="Calibri"/>
                <w:b/>
                <w:bCs/>
                <w:color w:val="FFFFFF"/>
                <w:sz w:val="18"/>
                <w:szCs w:val="18"/>
                <w:lang w:eastAsia="en-GB"/>
              </w:rPr>
            </w:pPr>
            <w:r w:rsidRPr="00C7252A">
              <w:rPr>
                <w:rFonts w:eastAsia="Times New Roman" w:cs="Calibri"/>
                <w:b/>
                <w:bCs/>
                <w:color w:val="FFFFFF"/>
                <w:sz w:val="18"/>
                <w:szCs w:val="18"/>
                <w:lang w:eastAsia="en-GB"/>
              </w:rPr>
              <w:t>2025/26</w:t>
            </w:r>
          </w:p>
        </w:tc>
      </w:tr>
      <w:tr w:rsidR="00C7252A" w:rsidRPr="00C7252A" w14:paraId="7E7273E0" w14:textId="77777777" w:rsidTr="0009479F">
        <w:trPr>
          <w:trHeight w:val="283"/>
        </w:trPr>
        <w:tc>
          <w:tcPr>
            <w:tcW w:w="828" w:type="pct"/>
            <w:tcBorders>
              <w:top w:val="nil"/>
              <w:left w:val="nil"/>
              <w:bottom w:val="nil"/>
              <w:right w:val="nil"/>
            </w:tcBorders>
            <w:shd w:val="clear" w:color="000000" w:fill="000099"/>
            <w:vAlign w:val="center"/>
            <w:hideMark/>
          </w:tcPr>
          <w:p w14:paraId="34330539" w14:textId="77777777" w:rsidR="00C7252A" w:rsidRPr="00C7252A" w:rsidRDefault="00C7252A" w:rsidP="00C7252A">
            <w:pPr>
              <w:spacing w:after="0" w:line="240" w:lineRule="auto"/>
              <w:jc w:val="center"/>
              <w:rPr>
                <w:rFonts w:eastAsia="Times New Roman" w:cs="Calibri"/>
                <w:b/>
                <w:bCs/>
                <w:color w:val="FFFFFF"/>
                <w:sz w:val="18"/>
                <w:szCs w:val="18"/>
                <w:lang w:eastAsia="en-GB"/>
              </w:rPr>
            </w:pPr>
            <w:r w:rsidRPr="00C7252A">
              <w:rPr>
                <w:rFonts w:eastAsia="Times New Roman" w:cs="Calibri"/>
                <w:b/>
                <w:bCs/>
                <w:color w:val="FFFFFF"/>
                <w:sz w:val="18"/>
                <w:szCs w:val="18"/>
                <w:lang w:eastAsia="en-GB"/>
              </w:rPr>
              <w:t>£000</w:t>
            </w:r>
          </w:p>
        </w:tc>
        <w:tc>
          <w:tcPr>
            <w:tcW w:w="3344" w:type="pct"/>
            <w:tcBorders>
              <w:top w:val="nil"/>
              <w:left w:val="nil"/>
              <w:bottom w:val="nil"/>
              <w:right w:val="nil"/>
            </w:tcBorders>
            <w:shd w:val="clear" w:color="000000" w:fill="000099"/>
            <w:vAlign w:val="center"/>
            <w:hideMark/>
          </w:tcPr>
          <w:p w14:paraId="245C1CD2" w14:textId="77777777" w:rsidR="00C7252A" w:rsidRPr="00C7252A" w:rsidRDefault="00C7252A" w:rsidP="00C7252A">
            <w:pPr>
              <w:spacing w:after="0" w:line="240" w:lineRule="auto"/>
              <w:jc w:val="center"/>
              <w:rPr>
                <w:rFonts w:eastAsia="Times New Roman" w:cs="Calibri"/>
                <w:b/>
                <w:bCs/>
                <w:color w:val="FFFFFF"/>
                <w:sz w:val="18"/>
                <w:szCs w:val="18"/>
                <w:lang w:eastAsia="en-GB"/>
              </w:rPr>
            </w:pPr>
            <w:r w:rsidRPr="00C7252A">
              <w:rPr>
                <w:rFonts w:eastAsia="Times New Roman" w:cs="Calibri"/>
                <w:b/>
                <w:bCs/>
                <w:color w:val="FFFFFF"/>
                <w:sz w:val="18"/>
                <w:szCs w:val="18"/>
                <w:lang w:eastAsia="en-GB"/>
              </w:rPr>
              <w:t xml:space="preserve"> </w:t>
            </w:r>
          </w:p>
        </w:tc>
        <w:tc>
          <w:tcPr>
            <w:tcW w:w="828" w:type="pct"/>
            <w:tcBorders>
              <w:top w:val="nil"/>
              <w:left w:val="nil"/>
              <w:bottom w:val="nil"/>
              <w:right w:val="nil"/>
            </w:tcBorders>
            <w:shd w:val="clear" w:color="000000" w:fill="000099"/>
            <w:vAlign w:val="center"/>
            <w:hideMark/>
          </w:tcPr>
          <w:p w14:paraId="7CCA7835" w14:textId="77777777" w:rsidR="00C7252A" w:rsidRPr="00C7252A" w:rsidRDefault="00C7252A" w:rsidP="00C7252A">
            <w:pPr>
              <w:spacing w:after="0" w:line="240" w:lineRule="auto"/>
              <w:jc w:val="center"/>
              <w:rPr>
                <w:rFonts w:eastAsia="Times New Roman" w:cs="Calibri"/>
                <w:b/>
                <w:bCs/>
                <w:color w:val="FFFFFF"/>
                <w:sz w:val="18"/>
                <w:szCs w:val="18"/>
                <w:lang w:eastAsia="en-GB"/>
              </w:rPr>
            </w:pPr>
            <w:r w:rsidRPr="00C7252A">
              <w:rPr>
                <w:rFonts w:eastAsia="Times New Roman" w:cs="Calibri"/>
                <w:b/>
                <w:bCs/>
                <w:color w:val="FFFFFF"/>
                <w:sz w:val="18"/>
                <w:szCs w:val="18"/>
                <w:lang w:eastAsia="en-GB"/>
              </w:rPr>
              <w:t>£000</w:t>
            </w:r>
          </w:p>
        </w:tc>
      </w:tr>
      <w:tr w:rsidR="00C7252A" w:rsidRPr="00C7252A" w14:paraId="4EE50A30" w14:textId="77777777" w:rsidTr="0009479F">
        <w:trPr>
          <w:trHeight w:val="283"/>
        </w:trPr>
        <w:tc>
          <w:tcPr>
            <w:tcW w:w="828" w:type="pct"/>
            <w:tcBorders>
              <w:top w:val="nil"/>
              <w:left w:val="nil"/>
              <w:bottom w:val="nil"/>
              <w:right w:val="nil"/>
            </w:tcBorders>
            <w:shd w:val="clear" w:color="000000" w:fill="FFFFFF"/>
            <w:vAlign w:val="center"/>
            <w:hideMark/>
          </w:tcPr>
          <w:p w14:paraId="07D44480" w14:textId="77777777" w:rsidR="00C7252A" w:rsidRPr="00C7252A" w:rsidRDefault="00C7252A" w:rsidP="0040499F">
            <w:pPr>
              <w:spacing w:after="0" w:line="240" w:lineRule="auto"/>
              <w:jc w:val="right"/>
              <w:rPr>
                <w:rFonts w:eastAsia="Times New Roman" w:cs="Calibri"/>
                <w:color w:val="auto"/>
                <w:sz w:val="18"/>
                <w:szCs w:val="18"/>
                <w:lang w:eastAsia="en-GB"/>
              </w:rPr>
            </w:pPr>
            <w:r w:rsidRPr="00C7252A">
              <w:rPr>
                <w:rFonts w:eastAsia="Times New Roman" w:cs="Calibri"/>
                <w:color w:val="auto"/>
                <w:sz w:val="18"/>
                <w:szCs w:val="18"/>
                <w:lang w:eastAsia="en-GB"/>
              </w:rPr>
              <w:t>54</w:t>
            </w:r>
          </w:p>
        </w:tc>
        <w:tc>
          <w:tcPr>
            <w:tcW w:w="3344" w:type="pct"/>
            <w:tcBorders>
              <w:top w:val="nil"/>
              <w:left w:val="nil"/>
              <w:bottom w:val="nil"/>
              <w:right w:val="nil"/>
            </w:tcBorders>
            <w:shd w:val="clear" w:color="000000" w:fill="FFFFFF"/>
            <w:vAlign w:val="center"/>
            <w:hideMark/>
          </w:tcPr>
          <w:p w14:paraId="75549A2B" w14:textId="77777777" w:rsidR="00C7252A" w:rsidRPr="00C7252A" w:rsidRDefault="00C7252A" w:rsidP="00C7252A">
            <w:pPr>
              <w:spacing w:after="0" w:line="240" w:lineRule="auto"/>
              <w:jc w:val="left"/>
              <w:rPr>
                <w:rFonts w:eastAsia="Times New Roman" w:cs="Calibri"/>
                <w:color w:val="auto"/>
                <w:sz w:val="18"/>
                <w:szCs w:val="18"/>
                <w:lang w:eastAsia="en-GB"/>
              </w:rPr>
            </w:pPr>
            <w:r w:rsidRPr="00C7252A">
              <w:rPr>
                <w:rFonts w:eastAsia="Times New Roman" w:cs="Calibri"/>
                <w:color w:val="auto"/>
                <w:sz w:val="18"/>
                <w:szCs w:val="18"/>
                <w:lang w:eastAsia="en-GB"/>
              </w:rPr>
              <w:t xml:space="preserve">Scale fees payable to external auditors with regard to external audit services carried out by the appointed auditor for the year </w:t>
            </w:r>
          </w:p>
        </w:tc>
        <w:tc>
          <w:tcPr>
            <w:tcW w:w="828" w:type="pct"/>
            <w:tcBorders>
              <w:top w:val="nil"/>
              <w:left w:val="nil"/>
              <w:bottom w:val="nil"/>
              <w:right w:val="nil"/>
            </w:tcBorders>
            <w:shd w:val="clear" w:color="000000" w:fill="CCECFF"/>
            <w:vAlign w:val="center"/>
            <w:hideMark/>
          </w:tcPr>
          <w:p w14:paraId="49AB6240" w14:textId="77777777" w:rsidR="00C7252A" w:rsidRPr="00C7252A" w:rsidRDefault="00C7252A" w:rsidP="0040499F">
            <w:pPr>
              <w:spacing w:after="0" w:line="240" w:lineRule="auto"/>
              <w:jc w:val="right"/>
              <w:rPr>
                <w:rFonts w:eastAsia="Times New Roman" w:cs="Calibri"/>
                <w:color w:val="auto"/>
                <w:sz w:val="18"/>
                <w:szCs w:val="18"/>
                <w:lang w:eastAsia="en-GB"/>
              </w:rPr>
            </w:pPr>
            <w:r w:rsidRPr="00C7252A">
              <w:rPr>
                <w:rFonts w:eastAsia="Times New Roman" w:cs="Calibri"/>
                <w:color w:val="auto"/>
                <w:sz w:val="18"/>
                <w:szCs w:val="18"/>
                <w:lang w:eastAsia="en-GB"/>
              </w:rPr>
              <w:t>56</w:t>
            </w:r>
          </w:p>
        </w:tc>
      </w:tr>
      <w:tr w:rsidR="00C7252A" w:rsidRPr="00C7252A" w14:paraId="779E850B" w14:textId="77777777" w:rsidTr="0009479F">
        <w:trPr>
          <w:trHeight w:val="283"/>
        </w:trPr>
        <w:tc>
          <w:tcPr>
            <w:tcW w:w="828" w:type="pct"/>
            <w:tcBorders>
              <w:top w:val="single" w:sz="4" w:space="0" w:color="auto"/>
              <w:left w:val="nil"/>
              <w:bottom w:val="single" w:sz="4" w:space="0" w:color="auto"/>
              <w:right w:val="nil"/>
            </w:tcBorders>
            <w:shd w:val="clear" w:color="000000" w:fill="FFFFFF"/>
            <w:vAlign w:val="center"/>
            <w:hideMark/>
          </w:tcPr>
          <w:p w14:paraId="43C4C494" w14:textId="77777777" w:rsidR="00C7252A" w:rsidRPr="00C7252A" w:rsidRDefault="00C7252A" w:rsidP="0040499F">
            <w:pPr>
              <w:spacing w:after="0" w:line="240" w:lineRule="auto"/>
              <w:jc w:val="right"/>
              <w:rPr>
                <w:rFonts w:eastAsia="Times New Roman" w:cs="Calibri"/>
                <w:b/>
                <w:bCs/>
                <w:color w:val="auto"/>
                <w:sz w:val="18"/>
                <w:szCs w:val="18"/>
                <w:lang w:eastAsia="en-GB"/>
              </w:rPr>
            </w:pPr>
            <w:r w:rsidRPr="00C7252A">
              <w:rPr>
                <w:rFonts w:eastAsia="Times New Roman" w:cs="Calibri"/>
                <w:b/>
                <w:bCs/>
                <w:color w:val="auto"/>
                <w:sz w:val="18"/>
                <w:szCs w:val="18"/>
                <w:lang w:eastAsia="en-GB"/>
              </w:rPr>
              <w:t>54</w:t>
            </w:r>
          </w:p>
        </w:tc>
        <w:tc>
          <w:tcPr>
            <w:tcW w:w="3344" w:type="pct"/>
            <w:tcBorders>
              <w:top w:val="single" w:sz="4" w:space="0" w:color="auto"/>
              <w:left w:val="nil"/>
              <w:bottom w:val="single" w:sz="4" w:space="0" w:color="auto"/>
              <w:right w:val="nil"/>
            </w:tcBorders>
            <w:shd w:val="clear" w:color="000000" w:fill="FFFFFF"/>
            <w:noWrap/>
            <w:vAlign w:val="center"/>
            <w:hideMark/>
          </w:tcPr>
          <w:p w14:paraId="6EB6463E" w14:textId="77777777" w:rsidR="00C7252A" w:rsidRPr="00C7252A" w:rsidRDefault="00C7252A" w:rsidP="00C7252A">
            <w:pPr>
              <w:spacing w:after="0" w:line="240" w:lineRule="auto"/>
              <w:jc w:val="left"/>
              <w:rPr>
                <w:rFonts w:eastAsia="Times New Roman" w:cs="Calibri"/>
                <w:b/>
                <w:bCs/>
                <w:color w:val="auto"/>
                <w:sz w:val="18"/>
                <w:szCs w:val="18"/>
                <w:lang w:eastAsia="en-GB"/>
              </w:rPr>
            </w:pPr>
            <w:r w:rsidRPr="00C7252A">
              <w:rPr>
                <w:rFonts w:eastAsia="Times New Roman" w:cs="Calibri"/>
                <w:b/>
                <w:bCs/>
                <w:color w:val="auto"/>
                <w:sz w:val="18"/>
                <w:szCs w:val="18"/>
                <w:lang w:eastAsia="en-GB"/>
              </w:rPr>
              <w:t>Total</w:t>
            </w:r>
          </w:p>
        </w:tc>
        <w:tc>
          <w:tcPr>
            <w:tcW w:w="828" w:type="pct"/>
            <w:tcBorders>
              <w:top w:val="single" w:sz="4" w:space="0" w:color="auto"/>
              <w:left w:val="nil"/>
              <w:bottom w:val="single" w:sz="4" w:space="0" w:color="auto"/>
              <w:right w:val="nil"/>
            </w:tcBorders>
            <w:shd w:val="clear" w:color="000000" w:fill="CCECFF"/>
            <w:vAlign w:val="center"/>
            <w:hideMark/>
          </w:tcPr>
          <w:p w14:paraId="61B1A89D" w14:textId="77777777" w:rsidR="00C7252A" w:rsidRPr="00C7252A" w:rsidRDefault="00C7252A" w:rsidP="0040499F">
            <w:pPr>
              <w:spacing w:after="0" w:line="240" w:lineRule="auto"/>
              <w:jc w:val="right"/>
              <w:rPr>
                <w:rFonts w:eastAsia="Times New Roman" w:cs="Calibri"/>
                <w:b/>
                <w:bCs/>
                <w:color w:val="auto"/>
                <w:sz w:val="18"/>
                <w:szCs w:val="18"/>
                <w:lang w:eastAsia="en-GB"/>
              </w:rPr>
            </w:pPr>
            <w:r w:rsidRPr="00C7252A">
              <w:rPr>
                <w:rFonts w:eastAsia="Times New Roman" w:cs="Calibri"/>
                <w:b/>
                <w:bCs/>
                <w:color w:val="auto"/>
                <w:sz w:val="18"/>
                <w:szCs w:val="18"/>
                <w:lang w:eastAsia="en-GB"/>
              </w:rPr>
              <w:t>56</w:t>
            </w:r>
          </w:p>
        </w:tc>
      </w:tr>
    </w:tbl>
    <w:p w14:paraId="4A46E97F" w14:textId="79639323" w:rsidR="00691323" w:rsidRDefault="00691323" w:rsidP="003356AE">
      <w:pPr>
        <w:spacing w:line="240" w:lineRule="auto"/>
        <w:jc w:val="left"/>
        <w:rPr>
          <w:rFonts w:asciiTheme="minorHAnsi" w:eastAsia="Times New Roman" w:hAnsiTheme="minorHAnsi" w:cs="Times New Roman"/>
          <w:b/>
          <w:bCs/>
          <w:color w:val="25316C"/>
          <w:sz w:val="24"/>
          <w:u w:val="single"/>
        </w:rPr>
      </w:pPr>
      <w:bookmarkStart w:id="120" w:name="_Toc517077290"/>
      <w:bookmarkStart w:id="121" w:name="_Toc9272515"/>
      <w:bookmarkStart w:id="122" w:name="_Toc9592062"/>
    </w:p>
    <w:p w14:paraId="3EA9DBF3" w14:textId="0E81C14A" w:rsidR="0058193A" w:rsidRPr="00087660" w:rsidRDefault="002522D4" w:rsidP="003356AE">
      <w:pPr>
        <w:pStyle w:val="NoteHeader"/>
        <w:spacing w:line="240" w:lineRule="auto"/>
      </w:pPr>
      <w:bookmarkStart w:id="123" w:name="_Toc230858569"/>
      <w:r w:rsidRPr="00653D20">
        <w:t>Note 14 - Grant Income</w:t>
      </w:r>
      <w:bookmarkEnd w:id="120"/>
      <w:bookmarkEnd w:id="121"/>
      <w:bookmarkEnd w:id="122"/>
      <w:bookmarkEnd w:id="123"/>
    </w:p>
    <w:p w14:paraId="365AF55B" w14:textId="7CEB2EDB" w:rsidR="006F1DE5" w:rsidRDefault="006F1DE5" w:rsidP="003356AE">
      <w:pPr>
        <w:spacing w:line="240" w:lineRule="auto"/>
        <w:rPr>
          <w:rFonts w:asciiTheme="minorHAnsi" w:hAnsiTheme="minorHAnsi"/>
          <w:color w:val="auto"/>
          <w:sz w:val="24"/>
          <w:lang w:val="en-US"/>
        </w:rPr>
      </w:pPr>
    </w:p>
    <w:p w14:paraId="22E4A31C" w14:textId="7FDE3636" w:rsidR="006A03F4" w:rsidRDefault="002B6C81" w:rsidP="003356AE">
      <w:pPr>
        <w:spacing w:line="240" w:lineRule="auto"/>
      </w:pPr>
      <w:r w:rsidRPr="002B6C81">
        <w:t>The O</w:t>
      </w:r>
      <w:r>
        <w:t>CC</w:t>
      </w:r>
      <w:r w:rsidRPr="002B6C81">
        <w:t xml:space="preserve"> credited the following grants, contributions and donations to the Comprehensive Income and Expenditure Statement. </w:t>
      </w:r>
    </w:p>
    <w:p w14:paraId="364B1963" w14:textId="77777777" w:rsidR="00B33E6F" w:rsidRDefault="00B33E6F" w:rsidP="003356AE">
      <w:pPr>
        <w:spacing w:line="240" w:lineRule="auto"/>
      </w:pPr>
    </w:p>
    <w:p w14:paraId="21E8B2C5" w14:textId="258CA65C" w:rsidR="002B6C81" w:rsidRDefault="008320D2" w:rsidP="003356AE">
      <w:pPr>
        <w:spacing w:line="240" w:lineRule="auto"/>
      </w:pPr>
      <w:r>
        <w:t xml:space="preserve">There is no </w:t>
      </w:r>
      <w:r w:rsidR="004558D0">
        <w:t>g</w:t>
      </w:r>
      <w:r w:rsidR="002B6C81" w:rsidRPr="002B6C81">
        <w:t xml:space="preserve">rant </w:t>
      </w:r>
      <w:r w:rsidR="004558D0">
        <w:t>i</w:t>
      </w:r>
      <w:r w:rsidR="002B6C81" w:rsidRPr="002B6C81">
        <w:t xml:space="preserve">ncome </w:t>
      </w:r>
      <w:r w:rsidR="004558D0">
        <w:t>c</w:t>
      </w:r>
      <w:r w:rsidR="002B6C81" w:rsidRPr="002B6C81">
        <w:t xml:space="preserve">redited to </w:t>
      </w:r>
      <w:r w:rsidR="004558D0">
        <w:t>t</w:t>
      </w:r>
      <w:r w:rsidR="002B6C81" w:rsidRPr="002B6C81">
        <w:t xml:space="preserve">axation and </w:t>
      </w:r>
      <w:r w:rsidR="004558D0">
        <w:t>n</w:t>
      </w:r>
      <w:r w:rsidR="002B6C81" w:rsidRPr="002B6C81">
        <w:t>on-</w:t>
      </w:r>
      <w:r w:rsidR="004558D0">
        <w:t>s</w:t>
      </w:r>
      <w:r w:rsidR="002B6C81" w:rsidRPr="002B6C81">
        <w:t xml:space="preserve">pecific </w:t>
      </w:r>
      <w:r w:rsidR="004558D0">
        <w:t>g</w:t>
      </w:r>
      <w:r w:rsidR="002B6C81" w:rsidRPr="002B6C81">
        <w:t xml:space="preserve">rant </w:t>
      </w:r>
      <w:r w:rsidR="004558D0">
        <w:t>i</w:t>
      </w:r>
      <w:r w:rsidR="002B6C81" w:rsidRPr="002B6C81">
        <w:t xml:space="preserve">ncome and </w:t>
      </w:r>
      <w:r w:rsidR="004558D0">
        <w:t>e</w:t>
      </w:r>
      <w:r w:rsidR="002B6C81" w:rsidRPr="002B6C81">
        <w:t>xpendit</w:t>
      </w:r>
      <w:r w:rsidR="002B6C81">
        <w:t>ure</w:t>
      </w:r>
      <w:r w:rsidR="004558D0">
        <w:t>.</w:t>
      </w:r>
    </w:p>
    <w:p w14:paraId="4457936D" w14:textId="1F3CB203" w:rsidR="004558D0" w:rsidRDefault="004558D0">
      <w:pPr>
        <w:spacing w:after="0" w:line="240" w:lineRule="auto"/>
        <w:jc w:val="left"/>
      </w:pPr>
    </w:p>
    <w:p w14:paraId="3FD01A30" w14:textId="4498A5B7" w:rsidR="006B53F4" w:rsidRPr="002B6C81" w:rsidRDefault="006B53F4" w:rsidP="003356AE">
      <w:pPr>
        <w:pStyle w:val="VAHeadingLevel3"/>
        <w:spacing w:line="240" w:lineRule="auto"/>
        <w:rPr>
          <w:color w:val="000000" w:themeColor="text1"/>
        </w:rPr>
      </w:pPr>
      <w:r>
        <w:t xml:space="preserve">Credited to </w:t>
      </w:r>
      <w:r w:rsidR="006E4232">
        <w:t>Services</w:t>
      </w:r>
    </w:p>
    <w:p w14:paraId="44C1AFCF" w14:textId="77777777" w:rsidR="002B6C81" w:rsidRDefault="002B6C81" w:rsidP="003356AE">
      <w:pPr>
        <w:spacing w:line="240" w:lineRule="auto"/>
        <w:rPr>
          <w:rFonts w:asciiTheme="minorHAnsi" w:hAnsiTheme="minorHAnsi"/>
          <w:color w:val="auto"/>
          <w:sz w:val="24"/>
          <w:lang w:val="en-US"/>
        </w:rPr>
      </w:pPr>
    </w:p>
    <w:tbl>
      <w:tblPr>
        <w:tblW w:w="4904" w:type="pct"/>
        <w:tblLook w:val="04A0" w:firstRow="1" w:lastRow="0" w:firstColumn="1" w:lastColumn="0" w:noHBand="0" w:noVBand="1"/>
      </w:tblPr>
      <w:tblGrid>
        <w:gridCol w:w="1475"/>
        <w:gridCol w:w="5955"/>
        <w:gridCol w:w="1468"/>
      </w:tblGrid>
      <w:tr w:rsidR="00BD126B" w:rsidRPr="00BD126B" w14:paraId="2F0BE55E" w14:textId="77777777" w:rsidTr="0009479F">
        <w:trPr>
          <w:trHeight w:val="283"/>
        </w:trPr>
        <w:tc>
          <w:tcPr>
            <w:tcW w:w="829" w:type="pct"/>
            <w:tcBorders>
              <w:top w:val="nil"/>
              <w:left w:val="nil"/>
              <w:bottom w:val="nil"/>
              <w:right w:val="nil"/>
            </w:tcBorders>
            <w:shd w:val="clear" w:color="000000" w:fill="000099"/>
            <w:vAlign w:val="center"/>
            <w:hideMark/>
          </w:tcPr>
          <w:p w14:paraId="46CCB3BB" w14:textId="77777777" w:rsidR="00BD126B" w:rsidRPr="00BD126B" w:rsidRDefault="00BD126B" w:rsidP="00BD126B">
            <w:pPr>
              <w:spacing w:after="0" w:line="240" w:lineRule="auto"/>
              <w:jc w:val="center"/>
              <w:rPr>
                <w:rFonts w:eastAsia="Times New Roman" w:cs="Calibri"/>
                <w:b/>
                <w:bCs/>
                <w:color w:val="FFFFFF"/>
                <w:sz w:val="18"/>
                <w:szCs w:val="18"/>
                <w:lang w:eastAsia="en-GB"/>
              </w:rPr>
            </w:pPr>
            <w:r w:rsidRPr="00BD126B">
              <w:rPr>
                <w:rFonts w:eastAsia="Times New Roman" w:cs="Calibri"/>
                <w:b/>
                <w:bCs/>
                <w:color w:val="FFFFFF"/>
                <w:sz w:val="18"/>
                <w:szCs w:val="18"/>
                <w:lang w:eastAsia="en-GB"/>
              </w:rPr>
              <w:t>2024/25</w:t>
            </w:r>
          </w:p>
        </w:tc>
        <w:tc>
          <w:tcPr>
            <w:tcW w:w="3346" w:type="pct"/>
            <w:tcBorders>
              <w:top w:val="nil"/>
              <w:left w:val="nil"/>
              <w:bottom w:val="nil"/>
              <w:right w:val="nil"/>
            </w:tcBorders>
            <w:shd w:val="clear" w:color="000000" w:fill="000099"/>
            <w:vAlign w:val="center"/>
            <w:hideMark/>
          </w:tcPr>
          <w:p w14:paraId="3617E354" w14:textId="77777777" w:rsidR="00BD126B" w:rsidRPr="00BD126B" w:rsidRDefault="00BD126B" w:rsidP="00BD126B">
            <w:pPr>
              <w:spacing w:after="0" w:line="240" w:lineRule="auto"/>
              <w:jc w:val="center"/>
              <w:rPr>
                <w:rFonts w:eastAsia="Times New Roman" w:cs="Calibri"/>
                <w:b/>
                <w:bCs/>
                <w:color w:val="FFFFFF"/>
                <w:sz w:val="18"/>
                <w:szCs w:val="18"/>
                <w:lang w:eastAsia="en-GB"/>
              </w:rPr>
            </w:pPr>
            <w:r w:rsidRPr="00BD126B">
              <w:rPr>
                <w:rFonts w:eastAsia="Times New Roman" w:cs="Calibri"/>
                <w:b/>
                <w:bCs/>
                <w:color w:val="FFFFFF"/>
                <w:sz w:val="18"/>
                <w:szCs w:val="18"/>
                <w:lang w:eastAsia="en-GB"/>
              </w:rPr>
              <w:t xml:space="preserve"> </w:t>
            </w:r>
          </w:p>
        </w:tc>
        <w:tc>
          <w:tcPr>
            <w:tcW w:w="826" w:type="pct"/>
            <w:tcBorders>
              <w:top w:val="nil"/>
              <w:left w:val="nil"/>
              <w:bottom w:val="nil"/>
              <w:right w:val="nil"/>
            </w:tcBorders>
            <w:shd w:val="clear" w:color="000000" w:fill="000099"/>
            <w:vAlign w:val="center"/>
            <w:hideMark/>
          </w:tcPr>
          <w:p w14:paraId="4D78D18D" w14:textId="77777777" w:rsidR="00BD126B" w:rsidRPr="00BD126B" w:rsidRDefault="00BD126B" w:rsidP="00BD126B">
            <w:pPr>
              <w:spacing w:after="0" w:line="240" w:lineRule="auto"/>
              <w:jc w:val="center"/>
              <w:rPr>
                <w:rFonts w:eastAsia="Times New Roman" w:cs="Calibri"/>
                <w:b/>
                <w:bCs/>
                <w:color w:val="FFFFFF"/>
                <w:sz w:val="18"/>
                <w:szCs w:val="18"/>
                <w:lang w:eastAsia="en-GB"/>
              </w:rPr>
            </w:pPr>
            <w:r w:rsidRPr="00BD126B">
              <w:rPr>
                <w:rFonts w:eastAsia="Times New Roman" w:cs="Calibri"/>
                <w:b/>
                <w:bCs/>
                <w:color w:val="FFFFFF"/>
                <w:sz w:val="18"/>
                <w:szCs w:val="18"/>
                <w:lang w:eastAsia="en-GB"/>
              </w:rPr>
              <w:t>2025/26</w:t>
            </w:r>
          </w:p>
        </w:tc>
      </w:tr>
      <w:tr w:rsidR="00BD126B" w:rsidRPr="00BD126B" w14:paraId="6ECFCA59" w14:textId="77777777" w:rsidTr="0009479F">
        <w:trPr>
          <w:trHeight w:val="283"/>
        </w:trPr>
        <w:tc>
          <w:tcPr>
            <w:tcW w:w="829" w:type="pct"/>
            <w:tcBorders>
              <w:top w:val="nil"/>
              <w:left w:val="nil"/>
              <w:bottom w:val="nil"/>
              <w:right w:val="nil"/>
            </w:tcBorders>
            <w:shd w:val="clear" w:color="000000" w:fill="000099"/>
            <w:vAlign w:val="center"/>
            <w:hideMark/>
          </w:tcPr>
          <w:p w14:paraId="766B0423" w14:textId="77777777" w:rsidR="00BD126B" w:rsidRPr="00BD126B" w:rsidRDefault="00BD126B" w:rsidP="00BD126B">
            <w:pPr>
              <w:spacing w:after="0" w:line="240" w:lineRule="auto"/>
              <w:jc w:val="center"/>
              <w:rPr>
                <w:rFonts w:eastAsia="Times New Roman" w:cs="Calibri"/>
                <w:b/>
                <w:bCs/>
                <w:color w:val="FFFFFF"/>
                <w:sz w:val="18"/>
                <w:szCs w:val="18"/>
                <w:lang w:eastAsia="en-GB"/>
              </w:rPr>
            </w:pPr>
            <w:r w:rsidRPr="00BD126B">
              <w:rPr>
                <w:rFonts w:eastAsia="Times New Roman" w:cs="Calibri"/>
                <w:b/>
                <w:bCs/>
                <w:color w:val="FFFFFF"/>
                <w:sz w:val="18"/>
                <w:szCs w:val="18"/>
                <w:lang w:eastAsia="en-GB"/>
              </w:rPr>
              <w:t>£000</w:t>
            </w:r>
          </w:p>
        </w:tc>
        <w:tc>
          <w:tcPr>
            <w:tcW w:w="3346" w:type="pct"/>
            <w:tcBorders>
              <w:top w:val="nil"/>
              <w:left w:val="nil"/>
              <w:bottom w:val="nil"/>
              <w:right w:val="nil"/>
            </w:tcBorders>
            <w:shd w:val="clear" w:color="000000" w:fill="000099"/>
            <w:vAlign w:val="center"/>
            <w:hideMark/>
          </w:tcPr>
          <w:p w14:paraId="028AAD60" w14:textId="77777777" w:rsidR="00BD126B" w:rsidRPr="00BD126B" w:rsidRDefault="00BD126B" w:rsidP="00BD126B">
            <w:pPr>
              <w:spacing w:after="0" w:line="240" w:lineRule="auto"/>
              <w:jc w:val="center"/>
              <w:rPr>
                <w:rFonts w:eastAsia="Times New Roman" w:cs="Calibri"/>
                <w:b/>
                <w:bCs/>
                <w:color w:val="FFFFFF"/>
                <w:sz w:val="18"/>
                <w:szCs w:val="18"/>
                <w:lang w:eastAsia="en-GB"/>
              </w:rPr>
            </w:pPr>
            <w:r w:rsidRPr="00BD126B">
              <w:rPr>
                <w:rFonts w:eastAsia="Times New Roman" w:cs="Calibri"/>
                <w:b/>
                <w:bCs/>
                <w:color w:val="FFFFFF"/>
                <w:sz w:val="18"/>
                <w:szCs w:val="18"/>
                <w:lang w:eastAsia="en-GB"/>
              </w:rPr>
              <w:t xml:space="preserve"> </w:t>
            </w:r>
          </w:p>
        </w:tc>
        <w:tc>
          <w:tcPr>
            <w:tcW w:w="826" w:type="pct"/>
            <w:tcBorders>
              <w:top w:val="nil"/>
              <w:left w:val="nil"/>
              <w:bottom w:val="nil"/>
              <w:right w:val="nil"/>
            </w:tcBorders>
            <w:shd w:val="clear" w:color="000000" w:fill="000099"/>
            <w:vAlign w:val="center"/>
            <w:hideMark/>
          </w:tcPr>
          <w:p w14:paraId="1D29FCB1" w14:textId="77777777" w:rsidR="00BD126B" w:rsidRPr="00BD126B" w:rsidRDefault="00BD126B" w:rsidP="00BD126B">
            <w:pPr>
              <w:spacing w:after="0" w:line="240" w:lineRule="auto"/>
              <w:jc w:val="center"/>
              <w:rPr>
                <w:rFonts w:eastAsia="Times New Roman" w:cs="Calibri"/>
                <w:b/>
                <w:bCs/>
                <w:color w:val="FFFFFF"/>
                <w:sz w:val="18"/>
                <w:szCs w:val="18"/>
                <w:lang w:eastAsia="en-GB"/>
              </w:rPr>
            </w:pPr>
            <w:r w:rsidRPr="00BD126B">
              <w:rPr>
                <w:rFonts w:eastAsia="Times New Roman" w:cs="Calibri"/>
                <w:b/>
                <w:bCs/>
                <w:color w:val="FFFFFF"/>
                <w:sz w:val="18"/>
                <w:szCs w:val="18"/>
                <w:lang w:eastAsia="en-GB"/>
              </w:rPr>
              <w:t>£000</w:t>
            </w:r>
          </w:p>
        </w:tc>
      </w:tr>
      <w:tr w:rsidR="00BD126B" w:rsidRPr="00BD126B" w14:paraId="5A4C2ADA" w14:textId="77777777" w:rsidTr="0009479F">
        <w:trPr>
          <w:trHeight w:val="283"/>
        </w:trPr>
        <w:tc>
          <w:tcPr>
            <w:tcW w:w="829" w:type="pct"/>
            <w:tcBorders>
              <w:top w:val="nil"/>
              <w:left w:val="nil"/>
              <w:bottom w:val="nil"/>
              <w:right w:val="nil"/>
            </w:tcBorders>
            <w:shd w:val="clear" w:color="000000" w:fill="FFFFFF"/>
            <w:vAlign w:val="center"/>
            <w:hideMark/>
          </w:tcPr>
          <w:p w14:paraId="3492A414"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(16,635)</w:t>
            </w:r>
          </w:p>
        </w:tc>
        <w:tc>
          <w:tcPr>
            <w:tcW w:w="3346" w:type="pct"/>
            <w:tcBorders>
              <w:top w:val="nil"/>
              <w:left w:val="nil"/>
              <w:bottom w:val="nil"/>
              <w:right w:val="nil"/>
            </w:tcBorders>
            <w:shd w:val="clear" w:color="000000" w:fill="FFFFFF"/>
            <w:noWrap/>
            <w:vAlign w:val="center"/>
            <w:hideMark/>
          </w:tcPr>
          <w:p w14:paraId="78AD74E5"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Pension Top Up Grant</w:t>
            </w:r>
          </w:p>
        </w:tc>
        <w:tc>
          <w:tcPr>
            <w:tcW w:w="826" w:type="pct"/>
            <w:tcBorders>
              <w:top w:val="nil"/>
              <w:left w:val="nil"/>
              <w:bottom w:val="nil"/>
              <w:right w:val="nil"/>
            </w:tcBorders>
            <w:shd w:val="clear" w:color="000000" w:fill="CCECFF"/>
            <w:vAlign w:val="center"/>
            <w:hideMark/>
          </w:tcPr>
          <w:p w14:paraId="316A6908"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(16,844)</w:t>
            </w:r>
          </w:p>
        </w:tc>
      </w:tr>
      <w:tr w:rsidR="00BD126B" w:rsidRPr="00BD126B" w14:paraId="1E1F5EB0" w14:textId="77777777" w:rsidTr="0009479F">
        <w:trPr>
          <w:trHeight w:val="283"/>
        </w:trPr>
        <w:tc>
          <w:tcPr>
            <w:tcW w:w="829" w:type="pct"/>
            <w:tcBorders>
              <w:top w:val="nil"/>
              <w:left w:val="nil"/>
              <w:bottom w:val="nil"/>
              <w:right w:val="nil"/>
            </w:tcBorders>
            <w:shd w:val="clear" w:color="000000" w:fill="FFFFFF"/>
            <w:vAlign w:val="center"/>
            <w:hideMark/>
          </w:tcPr>
          <w:p w14:paraId="3714C9F5"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(4,547)</w:t>
            </w:r>
          </w:p>
        </w:tc>
        <w:tc>
          <w:tcPr>
            <w:tcW w:w="3346" w:type="pct"/>
            <w:tcBorders>
              <w:top w:val="nil"/>
              <w:left w:val="nil"/>
              <w:bottom w:val="nil"/>
              <w:right w:val="nil"/>
            </w:tcBorders>
            <w:shd w:val="clear" w:color="000000" w:fill="FFFFFF"/>
            <w:noWrap/>
            <w:vAlign w:val="center"/>
            <w:hideMark/>
          </w:tcPr>
          <w:p w14:paraId="339490E6"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Pensions Grant</w:t>
            </w:r>
          </w:p>
        </w:tc>
        <w:tc>
          <w:tcPr>
            <w:tcW w:w="826" w:type="pct"/>
            <w:tcBorders>
              <w:top w:val="nil"/>
              <w:left w:val="nil"/>
              <w:bottom w:val="nil"/>
              <w:right w:val="nil"/>
            </w:tcBorders>
            <w:shd w:val="clear" w:color="000000" w:fill="CCECFF"/>
            <w:vAlign w:val="center"/>
            <w:hideMark/>
          </w:tcPr>
          <w:p w14:paraId="658799AD"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auto"/>
                <w:sz w:val="18"/>
                <w:szCs w:val="18"/>
                <w:lang w:eastAsia="en-GB"/>
              </w:rPr>
              <w:t>-</w:t>
            </w:r>
          </w:p>
        </w:tc>
      </w:tr>
      <w:tr w:rsidR="00BD126B" w:rsidRPr="00BD126B" w14:paraId="2CF3A026" w14:textId="77777777" w:rsidTr="0009479F">
        <w:trPr>
          <w:trHeight w:val="283"/>
        </w:trPr>
        <w:tc>
          <w:tcPr>
            <w:tcW w:w="829" w:type="pct"/>
            <w:tcBorders>
              <w:top w:val="nil"/>
              <w:left w:val="nil"/>
              <w:bottom w:val="nil"/>
              <w:right w:val="nil"/>
            </w:tcBorders>
            <w:shd w:val="clear" w:color="000000" w:fill="FFFFFF"/>
            <w:vAlign w:val="center"/>
            <w:hideMark/>
          </w:tcPr>
          <w:p w14:paraId="34803B70"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(3,934)</w:t>
            </w:r>
          </w:p>
        </w:tc>
        <w:tc>
          <w:tcPr>
            <w:tcW w:w="3346" w:type="pct"/>
            <w:tcBorders>
              <w:top w:val="nil"/>
              <w:left w:val="nil"/>
              <w:bottom w:val="nil"/>
              <w:right w:val="nil"/>
            </w:tcBorders>
            <w:shd w:val="clear" w:color="000000" w:fill="FFFFFF"/>
            <w:noWrap/>
            <w:vAlign w:val="center"/>
            <w:hideMark/>
          </w:tcPr>
          <w:p w14:paraId="367505B0"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Uplift Grant</w:t>
            </w:r>
          </w:p>
        </w:tc>
        <w:tc>
          <w:tcPr>
            <w:tcW w:w="826" w:type="pct"/>
            <w:tcBorders>
              <w:top w:val="nil"/>
              <w:left w:val="nil"/>
              <w:bottom w:val="nil"/>
              <w:right w:val="nil"/>
            </w:tcBorders>
            <w:shd w:val="clear" w:color="000000" w:fill="CCECFF"/>
            <w:vAlign w:val="center"/>
            <w:hideMark/>
          </w:tcPr>
          <w:p w14:paraId="42680E26"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(2,846)</w:t>
            </w:r>
          </w:p>
        </w:tc>
      </w:tr>
      <w:tr w:rsidR="00BD126B" w:rsidRPr="00BD126B" w14:paraId="53D3D606" w14:textId="77777777" w:rsidTr="0009479F">
        <w:trPr>
          <w:trHeight w:val="283"/>
        </w:trPr>
        <w:tc>
          <w:tcPr>
            <w:tcW w:w="829" w:type="pct"/>
            <w:tcBorders>
              <w:top w:val="nil"/>
              <w:left w:val="nil"/>
              <w:bottom w:val="nil"/>
              <w:right w:val="nil"/>
            </w:tcBorders>
            <w:shd w:val="clear" w:color="000000" w:fill="FFFFFF"/>
            <w:vAlign w:val="center"/>
            <w:hideMark/>
          </w:tcPr>
          <w:p w14:paraId="19538B34"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auto"/>
                <w:sz w:val="18"/>
                <w:szCs w:val="18"/>
                <w:lang w:eastAsia="en-GB"/>
              </w:rPr>
              <w:t>-</w:t>
            </w:r>
          </w:p>
        </w:tc>
        <w:tc>
          <w:tcPr>
            <w:tcW w:w="3346" w:type="pct"/>
            <w:tcBorders>
              <w:top w:val="nil"/>
              <w:left w:val="nil"/>
              <w:bottom w:val="nil"/>
              <w:right w:val="nil"/>
            </w:tcBorders>
            <w:shd w:val="clear" w:color="000000" w:fill="FFFFFF"/>
            <w:noWrap/>
            <w:vAlign w:val="center"/>
            <w:hideMark/>
          </w:tcPr>
          <w:p w14:paraId="3510029D"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AME Pensions Grant</w:t>
            </w:r>
          </w:p>
        </w:tc>
        <w:tc>
          <w:tcPr>
            <w:tcW w:w="826" w:type="pct"/>
            <w:tcBorders>
              <w:top w:val="nil"/>
              <w:left w:val="nil"/>
              <w:bottom w:val="nil"/>
              <w:right w:val="nil"/>
            </w:tcBorders>
            <w:shd w:val="clear" w:color="000000" w:fill="CCECFF"/>
            <w:vAlign w:val="center"/>
            <w:hideMark/>
          </w:tcPr>
          <w:p w14:paraId="424107C5"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(564)</w:t>
            </w:r>
          </w:p>
        </w:tc>
      </w:tr>
      <w:tr w:rsidR="00BD126B" w:rsidRPr="00BD126B" w14:paraId="09C1BCB4" w14:textId="77777777" w:rsidTr="0009479F">
        <w:trPr>
          <w:trHeight w:val="283"/>
        </w:trPr>
        <w:tc>
          <w:tcPr>
            <w:tcW w:w="829" w:type="pct"/>
            <w:tcBorders>
              <w:top w:val="nil"/>
              <w:left w:val="nil"/>
              <w:bottom w:val="nil"/>
              <w:right w:val="nil"/>
            </w:tcBorders>
            <w:shd w:val="clear" w:color="000000" w:fill="FFFFFF"/>
            <w:vAlign w:val="center"/>
            <w:hideMark/>
          </w:tcPr>
          <w:p w14:paraId="00C68CA2"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(1,561)</w:t>
            </w:r>
          </w:p>
        </w:tc>
        <w:tc>
          <w:tcPr>
            <w:tcW w:w="3346" w:type="pct"/>
            <w:tcBorders>
              <w:top w:val="nil"/>
              <w:left w:val="nil"/>
              <w:bottom w:val="nil"/>
              <w:right w:val="nil"/>
            </w:tcBorders>
            <w:shd w:val="clear" w:color="000000" w:fill="FFFFFF"/>
            <w:noWrap/>
            <w:vAlign w:val="center"/>
            <w:hideMark/>
          </w:tcPr>
          <w:p w14:paraId="5C0DDE45"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Pay Award Grant</w:t>
            </w:r>
          </w:p>
        </w:tc>
        <w:tc>
          <w:tcPr>
            <w:tcW w:w="826" w:type="pct"/>
            <w:tcBorders>
              <w:top w:val="nil"/>
              <w:left w:val="nil"/>
              <w:bottom w:val="nil"/>
              <w:right w:val="nil"/>
            </w:tcBorders>
            <w:shd w:val="clear" w:color="000000" w:fill="CCECFF"/>
            <w:vAlign w:val="center"/>
            <w:hideMark/>
          </w:tcPr>
          <w:p w14:paraId="1B14D87C"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(1,144)</w:t>
            </w:r>
          </w:p>
        </w:tc>
      </w:tr>
      <w:tr w:rsidR="00BD126B" w:rsidRPr="00BD126B" w14:paraId="1DAD7E48" w14:textId="77777777" w:rsidTr="0009479F">
        <w:trPr>
          <w:trHeight w:val="283"/>
        </w:trPr>
        <w:tc>
          <w:tcPr>
            <w:tcW w:w="829" w:type="pct"/>
            <w:tcBorders>
              <w:top w:val="nil"/>
              <w:left w:val="nil"/>
              <w:bottom w:val="nil"/>
              <w:right w:val="nil"/>
            </w:tcBorders>
            <w:shd w:val="clear" w:color="000000" w:fill="FFFFFF"/>
            <w:vAlign w:val="center"/>
            <w:hideMark/>
          </w:tcPr>
          <w:p w14:paraId="68710CF2"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(1,421)</w:t>
            </w:r>
          </w:p>
        </w:tc>
        <w:tc>
          <w:tcPr>
            <w:tcW w:w="3346" w:type="pct"/>
            <w:tcBorders>
              <w:top w:val="nil"/>
              <w:left w:val="nil"/>
              <w:bottom w:val="nil"/>
              <w:right w:val="nil"/>
            </w:tcBorders>
            <w:shd w:val="clear" w:color="000000" w:fill="FFFFFF"/>
            <w:vAlign w:val="center"/>
            <w:hideMark/>
          </w:tcPr>
          <w:p w14:paraId="540A8BA9"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ACPO (TAM)</w:t>
            </w:r>
          </w:p>
        </w:tc>
        <w:tc>
          <w:tcPr>
            <w:tcW w:w="826" w:type="pct"/>
            <w:tcBorders>
              <w:top w:val="nil"/>
              <w:left w:val="nil"/>
              <w:bottom w:val="nil"/>
              <w:right w:val="nil"/>
            </w:tcBorders>
            <w:shd w:val="clear" w:color="000000" w:fill="CCECFF"/>
            <w:vAlign w:val="center"/>
            <w:hideMark/>
          </w:tcPr>
          <w:p w14:paraId="339CB3E1"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(1,641)</w:t>
            </w:r>
          </w:p>
        </w:tc>
      </w:tr>
      <w:tr w:rsidR="00BD126B" w:rsidRPr="00BD126B" w14:paraId="596A2102" w14:textId="77777777" w:rsidTr="0009479F">
        <w:trPr>
          <w:trHeight w:val="283"/>
        </w:trPr>
        <w:tc>
          <w:tcPr>
            <w:tcW w:w="829" w:type="pct"/>
            <w:tcBorders>
              <w:top w:val="nil"/>
              <w:left w:val="nil"/>
              <w:bottom w:val="nil"/>
              <w:right w:val="nil"/>
            </w:tcBorders>
            <w:shd w:val="clear" w:color="000000" w:fill="FFFFFF"/>
            <w:vAlign w:val="center"/>
            <w:hideMark/>
          </w:tcPr>
          <w:p w14:paraId="23D244D5"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(1,008)</w:t>
            </w:r>
          </w:p>
        </w:tc>
        <w:tc>
          <w:tcPr>
            <w:tcW w:w="3346" w:type="pct"/>
            <w:tcBorders>
              <w:top w:val="nil"/>
              <w:left w:val="nil"/>
              <w:bottom w:val="nil"/>
              <w:right w:val="nil"/>
            </w:tcBorders>
            <w:shd w:val="clear" w:color="000000" w:fill="FFFFFF"/>
            <w:noWrap/>
            <w:vAlign w:val="center"/>
            <w:hideMark/>
          </w:tcPr>
          <w:p w14:paraId="54A76D74"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Additional Uplift Grant</w:t>
            </w:r>
          </w:p>
        </w:tc>
        <w:tc>
          <w:tcPr>
            <w:tcW w:w="826" w:type="pct"/>
            <w:tcBorders>
              <w:top w:val="nil"/>
              <w:left w:val="nil"/>
              <w:bottom w:val="nil"/>
              <w:right w:val="nil"/>
            </w:tcBorders>
            <w:shd w:val="clear" w:color="000000" w:fill="CCECFF"/>
            <w:vAlign w:val="center"/>
            <w:hideMark/>
          </w:tcPr>
          <w:p w14:paraId="361EDF52"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(1,633)</w:t>
            </w:r>
          </w:p>
        </w:tc>
      </w:tr>
      <w:tr w:rsidR="00BD126B" w:rsidRPr="00BD126B" w14:paraId="21098677" w14:textId="77777777" w:rsidTr="0009479F">
        <w:trPr>
          <w:trHeight w:val="283"/>
        </w:trPr>
        <w:tc>
          <w:tcPr>
            <w:tcW w:w="829" w:type="pct"/>
            <w:tcBorders>
              <w:top w:val="nil"/>
              <w:left w:val="nil"/>
              <w:bottom w:val="nil"/>
              <w:right w:val="nil"/>
            </w:tcBorders>
            <w:shd w:val="clear" w:color="000000" w:fill="FFFFFF"/>
            <w:vAlign w:val="center"/>
            <w:hideMark/>
          </w:tcPr>
          <w:p w14:paraId="578129DC"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auto"/>
                <w:sz w:val="18"/>
                <w:szCs w:val="18"/>
                <w:lang w:eastAsia="en-GB"/>
              </w:rPr>
              <w:t>-</w:t>
            </w:r>
          </w:p>
        </w:tc>
        <w:tc>
          <w:tcPr>
            <w:tcW w:w="3346" w:type="pct"/>
            <w:tcBorders>
              <w:top w:val="nil"/>
              <w:left w:val="nil"/>
              <w:bottom w:val="nil"/>
              <w:right w:val="nil"/>
            </w:tcBorders>
            <w:shd w:val="clear" w:color="000000" w:fill="FFFFFF"/>
            <w:noWrap/>
            <w:vAlign w:val="center"/>
            <w:hideMark/>
          </w:tcPr>
          <w:p w14:paraId="112FB87D"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Neighbourhood Policing Grant (NEW)</w:t>
            </w:r>
          </w:p>
        </w:tc>
        <w:tc>
          <w:tcPr>
            <w:tcW w:w="826" w:type="pct"/>
            <w:tcBorders>
              <w:top w:val="nil"/>
              <w:left w:val="nil"/>
              <w:bottom w:val="nil"/>
              <w:right w:val="nil"/>
            </w:tcBorders>
            <w:shd w:val="clear" w:color="000000" w:fill="CCECFF"/>
            <w:vAlign w:val="center"/>
            <w:hideMark/>
          </w:tcPr>
          <w:p w14:paraId="6EC54589"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(1,869)</w:t>
            </w:r>
          </w:p>
        </w:tc>
      </w:tr>
      <w:tr w:rsidR="00BD126B" w:rsidRPr="00BD126B" w14:paraId="042694EC" w14:textId="77777777" w:rsidTr="0009479F">
        <w:trPr>
          <w:trHeight w:val="283"/>
        </w:trPr>
        <w:tc>
          <w:tcPr>
            <w:tcW w:w="829" w:type="pct"/>
            <w:tcBorders>
              <w:top w:val="nil"/>
              <w:left w:val="nil"/>
              <w:bottom w:val="nil"/>
              <w:right w:val="nil"/>
            </w:tcBorders>
            <w:shd w:val="clear" w:color="000000" w:fill="FFFFFF"/>
            <w:vAlign w:val="center"/>
            <w:hideMark/>
          </w:tcPr>
          <w:p w14:paraId="05785A14"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(240)</w:t>
            </w:r>
          </w:p>
        </w:tc>
        <w:tc>
          <w:tcPr>
            <w:tcW w:w="3346" w:type="pct"/>
            <w:tcBorders>
              <w:top w:val="nil"/>
              <w:left w:val="nil"/>
              <w:bottom w:val="nil"/>
              <w:right w:val="nil"/>
            </w:tcBorders>
            <w:shd w:val="clear" w:color="000000" w:fill="FFFFFF"/>
            <w:vAlign w:val="center"/>
            <w:hideMark/>
          </w:tcPr>
          <w:p w14:paraId="75245262"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Special Grant (Op Cobb)</w:t>
            </w:r>
          </w:p>
        </w:tc>
        <w:tc>
          <w:tcPr>
            <w:tcW w:w="826" w:type="pct"/>
            <w:tcBorders>
              <w:top w:val="nil"/>
              <w:left w:val="nil"/>
              <w:bottom w:val="nil"/>
              <w:right w:val="nil"/>
            </w:tcBorders>
            <w:shd w:val="clear" w:color="000000" w:fill="CCECFF"/>
            <w:vAlign w:val="center"/>
            <w:hideMark/>
          </w:tcPr>
          <w:p w14:paraId="0D795E62"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(154)</w:t>
            </w:r>
          </w:p>
        </w:tc>
      </w:tr>
      <w:tr w:rsidR="00BD126B" w:rsidRPr="00BD126B" w14:paraId="28B63054" w14:textId="77777777" w:rsidTr="0009479F">
        <w:trPr>
          <w:trHeight w:val="283"/>
        </w:trPr>
        <w:tc>
          <w:tcPr>
            <w:tcW w:w="829" w:type="pct"/>
            <w:tcBorders>
              <w:top w:val="nil"/>
              <w:left w:val="nil"/>
              <w:bottom w:val="nil"/>
              <w:right w:val="nil"/>
            </w:tcBorders>
            <w:shd w:val="clear" w:color="000000" w:fill="FFFFFF"/>
            <w:vAlign w:val="center"/>
            <w:hideMark/>
          </w:tcPr>
          <w:p w14:paraId="572BC181"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(62)</w:t>
            </w:r>
          </w:p>
        </w:tc>
        <w:tc>
          <w:tcPr>
            <w:tcW w:w="3346" w:type="pct"/>
            <w:tcBorders>
              <w:top w:val="nil"/>
              <w:left w:val="nil"/>
              <w:bottom w:val="nil"/>
              <w:right w:val="nil"/>
            </w:tcBorders>
            <w:shd w:val="clear" w:color="000000" w:fill="FFFFFF"/>
            <w:noWrap/>
            <w:vAlign w:val="center"/>
            <w:hideMark/>
          </w:tcPr>
          <w:p w14:paraId="44AB4C4D" w14:textId="77777777" w:rsidR="00BD126B" w:rsidRPr="00BD126B" w:rsidRDefault="00BD126B" w:rsidP="0040499F">
            <w:pPr>
              <w:spacing w:after="0" w:line="240" w:lineRule="auto"/>
              <w:jc w:val="left"/>
              <w:rPr>
                <w:rFonts w:eastAsia="Times New Roman" w:cs="Calibri"/>
                <w:color w:val="auto"/>
                <w:sz w:val="18"/>
                <w:szCs w:val="18"/>
                <w:lang w:eastAsia="en-GB"/>
              </w:rPr>
            </w:pPr>
            <w:r w:rsidRPr="00BD126B">
              <w:rPr>
                <w:rFonts w:eastAsia="Times New Roman" w:cs="Calibri"/>
                <w:color w:val="auto"/>
                <w:sz w:val="18"/>
                <w:szCs w:val="18"/>
                <w:lang w:eastAsia="en-GB"/>
              </w:rPr>
              <w:t>Other Grants</w:t>
            </w:r>
          </w:p>
        </w:tc>
        <w:tc>
          <w:tcPr>
            <w:tcW w:w="826" w:type="pct"/>
            <w:tcBorders>
              <w:top w:val="nil"/>
              <w:left w:val="nil"/>
              <w:bottom w:val="nil"/>
              <w:right w:val="nil"/>
            </w:tcBorders>
            <w:shd w:val="clear" w:color="000000" w:fill="CCECFF"/>
            <w:vAlign w:val="center"/>
            <w:hideMark/>
          </w:tcPr>
          <w:p w14:paraId="7A9B0906" w14:textId="77777777" w:rsidR="00BD126B" w:rsidRPr="00BD126B" w:rsidRDefault="00BD126B" w:rsidP="0040499F">
            <w:pPr>
              <w:spacing w:after="0" w:line="240" w:lineRule="auto"/>
              <w:jc w:val="right"/>
              <w:rPr>
                <w:rFonts w:eastAsia="Times New Roman" w:cs="Calibri"/>
                <w:color w:val="auto"/>
                <w:sz w:val="18"/>
                <w:szCs w:val="18"/>
                <w:lang w:eastAsia="en-GB"/>
              </w:rPr>
            </w:pPr>
            <w:r w:rsidRPr="00BD126B">
              <w:rPr>
                <w:rFonts w:eastAsia="Times New Roman" w:cs="Calibri"/>
                <w:color w:val="000000"/>
                <w:sz w:val="18"/>
                <w:szCs w:val="18"/>
                <w:lang w:eastAsia="en-GB"/>
              </w:rPr>
              <w:t>(121)</w:t>
            </w:r>
          </w:p>
        </w:tc>
      </w:tr>
      <w:tr w:rsidR="00BD126B" w:rsidRPr="00BD126B" w14:paraId="2E85FE44" w14:textId="77777777" w:rsidTr="0009479F">
        <w:trPr>
          <w:trHeight w:val="283"/>
        </w:trPr>
        <w:tc>
          <w:tcPr>
            <w:tcW w:w="829" w:type="pct"/>
            <w:tcBorders>
              <w:top w:val="single" w:sz="4" w:space="0" w:color="auto"/>
              <w:left w:val="nil"/>
              <w:bottom w:val="single" w:sz="4" w:space="0" w:color="auto"/>
              <w:right w:val="nil"/>
            </w:tcBorders>
            <w:shd w:val="clear" w:color="000000" w:fill="FFFFFF"/>
            <w:vAlign w:val="center"/>
            <w:hideMark/>
          </w:tcPr>
          <w:p w14:paraId="7068D7CF" w14:textId="77777777" w:rsidR="00BD126B" w:rsidRPr="00BD126B" w:rsidRDefault="00BD126B" w:rsidP="0040499F">
            <w:pPr>
              <w:spacing w:after="0" w:line="240" w:lineRule="auto"/>
              <w:jc w:val="right"/>
              <w:rPr>
                <w:rFonts w:eastAsia="Times New Roman" w:cs="Calibri"/>
                <w:b/>
                <w:bCs/>
                <w:color w:val="auto"/>
                <w:sz w:val="18"/>
                <w:szCs w:val="18"/>
                <w:lang w:eastAsia="en-GB"/>
              </w:rPr>
            </w:pPr>
            <w:r w:rsidRPr="00BD126B">
              <w:rPr>
                <w:rFonts w:eastAsia="Times New Roman" w:cs="Calibri"/>
                <w:b/>
                <w:bCs/>
                <w:color w:val="000000"/>
                <w:sz w:val="18"/>
                <w:szCs w:val="18"/>
                <w:lang w:eastAsia="en-GB"/>
              </w:rPr>
              <w:t>(29,408)</w:t>
            </w:r>
          </w:p>
        </w:tc>
        <w:tc>
          <w:tcPr>
            <w:tcW w:w="3346" w:type="pct"/>
            <w:tcBorders>
              <w:top w:val="single" w:sz="4" w:space="0" w:color="auto"/>
              <w:left w:val="nil"/>
              <w:bottom w:val="single" w:sz="4" w:space="0" w:color="auto"/>
              <w:right w:val="nil"/>
            </w:tcBorders>
            <w:shd w:val="clear" w:color="000000" w:fill="FFFFFF"/>
            <w:noWrap/>
            <w:vAlign w:val="center"/>
            <w:hideMark/>
          </w:tcPr>
          <w:p w14:paraId="012C237A" w14:textId="77777777" w:rsidR="00BD126B" w:rsidRPr="00BD126B" w:rsidRDefault="00BD126B" w:rsidP="0040499F">
            <w:pPr>
              <w:spacing w:after="0" w:line="240" w:lineRule="auto"/>
              <w:jc w:val="left"/>
              <w:rPr>
                <w:rFonts w:eastAsia="Times New Roman" w:cs="Calibri"/>
                <w:b/>
                <w:bCs/>
                <w:color w:val="auto"/>
                <w:sz w:val="18"/>
                <w:szCs w:val="18"/>
                <w:lang w:eastAsia="en-GB"/>
              </w:rPr>
            </w:pPr>
            <w:r w:rsidRPr="00BD126B">
              <w:rPr>
                <w:rFonts w:eastAsia="Times New Roman" w:cs="Calibri"/>
                <w:b/>
                <w:bCs/>
                <w:color w:val="auto"/>
                <w:sz w:val="18"/>
                <w:szCs w:val="18"/>
                <w:lang w:eastAsia="en-GB"/>
              </w:rPr>
              <w:t>Total</w:t>
            </w:r>
          </w:p>
        </w:tc>
        <w:tc>
          <w:tcPr>
            <w:tcW w:w="826" w:type="pct"/>
            <w:tcBorders>
              <w:top w:val="single" w:sz="4" w:space="0" w:color="auto"/>
              <w:left w:val="nil"/>
              <w:bottom w:val="single" w:sz="4" w:space="0" w:color="auto"/>
              <w:right w:val="nil"/>
            </w:tcBorders>
            <w:shd w:val="clear" w:color="000000" w:fill="CCECFF"/>
            <w:vAlign w:val="center"/>
            <w:hideMark/>
          </w:tcPr>
          <w:p w14:paraId="1559BBCA" w14:textId="77777777" w:rsidR="00BD126B" w:rsidRPr="00BD126B" w:rsidRDefault="00BD126B" w:rsidP="0040499F">
            <w:pPr>
              <w:spacing w:after="0" w:line="240" w:lineRule="auto"/>
              <w:jc w:val="right"/>
              <w:rPr>
                <w:rFonts w:eastAsia="Times New Roman" w:cs="Calibri"/>
                <w:b/>
                <w:bCs/>
                <w:color w:val="auto"/>
                <w:sz w:val="18"/>
                <w:szCs w:val="18"/>
                <w:lang w:eastAsia="en-GB"/>
              </w:rPr>
            </w:pPr>
            <w:r w:rsidRPr="00BD126B">
              <w:rPr>
                <w:rFonts w:eastAsia="Times New Roman" w:cs="Calibri"/>
                <w:b/>
                <w:bCs/>
                <w:color w:val="000000"/>
                <w:sz w:val="18"/>
                <w:szCs w:val="18"/>
                <w:lang w:eastAsia="en-GB"/>
              </w:rPr>
              <w:t>(26,815)</w:t>
            </w:r>
          </w:p>
        </w:tc>
      </w:tr>
    </w:tbl>
    <w:p w14:paraId="27DAA546" w14:textId="6A9BFAA3" w:rsidR="008D475F" w:rsidRPr="00653D20" w:rsidRDefault="008D475F" w:rsidP="003356AE">
      <w:pPr>
        <w:spacing w:line="240" w:lineRule="auto"/>
      </w:pPr>
    </w:p>
    <w:p w14:paraId="5A8976BB" w14:textId="7EDCE6FE" w:rsidR="007D29C4" w:rsidRDefault="007D29C4" w:rsidP="007D29C4">
      <w:pPr>
        <w:pStyle w:val="VAHeadingLevel3"/>
        <w:spacing w:line="240" w:lineRule="auto"/>
      </w:pPr>
      <w:bookmarkStart w:id="124" w:name="_Toc517077291"/>
      <w:bookmarkStart w:id="125" w:name="_Toc9272516"/>
      <w:bookmarkStart w:id="126" w:name="_Toc9592063"/>
      <w:r w:rsidRPr="007D29C4">
        <w:t>Grants received in advance are detailed below and will be recognised when the conditions of the grant have been realised</w:t>
      </w:r>
    </w:p>
    <w:tbl>
      <w:tblPr>
        <w:tblW w:w="4905" w:type="pct"/>
        <w:tblLook w:val="04A0" w:firstRow="1" w:lastRow="0" w:firstColumn="1" w:lastColumn="0" w:noHBand="0" w:noVBand="1"/>
      </w:tblPr>
      <w:tblGrid>
        <w:gridCol w:w="1474"/>
        <w:gridCol w:w="5954"/>
        <w:gridCol w:w="1472"/>
      </w:tblGrid>
      <w:tr w:rsidR="00CF6F04" w:rsidRPr="00CF6F04" w14:paraId="3B6569A0" w14:textId="77777777" w:rsidTr="005E4463">
        <w:trPr>
          <w:trHeight w:val="290"/>
        </w:trPr>
        <w:tc>
          <w:tcPr>
            <w:tcW w:w="828" w:type="pct"/>
            <w:tcBorders>
              <w:top w:val="nil"/>
              <w:left w:val="nil"/>
              <w:bottom w:val="nil"/>
              <w:right w:val="nil"/>
            </w:tcBorders>
            <w:shd w:val="clear" w:color="000000" w:fill="000099"/>
            <w:vAlign w:val="center"/>
            <w:hideMark/>
          </w:tcPr>
          <w:p w14:paraId="41018EC9" w14:textId="77777777" w:rsidR="00CF6F04" w:rsidRPr="00CF6F04" w:rsidRDefault="00CF6F04" w:rsidP="00CF6F04">
            <w:pPr>
              <w:spacing w:after="0" w:line="240" w:lineRule="auto"/>
              <w:jc w:val="center"/>
              <w:rPr>
                <w:rFonts w:eastAsia="Times New Roman" w:cs="Calibri"/>
                <w:b/>
                <w:bCs/>
                <w:color w:val="FFFFFF"/>
                <w:sz w:val="18"/>
                <w:szCs w:val="18"/>
                <w:lang w:eastAsia="en-GB"/>
              </w:rPr>
            </w:pPr>
            <w:r w:rsidRPr="00CF6F04">
              <w:rPr>
                <w:rFonts w:eastAsia="Times New Roman" w:cs="Calibri"/>
                <w:b/>
                <w:bCs/>
                <w:color w:val="FFFFFF"/>
                <w:sz w:val="18"/>
                <w:szCs w:val="18"/>
                <w:lang w:eastAsia="en-GB"/>
              </w:rPr>
              <w:t>2024/25</w:t>
            </w:r>
          </w:p>
        </w:tc>
        <w:tc>
          <w:tcPr>
            <w:tcW w:w="3345" w:type="pct"/>
            <w:tcBorders>
              <w:top w:val="nil"/>
              <w:left w:val="nil"/>
              <w:bottom w:val="nil"/>
              <w:right w:val="nil"/>
            </w:tcBorders>
            <w:shd w:val="clear" w:color="000000" w:fill="000099"/>
            <w:vAlign w:val="center"/>
            <w:hideMark/>
          </w:tcPr>
          <w:p w14:paraId="73CF7FDF" w14:textId="77777777" w:rsidR="00CF6F04" w:rsidRPr="00CF6F04" w:rsidRDefault="00CF6F04" w:rsidP="00CF6F04">
            <w:pPr>
              <w:spacing w:after="0" w:line="240" w:lineRule="auto"/>
              <w:jc w:val="center"/>
              <w:rPr>
                <w:rFonts w:eastAsia="Times New Roman" w:cs="Calibri"/>
                <w:b/>
                <w:bCs/>
                <w:color w:val="FFFFFF"/>
                <w:sz w:val="18"/>
                <w:szCs w:val="18"/>
                <w:lang w:eastAsia="en-GB"/>
              </w:rPr>
            </w:pPr>
            <w:r w:rsidRPr="00CF6F04">
              <w:rPr>
                <w:rFonts w:eastAsia="Times New Roman" w:cs="Calibri"/>
                <w:b/>
                <w:bCs/>
                <w:color w:val="FFFFFF"/>
                <w:sz w:val="18"/>
                <w:szCs w:val="18"/>
                <w:lang w:eastAsia="en-GB"/>
              </w:rPr>
              <w:t xml:space="preserve"> </w:t>
            </w:r>
          </w:p>
        </w:tc>
        <w:tc>
          <w:tcPr>
            <w:tcW w:w="828" w:type="pct"/>
            <w:tcBorders>
              <w:top w:val="nil"/>
              <w:left w:val="nil"/>
              <w:bottom w:val="nil"/>
              <w:right w:val="nil"/>
            </w:tcBorders>
            <w:shd w:val="clear" w:color="000000" w:fill="000099"/>
            <w:vAlign w:val="center"/>
            <w:hideMark/>
          </w:tcPr>
          <w:p w14:paraId="7A697975" w14:textId="77777777" w:rsidR="00CF6F04" w:rsidRPr="00CF6F04" w:rsidRDefault="00CF6F04" w:rsidP="00CF6F04">
            <w:pPr>
              <w:spacing w:after="0" w:line="240" w:lineRule="auto"/>
              <w:jc w:val="center"/>
              <w:rPr>
                <w:rFonts w:eastAsia="Times New Roman" w:cs="Calibri"/>
                <w:b/>
                <w:bCs/>
                <w:color w:val="FFFFFF"/>
                <w:sz w:val="18"/>
                <w:szCs w:val="18"/>
                <w:lang w:eastAsia="en-GB"/>
              </w:rPr>
            </w:pPr>
            <w:r w:rsidRPr="00CF6F04">
              <w:rPr>
                <w:rFonts w:eastAsia="Times New Roman" w:cs="Calibri"/>
                <w:b/>
                <w:bCs/>
                <w:color w:val="FFFFFF"/>
                <w:sz w:val="18"/>
                <w:szCs w:val="18"/>
                <w:lang w:eastAsia="en-GB"/>
              </w:rPr>
              <w:t>2025/26</w:t>
            </w:r>
          </w:p>
        </w:tc>
      </w:tr>
      <w:tr w:rsidR="00CF6F04" w:rsidRPr="00CF6F04" w14:paraId="0FCE9BC8" w14:textId="77777777" w:rsidTr="008711D7">
        <w:trPr>
          <w:trHeight w:val="290"/>
        </w:trPr>
        <w:tc>
          <w:tcPr>
            <w:tcW w:w="828" w:type="pct"/>
            <w:tcBorders>
              <w:top w:val="nil"/>
              <w:left w:val="nil"/>
              <w:right w:val="nil"/>
            </w:tcBorders>
            <w:shd w:val="clear" w:color="000000" w:fill="000099"/>
            <w:vAlign w:val="center"/>
            <w:hideMark/>
          </w:tcPr>
          <w:p w14:paraId="3C91FD29" w14:textId="77777777" w:rsidR="00CF6F04" w:rsidRPr="00CF6F04" w:rsidRDefault="00CF6F04" w:rsidP="00CF6F04">
            <w:pPr>
              <w:spacing w:after="0" w:line="240" w:lineRule="auto"/>
              <w:jc w:val="center"/>
              <w:rPr>
                <w:rFonts w:eastAsia="Times New Roman" w:cs="Calibri"/>
                <w:b/>
                <w:bCs/>
                <w:color w:val="FFFFFF"/>
                <w:sz w:val="18"/>
                <w:szCs w:val="18"/>
                <w:lang w:eastAsia="en-GB"/>
              </w:rPr>
            </w:pPr>
            <w:r w:rsidRPr="00CF6F04">
              <w:rPr>
                <w:rFonts w:eastAsia="Times New Roman" w:cs="Calibri"/>
                <w:b/>
                <w:bCs/>
                <w:color w:val="FFFFFF"/>
                <w:sz w:val="18"/>
                <w:szCs w:val="18"/>
                <w:lang w:eastAsia="en-GB"/>
              </w:rPr>
              <w:t>£000</w:t>
            </w:r>
          </w:p>
        </w:tc>
        <w:tc>
          <w:tcPr>
            <w:tcW w:w="3345" w:type="pct"/>
            <w:tcBorders>
              <w:top w:val="nil"/>
              <w:left w:val="nil"/>
              <w:right w:val="nil"/>
            </w:tcBorders>
            <w:shd w:val="clear" w:color="000000" w:fill="000099"/>
            <w:vAlign w:val="center"/>
            <w:hideMark/>
          </w:tcPr>
          <w:p w14:paraId="47A9E629" w14:textId="77777777" w:rsidR="00CF6F04" w:rsidRPr="00CF6F04" w:rsidRDefault="00CF6F04" w:rsidP="00CF6F04">
            <w:pPr>
              <w:spacing w:after="0" w:line="240" w:lineRule="auto"/>
              <w:jc w:val="center"/>
              <w:rPr>
                <w:rFonts w:eastAsia="Times New Roman" w:cs="Calibri"/>
                <w:b/>
                <w:bCs/>
                <w:color w:val="FFFFFF"/>
                <w:sz w:val="18"/>
                <w:szCs w:val="18"/>
                <w:lang w:eastAsia="en-GB"/>
              </w:rPr>
            </w:pPr>
            <w:r w:rsidRPr="00CF6F04">
              <w:rPr>
                <w:rFonts w:eastAsia="Times New Roman" w:cs="Calibri"/>
                <w:b/>
                <w:bCs/>
                <w:color w:val="FFFFFF"/>
                <w:sz w:val="18"/>
                <w:szCs w:val="18"/>
                <w:lang w:eastAsia="en-GB"/>
              </w:rPr>
              <w:t xml:space="preserve"> </w:t>
            </w:r>
          </w:p>
        </w:tc>
        <w:tc>
          <w:tcPr>
            <w:tcW w:w="828" w:type="pct"/>
            <w:tcBorders>
              <w:top w:val="nil"/>
              <w:left w:val="nil"/>
              <w:right w:val="nil"/>
            </w:tcBorders>
            <w:shd w:val="clear" w:color="000000" w:fill="000099"/>
            <w:vAlign w:val="center"/>
            <w:hideMark/>
          </w:tcPr>
          <w:p w14:paraId="5BEF8BAF" w14:textId="77777777" w:rsidR="00CF6F04" w:rsidRPr="00CF6F04" w:rsidRDefault="00CF6F04" w:rsidP="00CF6F04">
            <w:pPr>
              <w:spacing w:after="0" w:line="240" w:lineRule="auto"/>
              <w:jc w:val="center"/>
              <w:rPr>
                <w:rFonts w:eastAsia="Times New Roman" w:cs="Calibri"/>
                <w:b/>
                <w:bCs/>
                <w:color w:val="FFFFFF"/>
                <w:sz w:val="18"/>
                <w:szCs w:val="18"/>
                <w:lang w:eastAsia="en-GB"/>
              </w:rPr>
            </w:pPr>
            <w:r w:rsidRPr="00CF6F04">
              <w:rPr>
                <w:rFonts w:eastAsia="Times New Roman" w:cs="Calibri"/>
                <w:b/>
                <w:bCs/>
                <w:color w:val="FFFFFF"/>
                <w:sz w:val="18"/>
                <w:szCs w:val="18"/>
                <w:lang w:eastAsia="en-GB"/>
              </w:rPr>
              <w:t>£000</w:t>
            </w:r>
          </w:p>
        </w:tc>
      </w:tr>
      <w:tr w:rsidR="00CF6F04" w:rsidRPr="00CF6F04" w14:paraId="53ABA65C" w14:textId="77777777" w:rsidTr="008711D7">
        <w:trPr>
          <w:trHeight w:val="290"/>
        </w:trPr>
        <w:tc>
          <w:tcPr>
            <w:tcW w:w="828" w:type="pct"/>
            <w:tcBorders>
              <w:top w:val="nil"/>
              <w:left w:val="nil"/>
              <w:bottom w:val="single" w:sz="4" w:space="0" w:color="auto"/>
              <w:right w:val="nil"/>
            </w:tcBorders>
            <w:shd w:val="clear" w:color="000000" w:fill="FFFFFF"/>
            <w:vAlign w:val="center"/>
            <w:hideMark/>
          </w:tcPr>
          <w:p w14:paraId="043B0E05" w14:textId="77777777" w:rsidR="00CF6F04" w:rsidRPr="00CF6F04" w:rsidRDefault="00CF6F04" w:rsidP="0040499F">
            <w:pPr>
              <w:spacing w:after="0" w:line="240" w:lineRule="auto"/>
              <w:jc w:val="right"/>
              <w:rPr>
                <w:rFonts w:eastAsia="Times New Roman" w:cs="Calibri"/>
                <w:color w:val="auto"/>
                <w:sz w:val="18"/>
                <w:szCs w:val="18"/>
                <w:lang w:eastAsia="en-GB"/>
              </w:rPr>
            </w:pPr>
            <w:r w:rsidRPr="00CF6F04">
              <w:rPr>
                <w:rFonts w:eastAsia="Times New Roman" w:cs="Calibri"/>
                <w:color w:val="auto"/>
                <w:sz w:val="18"/>
                <w:szCs w:val="18"/>
                <w:lang w:eastAsia="en-GB"/>
              </w:rPr>
              <w:t>1,952</w:t>
            </w:r>
          </w:p>
        </w:tc>
        <w:tc>
          <w:tcPr>
            <w:tcW w:w="3345" w:type="pct"/>
            <w:tcBorders>
              <w:top w:val="nil"/>
              <w:left w:val="nil"/>
              <w:bottom w:val="single" w:sz="4" w:space="0" w:color="auto"/>
              <w:right w:val="nil"/>
            </w:tcBorders>
            <w:shd w:val="clear" w:color="000000" w:fill="FFFFFF"/>
            <w:vAlign w:val="center"/>
            <w:hideMark/>
          </w:tcPr>
          <w:p w14:paraId="6895786E" w14:textId="77777777" w:rsidR="00CF6F04" w:rsidRPr="00CF6F04" w:rsidRDefault="00CF6F04" w:rsidP="0040499F">
            <w:pPr>
              <w:spacing w:after="0" w:line="240" w:lineRule="auto"/>
              <w:jc w:val="left"/>
              <w:rPr>
                <w:rFonts w:eastAsia="Times New Roman" w:cs="Calibri"/>
                <w:color w:val="auto"/>
                <w:sz w:val="18"/>
                <w:szCs w:val="18"/>
                <w:lang w:eastAsia="en-GB"/>
              </w:rPr>
            </w:pPr>
            <w:r w:rsidRPr="00CF6F04">
              <w:rPr>
                <w:rFonts w:eastAsia="Times New Roman" w:cs="Calibri"/>
                <w:color w:val="auto"/>
                <w:sz w:val="18"/>
                <w:szCs w:val="18"/>
                <w:lang w:eastAsia="en-GB"/>
              </w:rPr>
              <w:t>McCloud remedy grant</w:t>
            </w:r>
          </w:p>
        </w:tc>
        <w:tc>
          <w:tcPr>
            <w:tcW w:w="828" w:type="pct"/>
            <w:tcBorders>
              <w:top w:val="nil"/>
              <w:left w:val="nil"/>
              <w:bottom w:val="single" w:sz="4" w:space="0" w:color="auto"/>
              <w:right w:val="nil"/>
            </w:tcBorders>
            <w:shd w:val="clear" w:color="000000" w:fill="CCECFF"/>
            <w:vAlign w:val="center"/>
            <w:hideMark/>
          </w:tcPr>
          <w:p w14:paraId="493A1104" w14:textId="77777777" w:rsidR="00CF6F04" w:rsidRPr="00CF6F04" w:rsidRDefault="00CF6F04" w:rsidP="0040499F">
            <w:pPr>
              <w:spacing w:after="0" w:line="240" w:lineRule="auto"/>
              <w:jc w:val="right"/>
              <w:rPr>
                <w:rFonts w:eastAsia="Times New Roman" w:cs="Calibri"/>
                <w:color w:val="auto"/>
                <w:sz w:val="18"/>
                <w:szCs w:val="18"/>
                <w:lang w:eastAsia="en-GB"/>
              </w:rPr>
            </w:pPr>
            <w:r w:rsidRPr="00CF6F04">
              <w:rPr>
                <w:rFonts w:eastAsia="Times New Roman" w:cs="Calibri"/>
                <w:color w:val="auto"/>
                <w:sz w:val="18"/>
                <w:szCs w:val="18"/>
                <w:lang w:eastAsia="en-GB"/>
              </w:rPr>
              <w:t>2,008</w:t>
            </w:r>
          </w:p>
        </w:tc>
      </w:tr>
    </w:tbl>
    <w:p w14:paraId="2817905C" w14:textId="77777777" w:rsidR="007D29C4" w:rsidRDefault="007D29C4" w:rsidP="00041EFE"/>
    <w:p w14:paraId="0A3F9294" w14:textId="77777777" w:rsidR="00CA14F8" w:rsidRDefault="00CA14F8">
      <w:pPr>
        <w:spacing w:after="0" w:line="240" w:lineRule="auto"/>
        <w:jc w:val="left"/>
        <w:rPr>
          <w:rFonts w:asciiTheme="minorHAnsi" w:eastAsia="Times New Roman" w:hAnsiTheme="minorHAnsi" w:cs="Times New Roman"/>
          <w:b/>
          <w:bCs/>
          <w:color w:val="25316C"/>
          <w:sz w:val="24"/>
          <w:u w:val="single"/>
        </w:rPr>
      </w:pPr>
      <w:bookmarkStart w:id="127" w:name="_Toc230858570"/>
      <w:r>
        <w:br w:type="page"/>
      </w:r>
    </w:p>
    <w:p w14:paraId="14081D5D" w14:textId="7685E8C4" w:rsidR="002522D4" w:rsidRPr="00792A85" w:rsidRDefault="002522D4" w:rsidP="003356AE">
      <w:pPr>
        <w:pStyle w:val="NoteHeader"/>
        <w:spacing w:line="240" w:lineRule="auto"/>
      </w:pPr>
      <w:r w:rsidRPr="00792A85">
        <w:lastRenderedPageBreak/>
        <w:t>Note 15 - Related Parties</w:t>
      </w:r>
      <w:bookmarkEnd w:id="124"/>
      <w:bookmarkEnd w:id="125"/>
      <w:bookmarkEnd w:id="126"/>
      <w:bookmarkEnd w:id="127"/>
      <w:r w:rsidRPr="00792A85">
        <w:t xml:space="preserve"> </w:t>
      </w:r>
    </w:p>
    <w:p w14:paraId="4E126069" w14:textId="77777777" w:rsidR="00AD4C8C" w:rsidRPr="00792A85" w:rsidRDefault="00AD4C8C" w:rsidP="003356AE">
      <w:pPr>
        <w:spacing w:line="240" w:lineRule="auto"/>
      </w:pPr>
    </w:p>
    <w:p w14:paraId="320986FE" w14:textId="77777777" w:rsidR="00AD4C8C" w:rsidRPr="008A7A76" w:rsidRDefault="00AD4C8C" w:rsidP="003356AE">
      <w:pPr>
        <w:spacing w:line="240" w:lineRule="auto"/>
      </w:pPr>
      <w:r w:rsidRPr="008A7A76">
        <w:t>IPSAS20 Related Party Disclosures, based on IAS24, requires the OCC to disclose material transactions and outstanding balances with related parties – bodies or individuals that have the potential to control or influence the OCC or to be controlled or influenced by the OCC.</w:t>
      </w:r>
    </w:p>
    <w:p w14:paraId="328C98DD" w14:textId="77777777" w:rsidR="00AD4C8C" w:rsidRPr="008A7A76" w:rsidRDefault="00AD4C8C" w:rsidP="003356AE">
      <w:pPr>
        <w:spacing w:line="240" w:lineRule="auto"/>
      </w:pPr>
    </w:p>
    <w:p w14:paraId="56D120EA" w14:textId="77777777" w:rsidR="00AD4C8C" w:rsidRPr="008A7A76" w:rsidRDefault="00AD4C8C" w:rsidP="003356AE">
      <w:pPr>
        <w:spacing w:line="240" w:lineRule="auto"/>
      </w:pPr>
      <w:r w:rsidRPr="008A7A76">
        <w:t>Central Government has effective control over the general operations of the OPFCC and therefore the OCC.  It is responsible for providing the statutory framework within which the Group operates and provides the majority of funding in the form of general or specific grants.  Details of government grants are set out in Note 14 to the Core Financial Statements.</w:t>
      </w:r>
    </w:p>
    <w:p w14:paraId="2FE8878D" w14:textId="77777777" w:rsidR="00AD4C8C" w:rsidRPr="008A7A76" w:rsidRDefault="00AD4C8C" w:rsidP="003356AE">
      <w:pPr>
        <w:spacing w:line="240" w:lineRule="auto"/>
      </w:pPr>
    </w:p>
    <w:p w14:paraId="06A4FE33" w14:textId="24589C5F" w:rsidR="00AD4C8C" w:rsidRPr="008A7A76" w:rsidRDefault="00AD4C8C" w:rsidP="003356AE">
      <w:pPr>
        <w:autoSpaceDE w:val="0"/>
        <w:autoSpaceDN w:val="0"/>
        <w:adjustRightInd w:val="0"/>
        <w:spacing w:line="240" w:lineRule="auto"/>
        <w:rPr>
          <w:rFonts w:cs="Arial"/>
        </w:rPr>
      </w:pPr>
      <w:r w:rsidRPr="008A7A76">
        <w:rPr>
          <w:rFonts w:cs="Arial"/>
        </w:rPr>
        <w:t xml:space="preserve">NCFRA (Fire) and Police collaborate on operational and non-operational activities.  Shared support services teams are in place </w:t>
      </w:r>
      <w:r w:rsidRPr="00052AC4">
        <w:rPr>
          <w:rFonts w:cs="Arial"/>
        </w:rPr>
        <w:t>for a number of services and shared accommodation in Darby House</w:t>
      </w:r>
      <w:r w:rsidR="00261A74" w:rsidRPr="00052AC4">
        <w:rPr>
          <w:rFonts w:cs="Arial"/>
        </w:rPr>
        <w:t xml:space="preserve">.  </w:t>
      </w:r>
      <w:r w:rsidRPr="00052AC4">
        <w:rPr>
          <w:rFonts w:cs="Arial"/>
        </w:rPr>
        <w:t>During 202</w:t>
      </w:r>
      <w:r w:rsidR="007944E6" w:rsidRPr="00052AC4">
        <w:rPr>
          <w:rFonts w:cs="Arial"/>
        </w:rPr>
        <w:t>5</w:t>
      </w:r>
      <w:r w:rsidRPr="00052AC4">
        <w:rPr>
          <w:rFonts w:cs="Arial"/>
        </w:rPr>
        <w:t>/2</w:t>
      </w:r>
      <w:r w:rsidR="007944E6" w:rsidRPr="00052AC4">
        <w:rPr>
          <w:rFonts w:cs="Arial"/>
        </w:rPr>
        <w:t>6</w:t>
      </w:r>
      <w:r w:rsidRPr="00052AC4">
        <w:rPr>
          <w:rFonts w:cs="Arial"/>
        </w:rPr>
        <w:t>, net revenue costs of £</w:t>
      </w:r>
      <w:r w:rsidR="00052AC4" w:rsidRPr="00052AC4">
        <w:rPr>
          <w:rFonts w:cs="Arial"/>
        </w:rPr>
        <w:t>4.093</w:t>
      </w:r>
      <w:r w:rsidRPr="00052AC4">
        <w:rPr>
          <w:rFonts w:cs="Arial"/>
        </w:rPr>
        <w:t>m were</w:t>
      </w:r>
      <w:r w:rsidRPr="008A7A76">
        <w:rPr>
          <w:rFonts w:cs="Arial"/>
        </w:rPr>
        <w:t xml:space="preserve"> charged by Police to NCFRA.</w:t>
      </w:r>
    </w:p>
    <w:p w14:paraId="02B89311" w14:textId="77777777" w:rsidR="00AD4C8C" w:rsidRPr="008A7A76" w:rsidRDefault="00AD4C8C" w:rsidP="003356AE">
      <w:pPr>
        <w:autoSpaceDE w:val="0"/>
        <w:autoSpaceDN w:val="0"/>
        <w:adjustRightInd w:val="0"/>
        <w:spacing w:line="240" w:lineRule="auto"/>
        <w:rPr>
          <w:rFonts w:cs="Arial"/>
        </w:rPr>
      </w:pPr>
    </w:p>
    <w:p w14:paraId="7DEEB0EA" w14:textId="36840746" w:rsidR="00AD4C8C" w:rsidRPr="008A7A76" w:rsidRDefault="00AD4C8C" w:rsidP="003356AE">
      <w:pPr>
        <w:autoSpaceDE w:val="0"/>
        <w:autoSpaceDN w:val="0"/>
        <w:adjustRightInd w:val="0"/>
        <w:spacing w:line="240" w:lineRule="auto"/>
        <w:rPr>
          <w:rFonts w:cs="Arial"/>
        </w:rPr>
      </w:pPr>
      <w:r w:rsidRPr="008A7A76">
        <w:rPr>
          <w:rFonts w:cs="Arial"/>
        </w:rPr>
        <w:t xml:space="preserve">A separate collaboration agreement is in place which sets out the governance arrangements for existing and future collaborative activities between OPFCC, the Chief Constable (CC) and NCFRA. </w:t>
      </w:r>
    </w:p>
    <w:p w14:paraId="4905F4A0" w14:textId="77777777" w:rsidR="00AD4C8C" w:rsidRPr="008A7A76" w:rsidRDefault="00AD4C8C" w:rsidP="003356AE">
      <w:pPr>
        <w:autoSpaceDE w:val="0"/>
        <w:autoSpaceDN w:val="0"/>
        <w:adjustRightInd w:val="0"/>
        <w:spacing w:line="240" w:lineRule="auto"/>
      </w:pPr>
    </w:p>
    <w:p w14:paraId="04867306" w14:textId="77777777" w:rsidR="00AD4C8C" w:rsidRPr="008A7A76" w:rsidRDefault="00AD4C8C" w:rsidP="003356AE">
      <w:pPr>
        <w:spacing w:line="240" w:lineRule="auto"/>
      </w:pPr>
      <w:r w:rsidRPr="008A7A76">
        <w:t>Both the OPFCC and the OCC maintain a register of business interests, and the Business Interest Policy sets out the criteria for deciding whether the Business Interest is compatible with the individual’s role within the organisation.</w:t>
      </w:r>
    </w:p>
    <w:p w14:paraId="34F758F0" w14:textId="77777777" w:rsidR="00AD4C8C" w:rsidRPr="008A7A76" w:rsidRDefault="00AD4C8C" w:rsidP="003356AE">
      <w:pPr>
        <w:spacing w:line="240" w:lineRule="auto"/>
      </w:pPr>
    </w:p>
    <w:p w14:paraId="101BCC07" w14:textId="77777777" w:rsidR="00AD4C8C" w:rsidRPr="008A7A76" w:rsidRDefault="00AD4C8C" w:rsidP="003356AE">
      <w:pPr>
        <w:spacing w:line="240" w:lineRule="auto"/>
      </w:pPr>
      <w:r w:rsidRPr="008A7A76">
        <w:t>Key members of staff in the OPFCC, JIAC and Police are required, at the end of each year, to declare whether they, or any member of their immediate family have any related party transactions (i.e. significant financial dealings) with the OPFCC during the financial year.  All returns and disclosures were received and reviewed by both s151 officers.</w:t>
      </w:r>
    </w:p>
    <w:p w14:paraId="156EDE0B" w14:textId="77777777" w:rsidR="00AD4C8C" w:rsidRPr="008A7A76" w:rsidRDefault="00AD4C8C" w:rsidP="003356AE">
      <w:pPr>
        <w:spacing w:line="240" w:lineRule="auto"/>
      </w:pPr>
    </w:p>
    <w:p w14:paraId="594919FF" w14:textId="77777777" w:rsidR="00AD4C8C" w:rsidRPr="008A7A76" w:rsidRDefault="00AD4C8C" w:rsidP="003356AE">
      <w:pPr>
        <w:spacing w:line="240" w:lineRule="auto"/>
      </w:pPr>
      <w:bookmarkStart w:id="128" w:name="_Hlk135148005"/>
      <w:r w:rsidRPr="008A7A76">
        <w:t>A review of accounts payable and receivable transactions has been undertaken which confirms that no payments have been made to or from employees of the organisations other than in line with contracts of employment.</w:t>
      </w:r>
    </w:p>
    <w:bookmarkEnd w:id="128"/>
    <w:p w14:paraId="647728D8" w14:textId="77777777" w:rsidR="00AD4C8C" w:rsidRPr="008A7A76" w:rsidRDefault="00AD4C8C" w:rsidP="003356AE">
      <w:pPr>
        <w:spacing w:line="240" w:lineRule="auto"/>
      </w:pPr>
    </w:p>
    <w:p w14:paraId="4A66E52C" w14:textId="6244502B" w:rsidR="00AD4C8C" w:rsidRDefault="00AD4C8C" w:rsidP="003356AE">
      <w:pPr>
        <w:spacing w:line="240" w:lineRule="auto"/>
      </w:pPr>
      <w:r w:rsidRPr="008A7A76">
        <w:t xml:space="preserve">Northamptonshire Police and the PFCC work closely with Regional and National and other public sector partners in the course of their business (see Note </w:t>
      </w:r>
      <w:r w:rsidR="0077268F" w:rsidRPr="008A7A76">
        <w:t>39</w:t>
      </w:r>
      <w:r w:rsidRPr="008A7A76">
        <w:t>)</w:t>
      </w:r>
      <w:r w:rsidR="00BC5C33" w:rsidRPr="008A7A76">
        <w:t>.</w:t>
      </w:r>
    </w:p>
    <w:p w14:paraId="56B00754" w14:textId="77777777" w:rsidR="00CF6F04" w:rsidRPr="008A7A76" w:rsidRDefault="00CF6F04" w:rsidP="003356AE">
      <w:pPr>
        <w:spacing w:line="240" w:lineRule="auto"/>
      </w:pPr>
    </w:p>
    <w:p w14:paraId="0D55CBFA" w14:textId="0AAFFFD0" w:rsidR="002522D4" w:rsidRPr="00535CA2" w:rsidRDefault="002522D4" w:rsidP="003356AE">
      <w:pPr>
        <w:pStyle w:val="NoteHeader"/>
        <w:spacing w:line="240" w:lineRule="auto"/>
        <w:rPr>
          <w:lang w:val="pt-BR"/>
        </w:rPr>
      </w:pPr>
      <w:bookmarkStart w:id="129" w:name="_Toc517077292"/>
      <w:bookmarkStart w:id="130" w:name="_Toc9272517"/>
      <w:bookmarkStart w:id="131" w:name="_Toc9592064"/>
      <w:bookmarkStart w:id="132" w:name="_Toc109632215"/>
      <w:bookmarkStart w:id="133" w:name="_Toc230858571"/>
      <w:r w:rsidRPr="008A7A76">
        <w:rPr>
          <w:lang w:val="pt-BR"/>
        </w:rPr>
        <w:t>Note 16 - Transfers to/from Earmarked Reserves</w:t>
      </w:r>
      <w:bookmarkEnd w:id="129"/>
      <w:bookmarkEnd w:id="130"/>
      <w:bookmarkEnd w:id="131"/>
      <w:bookmarkEnd w:id="132"/>
      <w:bookmarkEnd w:id="133"/>
    </w:p>
    <w:p w14:paraId="2F7EE8C6" w14:textId="77777777" w:rsidR="002522D4" w:rsidRPr="00535CA2" w:rsidRDefault="002522D4" w:rsidP="003356AE">
      <w:pPr>
        <w:spacing w:line="240" w:lineRule="auto"/>
        <w:rPr>
          <w:lang w:val="pt-BR"/>
        </w:rPr>
      </w:pPr>
    </w:p>
    <w:p w14:paraId="4785EF58" w14:textId="182086C9" w:rsidR="00A805A9" w:rsidRPr="00A805A9" w:rsidRDefault="00A805A9" w:rsidP="003356AE">
      <w:pPr>
        <w:spacing w:line="240" w:lineRule="auto"/>
        <w:rPr>
          <w:rFonts w:asciiTheme="minorHAnsi" w:hAnsiTheme="minorHAnsi"/>
          <w:noProof/>
          <w:color w:val="auto"/>
          <w:szCs w:val="20"/>
          <w:lang w:eastAsia="en-GB"/>
        </w:rPr>
      </w:pPr>
      <w:bookmarkStart w:id="134" w:name="_Toc517077293"/>
      <w:bookmarkStart w:id="135" w:name="_Toc9272518"/>
      <w:bookmarkStart w:id="136" w:name="_Toc9592065"/>
      <w:bookmarkStart w:id="137" w:name="_Toc109632216"/>
      <w:r w:rsidRPr="00A805A9">
        <w:rPr>
          <w:rFonts w:asciiTheme="minorHAnsi" w:hAnsiTheme="minorHAnsi"/>
          <w:noProof/>
          <w:color w:val="auto"/>
          <w:szCs w:val="20"/>
          <w:lang w:eastAsia="en-GB"/>
        </w:rPr>
        <w:t xml:space="preserve">The Chief Constable holds no balance in respect of these items. For information, please refer to Note </w:t>
      </w:r>
      <w:r>
        <w:rPr>
          <w:rFonts w:asciiTheme="minorHAnsi" w:hAnsiTheme="minorHAnsi"/>
          <w:noProof/>
          <w:color w:val="auto"/>
          <w:szCs w:val="20"/>
          <w:lang w:eastAsia="en-GB"/>
        </w:rPr>
        <w:t>16</w:t>
      </w:r>
      <w:r w:rsidRPr="00A805A9">
        <w:rPr>
          <w:rFonts w:asciiTheme="minorHAnsi" w:hAnsiTheme="minorHAnsi"/>
          <w:noProof/>
          <w:color w:val="auto"/>
          <w:szCs w:val="20"/>
          <w:lang w:eastAsia="en-GB"/>
        </w:rPr>
        <w:t xml:space="preserve"> of the Office of the Police, Fire &amp; Crime Commissioner (OPFCC) Statement of Accounts.</w:t>
      </w:r>
    </w:p>
    <w:p w14:paraId="0CE6FDFA" w14:textId="77777777" w:rsidR="00D1044E" w:rsidRDefault="00D1044E" w:rsidP="003356AE">
      <w:pPr>
        <w:spacing w:line="240" w:lineRule="auto"/>
        <w:rPr>
          <w:lang w:val="pt-BR"/>
        </w:rPr>
      </w:pPr>
    </w:p>
    <w:p w14:paraId="53B04F96" w14:textId="7DAE1633" w:rsidR="001D2D0F" w:rsidRPr="00D200C9" w:rsidRDefault="002522D4" w:rsidP="003356AE">
      <w:pPr>
        <w:pStyle w:val="NoteHeader"/>
        <w:spacing w:line="240" w:lineRule="auto"/>
        <w:rPr>
          <w:lang w:val="pt-BR"/>
        </w:rPr>
      </w:pPr>
      <w:bookmarkStart w:id="138" w:name="_Toc230858572"/>
      <w:r w:rsidRPr="00D200C9">
        <w:rPr>
          <w:lang w:val="pt-BR"/>
        </w:rPr>
        <w:t>Note 17 - Unusable Reserves</w:t>
      </w:r>
      <w:bookmarkEnd w:id="134"/>
      <w:bookmarkEnd w:id="135"/>
      <w:bookmarkEnd w:id="136"/>
      <w:bookmarkEnd w:id="137"/>
      <w:bookmarkEnd w:id="138"/>
    </w:p>
    <w:p w14:paraId="51581996" w14:textId="1C1EF4A4" w:rsidR="00020078" w:rsidRDefault="00020078" w:rsidP="003356AE">
      <w:pPr>
        <w:pStyle w:val="VAHeadingLevel2"/>
        <w:spacing w:line="240" w:lineRule="auto"/>
        <w:rPr>
          <w:rFonts w:eastAsiaTheme="minorHAnsi"/>
          <w:lang w:val="en-US"/>
        </w:rPr>
      </w:pPr>
    </w:p>
    <w:tbl>
      <w:tblPr>
        <w:tblW w:w="5000" w:type="pct"/>
        <w:tblLook w:val="04A0" w:firstRow="1" w:lastRow="0" w:firstColumn="1" w:lastColumn="0" w:noHBand="0" w:noVBand="1"/>
      </w:tblPr>
      <w:tblGrid>
        <w:gridCol w:w="1596"/>
        <w:gridCol w:w="5879"/>
        <w:gridCol w:w="1597"/>
      </w:tblGrid>
      <w:tr w:rsidR="0059118A" w:rsidRPr="0059118A" w14:paraId="10CFFBE9" w14:textId="77777777" w:rsidTr="0059118A">
        <w:trPr>
          <w:trHeight w:val="240"/>
        </w:trPr>
        <w:tc>
          <w:tcPr>
            <w:tcW w:w="880" w:type="pct"/>
            <w:tcBorders>
              <w:top w:val="nil"/>
              <w:left w:val="nil"/>
              <w:bottom w:val="nil"/>
              <w:right w:val="nil"/>
            </w:tcBorders>
            <w:shd w:val="clear" w:color="000000" w:fill="000099"/>
            <w:vAlign w:val="center"/>
            <w:hideMark/>
          </w:tcPr>
          <w:p w14:paraId="09DB5EF7"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2024/25</w:t>
            </w:r>
          </w:p>
        </w:tc>
        <w:tc>
          <w:tcPr>
            <w:tcW w:w="3240" w:type="pct"/>
            <w:tcBorders>
              <w:top w:val="nil"/>
              <w:left w:val="nil"/>
              <w:bottom w:val="nil"/>
              <w:right w:val="nil"/>
            </w:tcBorders>
            <w:shd w:val="clear" w:color="000000" w:fill="000099"/>
            <w:vAlign w:val="center"/>
            <w:hideMark/>
          </w:tcPr>
          <w:p w14:paraId="3FD6DC3C"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 </w:t>
            </w:r>
          </w:p>
        </w:tc>
        <w:tc>
          <w:tcPr>
            <w:tcW w:w="880" w:type="pct"/>
            <w:tcBorders>
              <w:top w:val="nil"/>
              <w:left w:val="nil"/>
              <w:bottom w:val="nil"/>
              <w:right w:val="nil"/>
            </w:tcBorders>
            <w:shd w:val="clear" w:color="000000" w:fill="000099"/>
            <w:vAlign w:val="center"/>
            <w:hideMark/>
          </w:tcPr>
          <w:p w14:paraId="30CBAD9C"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2025/26</w:t>
            </w:r>
          </w:p>
        </w:tc>
      </w:tr>
      <w:tr w:rsidR="0059118A" w:rsidRPr="0059118A" w14:paraId="6404F069" w14:textId="77777777" w:rsidTr="0059118A">
        <w:trPr>
          <w:trHeight w:val="240"/>
        </w:trPr>
        <w:tc>
          <w:tcPr>
            <w:tcW w:w="880" w:type="pct"/>
            <w:tcBorders>
              <w:top w:val="nil"/>
              <w:left w:val="nil"/>
              <w:bottom w:val="nil"/>
              <w:right w:val="nil"/>
            </w:tcBorders>
            <w:shd w:val="clear" w:color="000000" w:fill="000099"/>
            <w:vAlign w:val="center"/>
            <w:hideMark/>
          </w:tcPr>
          <w:p w14:paraId="15FFE301"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£000</w:t>
            </w:r>
          </w:p>
        </w:tc>
        <w:tc>
          <w:tcPr>
            <w:tcW w:w="3240" w:type="pct"/>
            <w:tcBorders>
              <w:top w:val="nil"/>
              <w:left w:val="nil"/>
              <w:bottom w:val="nil"/>
              <w:right w:val="nil"/>
            </w:tcBorders>
            <w:shd w:val="clear" w:color="000000" w:fill="000099"/>
            <w:vAlign w:val="center"/>
            <w:hideMark/>
          </w:tcPr>
          <w:p w14:paraId="14B44A2C"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 </w:t>
            </w:r>
          </w:p>
        </w:tc>
        <w:tc>
          <w:tcPr>
            <w:tcW w:w="880" w:type="pct"/>
            <w:tcBorders>
              <w:top w:val="nil"/>
              <w:left w:val="nil"/>
              <w:bottom w:val="nil"/>
              <w:right w:val="nil"/>
            </w:tcBorders>
            <w:shd w:val="clear" w:color="000000" w:fill="000099"/>
            <w:vAlign w:val="center"/>
            <w:hideMark/>
          </w:tcPr>
          <w:p w14:paraId="638E4549"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£000</w:t>
            </w:r>
          </w:p>
        </w:tc>
      </w:tr>
      <w:tr w:rsidR="0059118A" w:rsidRPr="0059118A" w14:paraId="3C99CF92" w14:textId="77777777" w:rsidTr="0059118A">
        <w:trPr>
          <w:trHeight w:val="240"/>
        </w:trPr>
        <w:tc>
          <w:tcPr>
            <w:tcW w:w="880" w:type="pct"/>
            <w:tcBorders>
              <w:top w:val="nil"/>
              <w:left w:val="nil"/>
              <w:bottom w:val="nil"/>
              <w:right w:val="nil"/>
            </w:tcBorders>
            <w:shd w:val="clear" w:color="000000" w:fill="FFFFFF"/>
            <w:vAlign w:val="center"/>
            <w:hideMark/>
          </w:tcPr>
          <w:p w14:paraId="2C87E5C1"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w:t>
            </w:r>
          </w:p>
        </w:tc>
        <w:tc>
          <w:tcPr>
            <w:tcW w:w="3240" w:type="pct"/>
            <w:tcBorders>
              <w:top w:val="nil"/>
              <w:left w:val="nil"/>
              <w:bottom w:val="nil"/>
              <w:right w:val="nil"/>
            </w:tcBorders>
            <w:shd w:val="clear" w:color="000000" w:fill="FFFFFF"/>
            <w:vAlign w:val="center"/>
            <w:hideMark/>
          </w:tcPr>
          <w:p w14:paraId="7485EF62"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Revaluation Reserve</w:t>
            </w:r>
          </w:p>
        </w:tc>
        <w:tc>
          <w:tcPr>
            <w:tcW w:w="880" w:type="pct"/>
            <w:tcBorders>
              <w:top w:val="nil"/>
              <w:left w:val="nil"/>
              <w:bottom w:val="nil"/>
              <w:right w:val="nil"/>
            </w:tcBorders>
            <w:shd w:val="clear" w:color="000000" w:fill="CCECFF"/>
            <w:vAlign w:val="center"/>
            <w:hideMark/>
          </w:tcPr>
          <w:p w14:paraId="513D6D60"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w:t>
            </w:r>
          </w:p>
        </w:tc>
      </w:tr>
      <w:tr w:rsidR="0059118A" w:rsidRPr="0059118A" w14:paraId="19C64DB7" w14:textId="77777777" w:rsidTr="0059118A">
        <w:trPr>
          <w:trHeight w:val="240"/>
        </w:trPr>
        <w:tc>
          <w:tcPr>
            <w:tcW w:w="880" w:type="pct"/>
            <w:tcBorders>
              <w:top w:val="nil"/>
              <w:left w:val="nil"/>
              <w:bottom w:val="nil"/>
              <w:right w:val="nil"/>
            </w:tcBorders>
            <w:shd w:val="clear" w:color="000000" w:fill="FFFFFF"/>
            <w:vAlign w:val="center"/>
            <w:hideMark/>
          </w:tcPr>
          <w:p w14:paraId="73BCE9C1"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w:t>
            </w:r>
          </w:p>
        </w:tc>
        <w:tc>
          <w:tcPr>
            <w:tcW w:w="3240" w:type="pct"/>
            <w:tcBorders>
              <w:top w:val="nil"/>
              <w:left w:val="nil"/>
              <w:bottom w:val="nil"/>
              <w:right w:val="nil"/>
            </w:tcBorders>
            <w:shd w:val="clear" w:color="000000" w:fill="FFFFFF"/>
            <w:vAlign w:val="center"/>
            <w:hideMark/>
          </w:tcPr>
          <w:p w14:paraId="31608986"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Capital Adjustment Account</w:t>
            </w:r>
          </w:p>
        </w:tc>
        <w:tc>
          <w:tcPr>
            <w:tcW w:w="880" w:type="pct"/>
            <w:tcBorders>
              <w:top w:val="nil"/>
              <w:left w:val="nil"/>
              <w:bottom w:val="nil"/>
              <w:right w:val="nil"/>
            </w:tcBorders>
            <w:shd w:val="clear" w:color="000000" w:fill="CCECFF"/>
            <w:vAlign w:val="center"/>
            <w:hideMark/>
          </w:tcPr>
          <w:p w14:paraId="5F88AF9F"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w:t>
            </w:r>
          </w:p>
        </w:tc>
      </w:tr>
      <w:tr w:rsidR="0059118A" w:rsidRPr="0059118A" w14:paraId="47603C00" w14:textId="77777777" w:rsidTr="0059118A">
        <w:trPr>
          <w:trHeight w:val="240"/>
        </w:trPr>
        <w:tc>
          <w:tcPr>
            <w:tcW w:w="880" w:type="pct"/>
            <w:tcBorders>
              <w:top w:val="nil"/>
              <w:left w:val="nil"/>
              <w:bottom w:val="nil"/>
              <w:right w:val="nil"/>
            </w:tcBorders>
            <w:shd w:val="clear" w:color="000000" w:fill="FFFFFF"/>
            <w:vAlign w:val="center"/>
            <w:hideMark/>
          </w:tcPr>
          <w:p w14:paraId="67A02EFC"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w:t>
            </w:r>
          </w:p>
        </w:tc>
        <w:tc>
          <w:tcPr>
            <w:tcW w:w="3240" w:type="pct"/>
            <w:tcBorders>
              <w:top w:val="nil"/>
              <w:left w:val="nil"/>
              <w:bottom w:val="nil"/>
              <w:right w:val="nil"/>
            </w:tcBorders>
            <w:shd w:val="clear" w:color="000000" w:fill="FFFFFF"/>
            <w:vAlign w:val="center"/>
            <w:hideMark/>
          </w:tcPr>
          <w:p w14:paraId="07375AA8"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Collection Fund Adjustment Account</w:t>
            </w:r>
          </w:p>
        </w:tc>
        <w:tc>
          <w:tcPr>
            <w:tcW w:w="880" w:type="pct"/>
            <w:tcBorders>
              <w:top w:val="nil"/>
              <w:left w:val="nil"/>
              <w:bottom w:val="nil"/>
              <w:right w:val="nil"/>
            </w:tcBorders>
            <w:shd w:val="clear" w:color="000000" w:fill="CCECFF"/>
            <w:vAlign w:val="center"/>
            <w:hideMark/>
          </w:tcPr>
          <w:p w14:paraId="719DA217"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w:t>
            </w:r>
          </w:p>
        </w:tc>
      </w:tr>
      <w:tr w:rsidR="0059118A" w:rsidRPr="0059118A" w14:paraId="33DF0C4D" w14:textId="77777777" w:rsidTr="0059118A">
        <w:trPr>
          <w:trHeight w:val="240"/>
        </w:trPr>
        <w:tc>
          <w:tcPr>
            <w:tcW w:w="880" w:type="pct"/>
            <w:tcBorders>
              <w:top w:val="nil"/>
              <w:left w:val="nil"/>
              <w:bottom w:val="nil"/>
              <w:right w:val="nil"/>
            </w:tcBorders>
            <w:shd w:val="clear" w:color="000000" w:fill="FFFFFF"/>
            <w:vAlign w:val="center"/>
            <w:hideMark/>
          </w:tcPr>
          <w:p w14:paraId="51EA985A"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953,630</w:t>
            </w:r>
          </w:p>
        </w:tc>
        <w:tc>
          <w:tcPr>
            <w:tcW w:w="3240" w:type="pct"/>
            <w:tcBorders>
              <w:top w:val="nil"/>
              <w:left w:val="nil"/>
              <w:bottom w:val="nil"/>
              <w:right w:val="nil"/>
            </w:tcBorders>
            <w:shd w:val="clear" w:color="000000" w:fill="FFFFFF"/>
            <w:vAlign w:val="center"/>
            <w:hideMark/>
          </w:tcPr>
          <w:p w14:paraId="2FE3920F"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Pension Reserve</w:t>
            </w:r>
          </w:p>
        </w:tc>
        <w:tc>
          <w:tcPr>
            <w:tcW w:w="880" w:type="pct"/>
            <w:tcBorders>
              <w:top w:val="nil"/>
              <w:left w:val="nil"/>
              <w:bottom w:val="nil"/>
              <w:right w:val="nil"/>
            </w:tcBorders>
            <w:shd w:val="clear" w:color="000000" w:fill="CCECFF"/>
            <w:vAlign w:val="center"/>
            <w:hideMark/>
          </w:tcPr>
          <w:p w14:paraId="4867095D"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931,670</w:t>
            </w:r>
          </w:p>
        </w:tc>
      </w:tr>
      <w:tr w:rsidR="0059118A" w:rsidRPr="0059118A" w14:paraId="0ED78AF6" w14:textId="77777777" w:rsidTr="0059118A">
        <w:trPr>
          <w:trHeight w:val="240"/>
        </w:trPr>
        <w:tc>
          <w:tcPr>
            <w:tcW w:w="880" w:type="pct"/>
            <w:tcBorders>
              <w:top w:val="nil"/>
              <w:left w:val="nil"/>
              <w:bottom w:val="nil"/>
              <w:right w:val="nil"/>
            </w:tcBorders>
            <w:shd w:val="clear" w:color="000000" w:fill="FFFFFF"/>
            <w:vAlign w:val="center"/>
            <w:hideMark/>
          </w:tcPr>
          <w:p w14:paraId="0EE7C5CF"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1,654</w:t>
            </w:r>
          </w:p>
        </w:tc>
        <w:tc>
          <w:tcPr>
            <w:tcW w:w="3240" w:type="pct"/>
            <w:tcBorders>
              <w:top w:val="nil"/>
              <w:left w:val="nil"/>
              <w:bottom w:val="nil"/>
              <w:right w:val="nil"/>
            </w:tcBorders>
            <w:shd w:val="clear" w:color="000000" w:fill="FFFFFF"/>
            <w:vAlign w:val="center"/>
            <w:hideMark/>
          </w:tcPr>
          <w:p w14:paraId="6C9C55E3"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 xml:space="preserve">Accumulated Absences Account </w:t>
            </w:r>
          </w:p>
        </w:tc>
        <w:tc>
          <w:tcPr>
            <w:tcW w:w="880" w:type="pct"/>
            <w:tcBorders>
              <w:top w:val="nil"/>
              <w:left w:val="nil"/>
              <w:bottom w:val="nil"/>
              <w:right w:val="nil"/>
            </w:tcBorders>
            <w:shd w:val="clear" w:color="000000" w:fill="CCECFF"/>
            <w:vAlign w:val="center"/>
            <w:hideMark/>
          </w:tcPr>
          <w:p w14:paraId="4497CE70" w14:textId="77777777" w:rsidR="0059118A" w:rsidRPr="0059118A" w:rsidRDefault="0059118A" w:rsidP="0059118A">
            <w:pPr>
              <w:spacing w:after="0" w:line="240" w:lineRule="auto"/>
              <w:jc w:val="right"/>
              <w:rPr>
                <w:rFonts w:eastAsia="Times New Roman" w:cs="Calibri"/>
                <w:color w:val="auto"/>
                <w:sz w:val="18"/>
                <w:szCs w:val="18"/>
                <w:lang w:eastAsia="en-GB"/>
              </w:rPr>
            </w:pPr>
            <w:r w:rsidRPr="0059118A">
              <w:rPr>
                <w:rFonts w:eastAsia="Times New Roman" w:cs="Calibri"/>
                <w:color w:val="auto"/>
                <w:sz w:val="18"/>
                <w:szCs w:val="18"/>
                <w:lang w:eastAsia="en-GB"/>
              </w:rPr>
              <w:t>3,557</w:t>
            </w:r>
          </w:p>
        </w:tc>
      </w:tr>
      <w:tr w:rsidR="0059118A" w:rsidRPr="0059118A" w14:paraId="4AADDA8E" w14:textId="77777777" w:rsidTr="0059118A">
        <w:trPr>
          <w:trHeight w:val="240"/>
        </w:trPr>
        <w:tc>
          <w:tcPr>
            <w:tcW w:w="880" w:type="pct"/>
            <w:tcBorders>
              <w:top w:val="single" w:sz="4" w:space="0" w:color="auto"/>
              <w:left w:val="nil"/>
              <w:bottom w:val="single" w:sz="4" w:space="0" w:color="auto"/>
              <w:right w:val="nil"/>
            </w:tcBorders>
            <w:shd w:val="clear" w:color="000000" w:fill="FFFFFF"/>
            <w:vAlign w:val="center"/>
            <w:hideMark/>
          </w:tcPr>
          <w:p w14:paraId="7DFAC4E6" w14:textId="77777777" w:rsidR="0059118A" w:rsidRPr="003D30A0" w:rsidRDefault="0059118A" w:rsidP="0059118A">
            <w:pPr>
              <w:spacing w:after="0" w:line="240" w:lineRule="auto"/>
              <w:jc w:val="right"/>
              <w:rPr>
                <w:rFonts w:eastAsia="Times New Roman" w:cs="Calibri"/>
                <w:b/>
                <w:bCs/>
                <w:color w:val="auto"/>
                <w:sz w:val="18"/>
                <w:szCs w:val="18"/>
                <w:lang w:eastAsia="en-GB"/>
              </w:rPr>
            </w:pPr>
            <w:r w:rsidRPr="003D30A0">
              <w:rPr>
                <w:rFonts w:eastAsia="Times New Roman" w:cs="Calibri"/>
                <w:b/>
                <w:bCs/>
                <w:color w:val="auto"/>
                <w:sz w:val="18"/>
                <w:szCs w:val="18"/>
                <w:lang w:eastAsia="en-GB"/>
              </w:rPr>
              <w:t>955,284</w:t>
            </w:r>
          </w:p>
        </w:tc>
        <w:tc>
          <w:tcPr>
            <w:tcW w:w="3240" w:type="pct"/>
            <w:tcBorders>
              <w:top w:val="single" w:sz="4" w:space="0" w:color="auto"/>
              <w:left w:val="nil"/>
              <w:bottom w:val="single" w:sz="4" w:space="0" w:color="auto"/>
              <w:right w:val="nil"/>
            </w:tcBorders>
            <w:shd w:val="clear" w:color="000000" w:fill="FFFFFF"/>
            <w:vAlign w:val="center"/>
            <w:hideMark/>
          </w:tcPr>
          <w:p w14:paraId="18609AFA" w14:textId="77777777" w:rsidR="0059118A" w:rsidRPr="003D30A0" w:rsidRDefault="0059118A" w:rsidP="0059118A">
            <w:pPr>
              <w:spacing w:after="0" w:line="240" w:lineRule="auto"/>
              <w:jc w:val="left"/>
              <w:rPr>
                <w:rFonts w:eastAsia="Times New Roman" w:cs="Calibri"/>
                <w:b/>
                <w:bCs/>
                <w:color w:val="auto"/>
                <w:sz w:val="18"/>
                <w:szCs w:val="18"/>
                <w:lang w:eastAsia="en-GB"/>
              </w:rPr>
            </w:pPr>
            <w:r w:rsidRPr="003D30A0">
              <w:rPr>
                <w:rFonts w:eastAsia="Times New Roman" w:cs="Calibri"/>
                <w:b/>
                <w:bCs/>
                <w:color w:val="auto"/>
                <w:sz w:val="18"/>
                <w:szCs w:val="18"/>
                <w:lang w:eastAsia="en-GB"/>
              </w:rPr>
              <w:t xml:space="preserve">Balance 31 March </w:t>
            </w:r>
          </w:p>
        </w:tc>
        <w:tc>
          <w:tcPr>
            <w:tcW w:w="880" w:type="pct"/>
            <w:tcBorders>
              <w:top w:val="single" w:sz="4" w:space="0" w:color="auto"/>
              <w:left w:val="nil"/>
              <w:bottom w:val="single" w:sz="4" w:space="0" w:color="auto"/>
              <w:right w:val="nil"/>
            </w:tcBorders>
            <w:shd w:val="clear" w:color="000000" w:fill="CCECFF"/>
            <w:vAlign w:val="center"/>
            <w:hideMark/>
          </w:tcPr>
          <w:p w14:paraId="4D262031" w14:textId="77777777" w:rsidR="0059118A" w:rsidRPr="0059118A" w:rsidRDefault="0059118A" w:rsidP="0059118A">
            <w:pPr>
              <w:spacing w:after="0" w:line="240" w:lineRule="auto"/>
              <w:jc w:val="right"/>
              <w:rPr>
                <w:rFonts w:eastAsia="Times New Roman" w:cs="Calibri"/>
                <w:b/>
                <w:bCs/>
                <w:color w:val="auto"/>
                <w:sz w:val="18"/>
                <w:szCs w:val="18"/>
                <w:lang w:eastAsia="en-GB"/>
              </w:rPr>
            </w:pPr>
            <w:r w:rsidRPr="003D30A0">
              <w:rPr>
                <w:rFonts w:eastAsia="Times New Roman" w:cs="Calibri"/>
                <w:b/>
                <w:bCs/>
                <w:color w:val="auto"/>
                <w:sz w:val="18"/>
                <w:szCs w:val="18"/>
                <w:lang w:eastAsia="en-GB"/>
              </w:rPr>
              <w:t>935,227</w:t>
            </w:r>
          </w:p>
        </w:tc>
      </w:tr>
    </w:tbl>
    <w:p w14:paraId="139BC715" w14:textId="63B11928" w:rsidR="00087660" w:rsidRDefault="00087660" w:rsidP="003356AE">
      <w:pPr>
        <w:pStyle w:val="VAHeadingLevel2"/>
        <w:spacing w:line="240" w:lineRule="auto"/>
        <w:rPr>
          <w:rFonts w:eastAsia="Calibri"/>
          <w:lang w:val="pt-BR"/>
        </w:rPr>
      </w:pPr>
    </w:p>
    <w:p w14:paraId="06699B3E" w14:textId="1C4B662F" w:rsidR="008E12FD" w:rsidRDefault="008E12FD" w:rsidP="003356AE">
      <w:pPr>
        <w:pStyle w:val="VAHeadingLevel2"/>
        <w:spacing w:line="240" w:lineRule="auto"/>
        <w:rPr>
          <w:rFonts w:eastAsia="Calibri"/>
          <w:lang w:val="pt-BR"/>
        </w:rPr>
      </w:pPr>
      <w:r w:rsidRPr="004725E6">
        <w:rPr>
          <w:rFonts w:eastAsia="Calibri"/>
          <w:lang w:val="pt-BR"/>
        </w:rPr>
        <w:lastRenderedPageBreak/>
        <w:t>Pension Reserve</w:t>
      </w:r>
    </w:p>
    <w:p w14:paraId="1409D5BA" w14:textId="77777777" w:rsidR="002522D4" w:rsidRPr="003E1253" w:rsidRDefault="002522D4" w:rsidP="003356AE">
      <w:pPr>
        <w:spacing w:line="240" w:lineRule="auto"/>
        <w:rPr>
          <w:sz w:val="8"/>
          <w:szCs w:val="12"/>
        </w:rPr>
      </w:pPr>
    </w:p>
    <w:p w14:paraId="164C3004" w14:textId="04E36523" w:rsidR="008D0D52" w:rsidRDefault="002522D4" w:rsidP="003356AE">
      <w:pPr>
        <w:spacing w:line="240" w:lineRule="auto"/>
      </w:pPr>
      <w:r w:rsidRPr="004725E6">
        <w:t xml:space="preserve">The Pensions Reserve absorbs the timing differences arising from the different arrangements for accounting for post-employment benefits and for funding benefits in accordance with statutory provisions. </w:t>
      </w:r>
      <w:r w:rsidR="001D2D0F" w:rsidRPr="004725E6">
        <w:t xml:space="preserve"> </w:t>
      </w:r>
      <w:r w:rsidRPr="004725E6">
        <w:t xml:space="preserve">The </w:t>
      </w:r>
      <w:r w:rsidR="001D2D0F" w:rsidRPr="004725E6">
        <w:t>O</w:t>
      </w:r>
      <w:r w:rsidR="00C75713" w:rsidRPr="004725E6">
        <w:t>CC</w:t>
      </w:r>
      <w:r w:rsidRPr="004725E6">
        <w:t xml:space="preserve"> accounts for post-employment benefits in the Comprehensive Income and Expenditure Statement as the benefits are earned by employees accruing years of service, updating the liabilities recognised to reflect inflation, changing assumptions and investment returns on any resources set aside to meet the costs. </w:t>
      </w:r>
      <w:r w:rsidR="005433C7" w:rsidRPr="004725E6">
        <w:t xml:space="preserve"> </w:t>
      </w:r>
      <w:r w:rsidRPr="004725E6">
        <w:t xml:space="preserve">However, statutory arrangements require benefits earned to be financed as the </w:t>
      </w:r>
      <w:r w:rsidR="001D2D0F" w:rsidRPr="004725E6">
        <w:t>O</w:t>
      </w:r>
      <w:r w:rsidR="00C75713" w:rsidRPr="004725E6">
        <w:t>CC</w:t>
      </w:r>
      <w:r w:rsidRPr="004725E6">
        <w:t xml:space="preserve"> makes employer’s contributions to pension funds or eventually pay any pensions for which it is directly responsible.</w:t>
      </w:r>
      <w:r w:rsidR="005433C7" w:rsidRPr="004725E6">
        <w:t xml:space="preserve"> </w:t>
      </w:r>
      <w:r w:rsidRPr="004725E6">
        <w:t xml:space="preserve"> </w:t>
      </w:r>
      <w:r w:rsidRPr="0057472A">
        <w:t>The debit balance on the Pensions Reserve,</w:t>
      </w:r>
      <w:r w:rsidRPr="004725E6">
        <w:t xml:space="preserve"> therefore, shows a substantial shortfall in the benefits earned by past and current employees and the resources the </w:t>
      </w:r>
      <w:r w:rsidR="001D2D0F" w:rsidRPr="004725E6">
        <w:t>O</w:t>
      </w:r>
      <w:r w:rsidR="00C75713" w:rsidRPr="004725E6">
        <w:t>CC</w:t>
      </w:r>
      <w:r w:rsidRPr="004725E6">
        <w:t xml:space="preserve"> has set aside to meet them. </w:t>
      </w:r>
      <w:r w:rsidR="001D2D0F" w:rsidRPr="004725E6">
        <w:t xml:space="preserve"> </w:t>
      </w:r>
      <w:r w:rsidRPr="004725E6">
        <w:t>The statutory arrangements will ensure that funding will have been set aside by the tim</w:t>
      </w:r>
      <w:r w:rsidR="00BF68EF">
        <w:t>e the benefits come to be paid</w:t>
      </w:r>
      <w:r w:rsidR="007835BF">
        <w:t>.</w:t>
      </w:r>
    </w:p>
    <w:p w14:paraId="3A4B3872" w14:textId="7BDF599E" w:rsidR="00020078" w:rsidRDefault="00020078" w:rsidP="003356AE">
      <w:pPr>
        <w:spacing w:line="240" w:lineRule="auto"/>
        <w:jc w:val="left"/>
        <w:rPr>
          <w:rFonts w:asciiTheme="minorHAnsi" w:hAnsiTheme="minorHAnsi"/>
          <w:color w:val="auto"/>
          <w:sz w:val="24"/>
          <w:lang w:val="en-US"/>
        </w:rPr>
      </w:pPr>
    </w:p>
    <w:tbl>
      <w:tblPr>
        <w:tblW w:w="5000" w:type="pct"/>
        <w:tblLook w:val="04A0" w:firstRow="1" w:lastRow="0" w:firstColumn="1" w:lastColumn="0" w:noHBand="0" w:noVBand="1"/>
      </w:tblPr>
      <w:tblGrid>
        <w:gridCol w:w="1596"/>
        <w:gridCol w:w="5879"/>
        <w:gridCol w:w="1597"/>
      </w:tblGrid>
      <w:tr w:rsidR="0059118A" w:rsidRPr="0059118A" w14:paraId="1966A4C0" w14:textId="77777777" w:rsidTr="0059118A">
        <w:trPr>
          <w:trHeight w:val="240"/>
        </w:trPr>
        <w:tc>
          <w:tcPr>
            <w:tcW w:w="880" w:type="pct"/>
            <w:tcBorders>
              <w:top w:val="nil"/>
              <w:left w:val="nil"/>
              <w:bottom w:val="nil"/>
              <w:right w:val="nil"/>
            </w:tcBorders>
            <w:shd w:val="clear" w:color="000000" w:fill="000099"/>
            <w:vAlign w:val="bottom"/>
            <w:hideMark/>
          </w:tcPr>
          <w:p w14:paraId="67584AA2"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2024/25</w:t>
            </w:r>
          </w:p>
        </w:tc>
        <w:tc>
          <w:tcPr>
            <w:tcW w:w="3240" w:type="pct"/>
            <w:tcBorders>
              <w:top w:val="nil"/>
              <w:left w:val="nil"/>
              <w:bottom w:val="nil"/>
              <w:right w:val="nil"/>
            </w:tcBorders>
            <w:shd w:val="clear" w:color="000000" w:fill="000099"/>
            <w:vAlign w:val="bottom"/>
            <w:hideMark/>
          </w:tcPr>
          <w:p w14:paraId="413415F3"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 xml:space="preserve"> </w:t>
            </w:r>
          </w:p>
        </w:tc>
        <w:tc>
          <w:tcPr>
            <w:tcW w:w="880" w:type="pct"/>
            <w:tcBorders>
              <w:top w:val="nil"/>
              <w:left w:val="nil"/>
              <w:bottom w:val="nil"/>
              <w:right w:val="nil"/>
            </w:tcBorders>
            <w:shd w:val="clear" w:color="000000" w:fill="000099"/>
            <w:vAlign w:val="bottom"/>
            <w:hideMark/>
          </w:tcPr>
          <w:p w14:paraId="063AD0BD"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2025/26</w:t>
            </w:r>
          </w:p>
        </w:tc>
      </w:tr>
      <w:tr w:rsidR="0059118A" w:rsidRPr="0059118A" w14:paraId="4DE1033A" w14:textId="77777777" w:rsidTr="0059118A">
        <w:trPr>
          <w:trHeight w:val="240"/>
        </w:trPr>
        <w:tc>
          <w:tcPr>
            <w:tcW w:w="880" w:type="pct"/>
            <w:tcBorders>
              <w:top w:val="nil"/>
              <w:left w:val="nil"/>
              <w:bottom w:val="nil"/>
              <w:right w:val="nil"/>
            </w:tcBorders>
            <w:shd w:val="clear" w:color="000000" w:fill="000099"/>
            <w:vAlign w:val="bottom"/>
            <w:hideMark/>
          </w:tcPr>
          <w:p w14:paraId="11CB152C"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£000</w:t>
            </w:r>
          </w:p>
        </w:tc>
        <w:tc>
          <w:tcPr>
            <w:tcW w:w="3240" w:type="pct"/>
            <w:tcBorders>
              <w:top w:val="nil"/>
              <w:left w:val="nil"/>
              <w:bottom w:val="nil"/>
              <w:right w:val="nil"/>
            </w:tcBorders>
            <w:shd w:val="clear" w:color="000000" w:fill="000099"/>
            <w:vAlign w:val="bottom"/>
            <w:hideMark/>
          </w:tcPr>
          <w:p w14:paraId="36F7EE09"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 xml:space="preserve"> </w:t>
            </w:r>
          </w:p>
        </w:tc>
        <w:tc>
          <w:tcPr>
            <w:tcW w:w="880" w:type="pct"/>
            <w:tcBorders>
              <w:top w:val="nil"/>
              <w:left w:val="nil"/>
              <w:bottom w:val="nil"/>
              <w:right w:val="nil"/>
            </w:tcBorders>
            <w:shd w:val="clear" w:color="000000" w:fill="000099"/>
            <w:vAlign w:val="bottom"/>
            <w:hideMark/>
          </w:tcPr>
          <w:p w14:paraId="607399D2" w14:textId="77777777" w:rsidR="0059118A" w:rsidRPr="0059118A" w:rsidRDefault="0059118A" w:rsidP="0059118A">
            <w:pPr>
              <w:spacing w:after="0" w:line="240" w:lineRule="auto"/>
              <w:jc w:val="center"/>
              <w:rPr>
                <w:rFonts w:eastAsia="Times New Roman" w:cs="Calibri"/>
                <w:b/>
                <w:bCs/>
                <w:color w:val="FFFFFF"/>
                <w:sz w:val="18"/>
                <w:szCs w:val="18"/>
                <w:lang w:eastAsia="en-GB"/>
              </w:rPr>
            </w:pPr>
            <w:r w:rsidRPr="0059118A">
              <w:rPr>
                <w:rFonts w:eastAsia="Times New Roman" w:cs="Calibri"/>
                <w:b/>
                <w:bCs/>
                <w:color w:val="FFFFFF"/>
                <w:sz w:val="18"/>
                <w:szCs w:val="18"/>
                <w:lang w:eastAsia="en-GB"/>
              </w:rPr>
              <w:t>£000</w:t>
            </w:r>
          </w:p>
        </w:tc>
      </w:tr>
      <w:tr w:rsidR="0059118A" w:rsidRPr="0059118A" w14:paraId="742AC302" w14:textId="77777777" w:rsidTr="0059118A">
        <w:trPr>
          <w:trHeight w:val="240"/>
        </w:trPr>
        <w:tc>
          <w:tcPr>
            <w:tcW w:w="880" w:type="pct"/>
            <w:tcBorders>
              <w:top w:val="nil"/>
              <w:left w:val="nil"/>
              <w:bottom w:val="nil"/>
              <w:right w:val="nil"/>
            </w:tcBorders>
            <w:shd w:val="clear" w:color="000000" w:fill="FFFFFF"/>
            <w:noWrap/>
            <w:vAlign w:val="center"/>
            <w:hideMark/>
          </w:tcPr>
          <w:p w14:paraId="4C459E2A" w14:textId="77777777" w:rsidR="0059118A" w:rsidRPr="0059118A" w:rsidRDefault="0059118A" w:rsidP="0059118A">
            <w:pPr>
              <w:spacing w:after="0" w:line="240" w:lineRule="auto"/>
              <w:jc w:val="right"/>
              <w:rPr>
                <w:rFonts w:eastAsia="Times New Roman" w:cs="Calibri"/>
                <w:b/>
                <w:bCs/>
                <w:color w:val="000000"/>
                <w:sz w:val="18"/>
                <w:szCs w:val="18"/>
                <w:lang w:eastAsia="en-GB"/>
              </w:rPr>
            </w:pPr>
            <w:r w:rsidRPr="0059118A">
              <w:rPr>
                <w:rFonts w:eastAsia="Times New Roman" w:cs="Calibri"/>
                <w:b/>
                <w:bCs/>
                <w:color w:val="000000"/>
                <w:sz w:val="18"/>
                <w:szCs w:val="18"/>
                <w:lang w:eastAsia="en-GB"/>
              </w:rPr>
              <w:t>1,055,020</w:t>
            </w:r>
          </w:p>
        </w:tc>
        <w:tc>
          <w:tcPr>
            <w:tcW w:w="3240" w:type="pct"/>
            <w:tcBorders>
              <w:top w:val="nil"/>
              <w:left w:val="nil"/>
              <w:bottom w:val="nil"/>
              <w:right w:val="nil"/>
            </w:tcBorders>
            <w:shd w:val="clear" w:color="000000" w:fill="FFFFFF"/>
            <w:vAlign w:val="center"/>
            <w:hideMark/>
          </w:tcPr>
          <w:p w14:paraId="25D17FC9" w14:textId="77777777" w:rsidR="0059118A" w:rsidRPr="0059118A" w:rsidRDefault="0059118A" w:rsidP="0059118A">
            <w:pPr>
              <w:spacing w:after="0" w:line="240" w:lineRule="auto"/>
              <w:jc w:val="left"/>
              <w:rPr>
                <w:rFonts w:eastAsia="Times New Roman" w:cs="Calibri"/>
                <w:b/>
                <w:bCs/>
                <w:color w:val="auto"/>
                <w:sz w:val="18"/>
                <w:szCs w:val="18"/>
                <w:lang w:eastAsia="en-GB"/>
              </w:rPr>
            </w:pPr>
            <w:r w:rsidRPr="0059118A">
              <w:rPr>
                <w:rFonts w:eastAsia="Times New Roman" w:cs="Calibri"/>
                <w:b/>
                <w:bCs/>
                <w:color w:val="auto"/>
                <w:sz w:val="18"/>
                <w:szCs w:val="18"/>
                <w:lang w:eastAsia="en-GB"/>
              </w:rPr>
              <w:t xml:space="preserve">Balance 1 April </w:t>
            </w:r>
          </w:p>
        </w:tc>
        <w:tc>
          <w:tcPr>
            <w:tcW w:w="880" w:type="pct"/>
            <w:tcBorders>
              <w:top w:val="nil"/>
              <w:left w:val="nil"/>
              <w:bottom w:val="nil"/>
              <w:right w:val="nil"/>
            </w:tcBorders>
            <w:shd w:val="clear" w:color="000000" w:fill="CCECFF"/>
            <w:noWrap/>
            <w:vAlign w:val="center"/>
            <w:hideMark/>
          </w:tcPr>
          <w:p w14:paraId="71200348" w14:textId="77777777" w:rsidR="0059118A" w:rsidRPr="0059118A" w:rsidRDefault="0059118A" w:rsidP="0059118A">
            <w:pPr>
              <w:spacing w:after="0" w:line="240" w:lineRule="auto"/>
              <w:jc w:val="right"/>
              <w:rPr>
                <w:rFonts w:eastAsia="Times New Roman" w:cs="Calibri"/>
                <w:b/>
                <w:bCs/>
                <w:color w:val="000000"/>
                <w:sz w:val="18"/>
                <w:szCs w:val="18"/>
                <w:lang w:eastAsia="en-GB"/>
              </w:rPr>
            </w:pPr>
            <w:r w:rsidRPr="0059118A">
              <w:rPr>
                <w:rFonts w:eastAsia="Times New Roman" w:cs="Calibri"/>
                <w:b/>
                <w:bCs/>
                <w:color w:val="000000"/>
                <w:sz w:val="18"/>
                <w:szCs w:val="18"/>
                <w:lang w:eastAsia="en-GB"/>
              </w:rPr>
              <w:t>953,630</w:t>
            </w:r>
          </w:p>
        </w:tc>
      </w:tr>
      <w:tr w:rsidR="0059118A" w:rsidRPr="0059118A" w14:paraId="29ECA0A9" w14:textId="77777777" w:rsidTr="0059118A">
        <w:trPr>
          <w:trHeight w:val="240"/>
        </w:trPr>
        <w:tc>
          <w:tcPr>
            <w:tcW w:w="880" w:type="pct"/>
            <w:tcBorders>
              <w:top w:val="nil"/>
              <w:left w:val="nil"/>
              <w:bottom w:val="nil"/>
              <w:right w:val="nil"/>
            </w:tcBorders>
            <w:shd w:val="clear" w:color="000000" w:fill="FFFFFF"/>
            <w:noWrap/>
            <w:vAlign w:val="center"/>
            <w:hideMark/>
          </w:tcPr>
          <w:p w14:paraId="27882C9F" w14:textId="77777777" w:rsidR="0059118A" w:rsidRPr="0059118A" w:rsidRDefault="0059118A" w:rsidP="0059118A">
            <w:pPr>
              <w:spacing w:after="0" w:line="240" w:lineRule="auto"/>
              <w:jc w:val="right"/>
              <w:rPr>
                <w:rFonts w:eastAsia="Times New Roman" w:cs="Calibri"/>
                <w:color w:val="000000"/>
                <w:sz w:val="18"/>
                <w:szCs w:val="18"/>
                <w:lang w:eastAsia="en-GB"/>
              </w:rPr>
            </w:pPr>
            <w:r w:rsidRPr="0059118A">
              <w:rPr>
                <w:rFonts w:eastAsia="Times New Roman" w:cs="Calibri"/>
                <w:color w:val="000000"/>
                <w:sz w:val="18"/>
                <w:szCs w:val="18"/>
                <w:lang w:eastAsia="en-GB"/>
              </w:rPr>
              <w:t>(121,032)</w:t>
            </w:r>
          </w:p>
        </w:tc>
        <w:tc>
          <w:tcPr>
            <w:tcW w:w="3240" w:type="pct"/>
            <w:tcBorders>
              <w:top w:val="nil"/>
              <w:left w:val="nil"/>
              <w:bottom w:val="nil"/>
              <w:right w:val="nil"/>
            </w:tcBorders>
            <w:shd w:val="clear" w:color="000000" w:fill="FFFFFF"/>
            <w:vAlign w:val="center"/>
            <w:hideMark/>
          </w:tcPr>
          <w:p w14:paraId="2E24A435"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Re-measurements of the net defined benefit (liability)/asset</w:t>
            </w:r>
          </w:p>
        </w:tc>
        <w:tc>
          <w:tcPr>
            <w:tcW w:w="880" w:type="pct"/>
            <w:tcBorders>
              <w:top w:val="nil"/>
              <w:left w:val="nil"/>
              <w:bottom w:val="nil"/>
              <w:right w:val="nil"/>
            </w:tcBorders>
            <w:shd w:val="clear" w:color="000000" w:fill="CCECFF"/>
            <w:noWrap/>
            <w:vAlign w:val="center"/>
            <w:hideMark/>
          </w:tcPr>
          <w:p w14:paraId="4EBC53EE" w14:textId="77777777" w:rsidR="0059118A" w:rsidRPr="0059118A" w:rsidRDefault="0059118A" w:rsidP="0059118A">
            <w:pPr>
              <w:spacing w:after="0" w:line="240" w:lineRule="auto"/>
              <w:jc w:val="right"/>
              <w:rPr>
                <w:rFonts w:eastAsia="Times New Roman" w:cs="Calibri"/>
                <w:color w:val="000000"/>
                <w:sz w:val="18"/>
                <w:szCs w:val="18"/>
                <w:lang w:eastAsia="en-GB"/>
              </w:rPr>
            </w:pPr>
            <w:r w:rsidRPr="0059118A">
              <w:rPr>
                <w:rFonts w:eastAsia="Times New Roman" w:cs="Calibri"/>
                <w:color w:val="000000"/>
                <w:sz w:val="18"/>
                <w:szCs w:val="18"/>
                <w:lang w:eastAsia="en-GB"/>
              </w:rPr>
              <w:t>(40,650)</w:t>
            </w:r>
          </w:p>
        </w:tc>
      </w:tr>
      <w:tr w:rsidR="0059118A" w:rsidRPr="0059118A" w14:paraId="2E638D09" w14:textId="77777777" w:rsidTr="0059118A">
        <w:trPr>
          <w:trHeight w:val="720"/>
        </w:trPr>
        <w:tc>
          <w:tcPr>
            <w:tcW w:w="880" w:type="pct"/>
            <w:tcBorders>
              <w:top w:val="nil"/>
              <w:left w:val="nil"/>
              <w:bottom w:val="nil"/>
              <w:right w:val="nil"/>
            </w:tcBorders>
            <w:shd w:val="clear" w:color="000000" w:fill="FFFFFF"/>
            <w:noWrap/>
            <w:vAlign w:val="center"/>
            <w:hideMark/>
          </w:tcPr>
          <w:p w14:paraId="75DC4D01" w14:textId="77777777" w:rsidR="0059118A" w:rsidRPr="0059118A" w:rsidRDefault="0059118A" w:rsidP="0059118A">
            <w:pPr>
              <w:spacing w:after="0" w:line="240" w:lineRule="auto"/>
              <w:jc w:val="right"/>
              <w:rPr>
                <w:rFonts w:eastAsia="Times New Roman" w:cs="Calibri"/>
                <w:color w:val="000000"/>
                <w:sz w:val="18"/>
                <w:szCs w:val="18"/>
                <w:lang w:eastAsia="en-GB"/>
              </w:rPr>
            </w:pPr>
            <w:r w:rsidRPr="0059118A">
              <w:rPr>
                <w:rFonts w:eastAsia="Times New Roman" w:cs="Calibri"/>
                <w:color w:val="000000"/>
                <w:sz w:val="18"/>
                <w:szCs w:val="18"/>
                <w:lang w:eastAsia="en-GB"/>
              </w:rPr>
              <w:t>65,483</w:t>
            </w:r>
          </w:p>
        </w:tc>
        <w:tc>
          <w:tcPr>
            <w:tcW w:w="3240" w:type="pct"/>
            <w:tcBorders>
              <w:top w:val="nil"/>
              <w:left w:val="nil"/>
              <w:bottom w:val="nil"/>
              <w:right w:val="nil"/>
            </w:tcBorders>
            <w:shd w:val="clear" w:color="000000" w:fill="FFFFFF"/>
            <w:vAlign w:val="center"/>
            <w:hideMark/>
          </w:tcPr>
          <w:p w14:paraId="1F8328DC"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 xml:space="preserve">Reversal of items relating to retirement benefits debited or credited to the (Surplus)/Deficit on the Provision of Services in the Comprehensive Income and Expenditure Statement </w:t>
            </w:r>
          </w:p>
        </w:tc>
        <w:tc>
          <w:tcPr>
            <w:tcW w:w="880" w:type="pct"/>
            <w:tcBorders>
              <w:top w:val="nil"/>
              <w:left w:val="nil"/>
              <w:bottom w:val="nil"/>
              <w:right w:val="nil"/>
            </w:tcBorders>
            <w:shd w:val="clear" w:color="000000" w:fill="CCECFF"/>
            <w:noWrap/>
            <w:vAlign w:val="center"/>
            <w:hideMark/>
          </w:tcPr>
          <w:p w14:paraId="05C33F64" w14:textId="77777777" w:rsidR="0059118A" w:rsidRPr="0059118A" w:rsidRDefault="0059118A" w:rsidP="0059118A">
            <w:pPr>
              <w:spacing w:after="0" w:line="240" w:lineRule="auto"/>
              <w:jc w:val="right"/>
              <w:rPr>
                <w:rFonts w:eastAsia="Times New Roman" w:cs="Calibri"/>
                <w:color w:val="000000"/>
                <w:sz w:val="18"/>
                <w:szCs w:val="18"/>
                <w:lang w:eastAsia="en-GB"/>
              </w:rPr>
            </w:pPr>
            <w:r w:rsidRPr="0059118A">
              <w:rPr>
                <w:rFonts w:eastAsia="Times New Roman" w:cs="Calibri"/>
                <w:color w:val="000000"/>
                <w:sz w:val="18"/>
                <w:szCs w:val="18"/>
                <w:lang w:eastAsia="en-GB"/>
              </w:rPr>
              <w:t>65,103</w:t>
            </w:r>
          </w:p>
        </w:tc>
      </w:tr>
      <w:tr w:rsidR="0059118A" w:rsidRPr="0059118A" w14:paraId="220F4378" w14:textId="77777777" w:rsidTr="0059118A">
        <w:trPr>
          <w:trHeight w:val="480"/>
        </w:trPr>
        <w:tc>
          <w:tcPr>
            <w:tcW w:w="880" w:type="pct"/>
            <w:tcBorders>
              <w:top w:val="nil"/>
              <w:left w:val="nil"/>
              <w:bottom w:val="nil"/>
              <w:right w:val="nil"/>
            </w:tcBorders>
            <w:shd w:val="clear" w:color="000000" w:fill="FFFFFF"/>
            <w:noWrap/>
            <w:vAlign w:val="center"/>
            <w:hideMark/>
          </w:tcPr>
          <w:p w14:paraId="3C266477" w14:textId="77777777" w:rsidR="0059118A" w:rsidRPr="0059118A" w:rsidRDefault="0059118A" w:rsidP="0059118A">
            <w:pPr>
              <w:spacing w:after="0" w:line="240" w:lineRule="auto"/>
              <w:jc w:val="right"/>
              <w:rPr>
                <w:rFonts w:eastAsia="Times New Roman" w:cs="Calibri"/>
                <w:color w:val="000000"/>
                <w:sz w:val="18"/>
                <w:szCs w:val="18"/>
                <w:lang w:eastAsia="en-GB"/>
              </w:rPr>
            </w:pPr>
            <w:r w:rsidRPr="0059118A">
              <w:rPr>
                <w:rFonts w:eastAsia="Times New Roman" w:cs="Calibri"/>
                <w:color w:val="000000"/>
                <w:sz w:val="18"/>
                <w:szCs w:val="18"/>
                <w:lang w:eastAsia="en-GB"/>
              </w:rPr>
              <w:t>(45,841)</w:t>
            </w:r>
          </w:p>
        </w:tc>
        <w:tc>
          <w:tcPr>
            <w:tcW w:w="3240" w:type="pct"/>
            <w:tcBorders>
              <w:top w:val="nil"/>
              <w:left w:val="nil"/>
              <w:bottom w:val="nil"/>
              <w:right w:val="nil"/>
            </w:tcBorders>
            <w:shd w:val="clear" w:color="000000" w:fill="FFFFFF"/>
            <w:vAlign w:val="center"/>
            <w:hideMark/>
          </w:tcPr>
          <w:p w14:paraId="27E90D09" w14:textId="77777777" w:rsidR="0059118A" w:rsidRPr="0059118A" w:rsidRDefault="0059118A" w:rsidP="0059118A">
            <w:pPr>
              <w:spacing w:after="0" w:line="240" w:lineRule="auto"/>
              <w:jc w:val="left"/>
              <w:rPr>
                <w:rFonts w:eastAsia="Times New Roman" w:cs="Calibri"/>
                <w:color w:val="auto"/>
                <w:sz w:val="18"/>
                <w:szCs w:val="18"/>
                <w:lang w:eastAsia="en-GB"/>
              </w:rPr>
            </w:pPr>
            <w:r w:rsidRPr="0059118A">
              <w:rPr>
                <w:rFonts w:eastAsia="Times New Roman" w:cs="Calibri"/>
                <w:color w:val="auto"/>
                <w:sz w:val="18"/>
                <w:szCs w:val="18"/>
                <w:lang w:eastAsia="en-GB"/>
              </w:rPr>
              <w:t>Employer's pensions contributions and direct payments to pensioners payable in the year</w:t>
            </w:r>
          </w:p>
        </w:tc>
        <w:tc>
          <w:tcPr>
            <w:tcW w:w="880" w:type="pct"/>
            <w:tcBorders>
              <w:top w:val="nil"/>
              <w:left w:val="nil"/>
              <w:bottom w:val="nil"/>
              <w:right w:val="nil"/>
            </w:tcBorders>
            <w:shd w:val="clear" w:color="000000" w:fill="CCECFF"/>
            <w:noWrap/>
            <w:vAlign w:val="center"/>
            <w:hideMark/>
          </w:tcPr>
          <w:p w14:paraId="32A5EA03" w14:textId="77777777" w:rsidR="0059118A" w:rsidRPr="0059118A" w:rsidRDefault="0059118A" w:rsidP="0059118A">
            <w:pPr>
              <w:spacing w:after="0" w:line="240" w:lineRule="auto"/>
              <w:jc w:val="right"/>
              <w:rPr>
                <w:rFonts w:eastAsia="Times New Roman" w:cs="Calibri"/>
                <w:color w:val="000000"/>
                <w:sz w:val="18"/>
                <w:szCs w:val="18"/>
                <w:lang w:eastAsia="en-GB"/>
              </w:rPr>
            </w:pPr>
            <w:r w:rsidRPr="0059118A">
              <w:rPr>
                <w:rFonts w:eastAsia="Times New Roman" w:cs="Calibri"/>
                <w:color w:val="000000"/>
                <w:sz w:val="18"/>
                <w:szCs w:val="18"/>
                <w:lang w:eastAsia="en-GB"/>
              </w:rPr>
              <w:t>(46,413)</w:t>
            </w:r>
          </w:p>
        </w:tc>
      </w:tr>
      <w:tr w:rsidR="0059118A" w:rsidRPr="0059118A" w14:paraId="4634C98C" w14:textId="77777777" w:rsidTr="0059118A">
        <w:trPr>
          <w:trHeight w:val="240"/>
        </w:trPr>
        <w:tc>
          <w:tcPr>
            <w:tcW w:w="880" w:type="pct"/>
            <w:tcBorders>
              <w:top w:val="single" w:sz="4" w:space="0" w:color="auto"/>
              <w:left w:val="nil"/>
              <w:bottom w:val="single" w:sz="4" w:space="0" w:color="auto"/>
              <w:right w:val="nil"/>
            </w:tcBorders>
            <w:shd w:val="clear" w:color="000000" w:fill="FFFFFF"/>
            <w:noWrap/>
            <w:vAlign w:val="center"/>
            <w:hideMark/>
          </w:tcPr>
          <w:p w14:paraId="3E9C05EC" w14:textId="77777777" w:rsidR="0059118A" w:rsidRPr="0059118A" w:rsidRDefault="0059118A" w:rsidP="0059118A">
            <w:pPr>
              <w:spacing w:after="0" w:line="240" w:lineRule="auto"/>
              <w:jc w:val="right"/>
              <w:rPr>
                <w:rFonts w:eastAsia="Times New Roman" w:cs="Calibri"/>
                <w:b/>
                <w:bCs/>
                <w:color w:val="000000"/>
                <w:sz w:val="18"/>
                <w:szCs w:val="18"/>
                <w:lang w:eastAsia="en-GB"/>
              </w:rPr>
            </w:pPr>
            <w:r w:rsidRPr="0059118A">
              <w:rPr>
                <w:rFonts w:eastAsia="Times New Roman" w:cs="Calibri"/>
                <w:b/>
                <w:bCs/>
                <w:color w:val="000000"/>
                <w:sz w:val="18"/>
                <w:szCs w:val="18"/>
                <w:lang w:eastAsia="en-GB"/>
              </w:rPr>
              <w:t>953,630</w:t>
            </w:r>
          </w:p>
        </w:tc>
        <w:tc>
          <w:tcPr>
            <w:tcW w:w="3240" w:type="pct"/>
            <w:tcBorders>
              <w:top w:val="single" w:sz="4" w:space="0" w:color="auto"/>
              <w:left w:val="nil"/>
              <w:bottom w:val="single" w:sz="4" w:space="0" w:color="auto"/>
              <w:right w:val="nil"/>
            </w:tcBorders>
            <w:shd w:val="clear" w:color="000000" w:fill="FFFFFF"/>
            <w:vAlign w:val="center"/>
            <w:hideMark/>
          </w:tcPr>
          <w:p w14:paraId="029BF279" w14:textId="77777777" w:rsidR="0059118A" w:rsidRPr="0059118A" w:rsidRDefault="0059118A" w:rsidP="0059118A">
            <w:pPr>
              <w:spacing w:after="0" w:line="240" w:lineRule="auto"/>
              <w:jc w:val="left"/>
              <w:rPr>
                <w:rFonts w:eastAsia="Times New Roman" w:cs="Calibri"/>
                <w:b/>
                <w:bCs/>
                <w:color w:val="auto"/>
                <w:sz w:val="18"/>
                <w:szCs w:val="18"/>
                <w:lang w:eastAsia="en-GB"/>
              </w:rPr>
            </w:pPr>
            <w:r w:rsidRPr="0059118A">
              <w:rPr>
                <w:rFonts w:eastAsia="Times New Roman" w:cs="Calibri"/>
                <w:b/>
                <w:bCs/>
                <w:color w:val="auto"/>
                <w:sz w:val="18"/>
                <w:szCs w:val="18"/>
                <w:lang w:eastAsia="en-GB"/>
              </w:rPr>
              <w:t xml:space="preserve">Balance 31 March </w:t>
            </w:r>
          </w:p>
        </w:tc>
        <w:tc>
          <w:tcPr>
            <w:tcW w:w="880" w:type="pct"/>
            <w:tcBorders>
              <w:top w:val="single" w:sz="4" w:space="0" w:color="auto"/>
              <w:left w:val="nil"/>
              <w:bottom w:val="single" w:sz="4" w:space="0" w:color="auto"/>
              <w:right w:val="nil"/>
            </w:tcBorders>
            <w:shd w:val="clear" w:color="000000" w:fill="CCECFF"/>
            <w:noWrap/>
            <w:vAlign w:val="center"/>
            <w:hideMark/>
          </w:tcPr>
          <w:p w14:paraId="33B1C73A" w14:textId="77777777" w:rsidR="0059118A" w:rsidRPr="0059118A" w:rsidRDefault="0059118A" w:rsidP="0059118A">
            <w:pPr>
              <w:spacing w:after="0" w:line="240" w:lineRule="auto"/>
              <w:jc w:val="right"/>
              <w:rPr>
                <w:rFonts w:eastAsia="Times New Roman" w:cs="Calibri"/>
                <w:b/>
                <w:bCs/>
                <w:color w:val="000000"/>
                <w:sz w:val="18"/>
                <w:szCs w:val="18"/>
                <w:lang w:eastAsia="en-GB"/>
              </w:rPr>
            </w:pPr>
            <w:r w:rsidRPr="0059118A">
              <w:rPr>
                <w:rFonts w:eastAsia="Times New Roman" w:cs="Calibri"/>
                <w:b/>
                <w:bCs/>
                <w:color w:val="000000"/>
                <w:sz w:val="18"/>
                <w:szCs w:val="18"/>
                <w:lang w:eastAsia="en-GB"/>
              </w:rPr>
              <w:t>931,670</w:t>
            </w:r>
          </w:p>
        </w:tc>
      </w:tr>
    </w:tbl>
    <w:p w14:paraId="76C9649A" w14:textId="54AF6CBB" w:rsidR="00DC7B44" w:rsidRDefault="00DC7B44">
      <w:pPr>
        <w:spacing w:after="0" w:line="240" w:lineRule="auto"/>
        <w:jc w:val="left"/>
        <w:rPr>
          <w:rFonts w:asciiTheme="minorHAnsi" w:eastAsia="Verdana" w:hAnsiTheme="minorHAnsi" w:cs="Times New Roman"/>
          <w:bCs/>
          <w:color w:val="25316C"/>
          <w:sz w:val="24"/>
        </w:rPr>
      </w:pPr>
    </w:p>
    <w:p w14:paraId="657D5432" w14:textId="427DFFC1" w:rsidR="002522D4" w:rsidRDefault="008E12FD" w:rsidP="003356AE">
      <w:pPr>
        <w:pStyle w:val="VAHeadingLevel2"/>
        <w:spacing w:line="240" w:lineRule="auto"/>
        <w:rPr>
          <w:rFonts w:eastAsia="Verdana"/>
        </w:rPr>
      </w:pPr>
      <w:r w:rsidRPr="007A6FF0">
        <w:rPr>
          <w:rFonts w:eastAsia="Verdana"/>
        </w:rPr>
        <w:t>Accumulated Absences Account</w:t>
      </w:r>
    </w:p>
    <w:p w14:paraId="1413E3F3" w14:textId="7B2081DE" w:rsidR="00BF68EF" w:rsidRPr="003E1253" w:rsidRDefault="00BF68EF" w:rsidP="003356AE">
      <w:pPr>
        <w:spacing w:line="240" w:lineRule="auto"/>
        <w:rPr>
          <w:sz w:val="10"/>
          <w:szCs w:val="14"/>
        </w:rPr>
      </w:pPr>
    </w:p>
    <w:p w14:paraId="363062BE" w14:textId="33D694E1" w:rsidR="00FC7D71" w:rsidRDefault="008D0D52" w:rsidP="003356AE">
      <w:pPr>
        <w:spacing w:line="240" w:lineRule="auto"/>
      </w:pPr>
      <w:r w:rsidRPr="007A6FF0">
        <w:t>The Accumulated Absences Account absorbs the differences that would otherwise arise on the General Fund Balance from accruing for compensated absences earned but not taken in the year</w:t>
      </w:r>
      <w:r>
        <w:t xml:space="preserve">.  For example, </w:t>
      </w:r>
      <w:r w:rsidRPr="007A6FF0">
        <w:t>annual leave entitlement</w:t>
      </w:r>
      <w:r>
        <w:t>s</w:t>
      </w:r>
      <w:r w:rsidRPr="007A6FF0">
        <w:t xml:space="preserve"> carried forward </w:t>
      </w:r>
      <w:r>
        <w:t xml:space="preserve">as </w:t>
      </w:r>
      <w:proofErr w:type="gramStart"/>
      <w:r w:rsidRPr="007A6FF0">
        <w:t>at</w:t>
      </w:r>
      <w:proofErr w:type="gramEnd"/>
      <w:r w:rsidRPr="007A6FF0">
        <w:t xml:space="preserve"> 31 March.</w:t>
      </w:r>
      <w:r>
        <w:t xml:space="preserve"> </w:t>
      </w:r>
      <w:r w:rsidRPr="007A6FF0">
        <w:t xml:space="preserve"> Statutory </w:t>
      </w:r>
      <w:r w:rsidRPr="009B64F3">
        <w:t>arrangements require that the impact on the General Fund Balance is neutralised by transfers to or from the Account</w:t>
      </w:r>
      <w:r>
        <w:t>.</w:t>
      </w:r>
    </w:p>
    <w:p w14:paraId="10AC7940" w14:textId="77777777" w:rsidR="00431430" w:rsidRDefault="00431430" w:rsidP="003356AE">
      <w:pPr>
        <w:spacing w:line="240" w:lineRule="auto"/>
      </w:pPr>
    </w:p>
    <w:tbl>
      <w:tblPr>
        <w:tblW w:w="5000" w:type="pct"/>
        <w:tblLook w:val="04A0" w:firstRow="1" w:lastRow="0" w:firstColumn="1" w:lastColumn="0" w:noHBand="0" w:noVBand="1"/>
      </w:tblPr>
      <w:tblGrid>
        <w:gridCol w:w="1596"/>
        <w:gridCol w:w="5879"/>
        <w:gridCol w:w="1597"/>
      </w:tblGrid>
      <w:tr w:rsidR="00431430" w:rsidRPr="00431430" w14:paraId="700B8273" w14:textId="77777777" w:rsidTr="00431430">
        <w:trPr>
          <w:trHeight w:val="240"/>
        </w:trPr>
        <w:tc>
          <w:tcPr>
            <w:tcW w:w="880" w:type="pct"/>
            <w:tcBorders>
              <w:top w:val="nil"/>
              <w:left w:val="nil"/>
              <w:bottom w:val="nil"/>
              <w:right w:val="nil"/>
            </w:tcBorders>
            <w:shd w:val="clear" w:color="000000" w:fill="000099"/>
            <w:vAlign w:val="bottom"/>
            <w:hideMark/>
          </w:tcPr>
          <w:p w14:paraId="0896B0A1" w14:textId="77777777" w:rsidR="00431430" w:rsidRPr="00431430" w:rsidRDefault="00431430" w:rsidP="00431430">
            <w:pPr>
              <w:spacing w:after="0" w:line="240" w:lineRule="auto"/>
              <w:jc w:val="center"/>
              <w:rPr>
                <w:rFonts w:eastAsia="Times New Roman" w:cs="Calibri"/>
                <w:b/>
                <w:bCs/>
                <w:color w:val="FFFFFF"/>
                <w:sz w:val="18"/>
                <w:szCs w:val="18"/>
                <w:lang w:eastAsia="en-GB"/>
              </w:rPr>
            </w:pPr>
            <w:bookmarkStart w:id="139" w:name="_Toc517077294"/>
            <w:bookmarkStart w:id="140" w:name="_Toc9272519"/>
            <w:r w:rsidRPr="00431430">
              <w:rPr>
                <w:rFonts w:eastAsia="Times New Roman" w:cs="Calibri"/>
                <w:b/>
                <w:bCs/>
                <w:color w:val="FFFFFF"/>
                <w:sz w:val="18"/>
                <w:szCs w:val="18"/>
                <w:lang w:eastAsia="en-GB"/>
              </w:rPr>
              <w:t>2024/25</w:t>
            </w:r>
          </w:p>
        </w:tc>
        <w:tc>
          <w:tcPr>
            <w:tcW w:w="3240" w:type="pct"/>
            <w:tcBorders>
              <w:top w:val="nil"/>
              <w:left w:val="nil"/>
              <w:bottom w:val="nil"/>
              <w:right w:val="nil"/>
            </w:tcBorders>
            <w:shd w:val="clear" w:color="000000" w:fill="000099"/>
            <w:vAlign w:val="bottom"/>
            <w:hideMark/>
          </w:tcPr>
          <w:p w14:paraId="1802CC6F" w14:textId="77777777" w:rsidR="00431430" w:rsidRPr="00431430" w:rsidRDefault="00431430" w:rsidP="00431430">
            <w:pPr>
              <w:spacing w:after="0" w:line="240" w:lineRule="auto"/>
              <w:jc w:val="center"/>
              <w:rPr>
                <w:rFonts w:eastAsia="Times New Roman" w:cs="Calibri"/>
                <w:b/>
                <w:bCs/>
                <w:color w:val="FFFFFF"/>
                <w:sz w:val="18"/>
                <w:szCs w:val="18"/>
                <w:lang w:eastAsia="en-GB"/>
              </w:rPr>
            </w:pPr>
            <w:r w:rsidRPr="00431430">
              <w:rPr>
                <w:rFonts w:eastAsia="Times New Roman" w:cs="Calibri"/>
                <w:b/>
                <w:bCs/>
                <w:color w:val="FFFFFF"/>
                <w:sz w:val="18"/>
                <w:szCs w:val="18"/>
                <w:lang w:eastAsia="en-GB"/>
              </w:rPr>
              <w:t xml:space="preserve"> </w:t>
            </w:r>
          </w:p>
        </w:tc>
        <w:tc>
          <w:tcPr>
            <w:tcW w:w="880" w:type="pct"/>
            <w:tcBorders>
              <w:top w:val="nil"/>
              <w:left w:val="nil"/>
              <w:bottom w:val="nil"/>
              <w:right w:val="nil"/>
            </w:tcBorders>
            <w:shd w:val="clear" w:color="000000" w:fill="000099"/>
            <w:vAlign w:val="bottom"/>
            <w:hideMark/>
          </w:tcPr>
          <w:p w14:paraId="3E697DCA" w14:textId="77777777" w:rsidR="00431430" w:rsidRPr="00431430" w:rsidRDefault="00431430" w:rsidP="00431430">
            <w:pPr>
              <w:spacing w:after="0" w:line="240" w:lineRule="auto"/>
              <w:jc w:val="center"/>
              <w:rPr>
                <w:rFonts w:eastAsia="Times New Roman" w:cs="Calibri"/>
                <w:b/>
                <w:bCs/>
                <w:color w:val="FFFFFF"/>
                <w:sz w:val="18"/>
                <w:szCs w:val="18"/>
                <w:lang w:eastAsia="en-GB"/>
              </w:rPr>
            </w:pPr>
            <w:r w:rsidRPr="00431430">
              <w:rPr>
                <w:rFonts w:eastAsia="Times New Roman" w:cs="Calibri"/>
                <w:b/>
                <w:bCs/>
                <w:color w:val="FFFFFF"/>
                <w:sz w:val="18"/>
                <w:szCs w:val="18"/>
                <w:lang w:eastAsia="en-GB"/>
              </w:rPr>
              <w:t>2025/26</w:t>
            </w:r>
          </w:p>
        </w:tc>
      </w:tr>
      <w:tr w:rsidR="00431430" w:rsidRPr="00431430" w14:paraId="291316B6" w14:textId="77777777" w:rsidTr="00431430">
        <w:trPr>
          <w:trHeight w:val="240"/>
        </w:trPr>
        <w:tc>
          <w:tcPr>
            <w:tcW w:w="880" w:type="pct"/>
            <w:tcBorders>
              <w:top w:val="nil"/>
              <w:left w:val="nil"/>
              <w:bottom w:val="nil"/>
              <w:right w:val="nil"/>
            </w:tcBorders>
            <w:shd w:val="clear" w:color="000000" w:fill="000099"/>
            <w:vAlign w:val="bottom"/>
            <w:hideMark/>
          </w:tcPr>
          <w:p w14:paraId="04986E57" w14:textId="77777777" w:rsidR="00431430" w:rsidRPr="00431430" w:rsidRDefault="00431430" w:rsidP="00431430">
            <w:pPr>
              <w:spacing w:after="0" w:line="240" w:lineRule="auto"/>
              <w:jc w:val="center"/>
              <w:rPr>
                <w:rFonts w:eastAsia="Times New Roman" w:cs="Calibri"/>
                <w:b/>
                <w:bCs/>
                <w:color w:val="FFFFFF"/>
                <w:sz w:val="18"/>
                <w:szCs w:val="18"/>
                <w:lang w:eastAsia="en-GB"/>
              </w:rPr>
            </w:pPr>
            <w:r w:rsidRPr="00431430">
              <w:rPr>
                <w:rFonts w:eastAsia="Times New Roman" w:cs="Calibri"/>
                <w:b/>
                <w:bCs/>
                <w:color w:val="FFFFFF"/>
                <w:sz w:val="18"/>
                <w:szCs w:val="18"/>
                <w:lang w:eastAsia="en-GB"/>
              </w:rPr>
              <w:t>£000</w:t>
            </w:r>
          </w:p>
        </w:tc>
        <w:tc>
          <w:tcPr>
            <w:tcW w:w="3240" w:type="pct"/>
            <w:tcBorders>
              <w:top w:val="nil"/>
              <w:left w:val="nil"/>
              <w:bottom w:val="nil"/>
              <w:right w:val="nil"/>
            </w:tcBorders>
            <w:shd w:val="clear" w:color="000000" w:fill="000099"/>
            <w:vAlign w:val="bottom"/>
            <w:hideMark/>
          </w:tcPr>
          <w:p w14:paraId="66CDBD1F" w14:textId="77777777" w:rsidR="00431430" w:rsidRPr="00431430" w:rsidRDefault="00431430" w:rsidP="00431430">
            <w:pPr>
              <w:spacing w:after="0" w:line="240" w:lineRule="auto"/>
              <w:jc w:val="center"/>
              <w:rPr>
                <w:rFonts w:eastAsia="Times New Roman" w:cs="Calibri"/>
                <w:b/>
                <w:bCs/>
                <w:color w:val="FFFFFF"/>
                <w:sz w:val="18"/>
                <w:szCs w:val="18"/>
                <w:lang w:eastAsia="en-GB"/>
              </w:rPr>
            </w:pPr>
            <w:r w:rsidRPr="00431430">
              <w:rPr>
                <w:rFonts w:eastAsia="Times New Roman" w:cs="Calibri"/>
                <w:b/>
                <w:bCs/>
                <w:color w:val="FFFFFF"/>
                <w:sz w:val="18"/>
                <w:szCs w:val="18"/>
                <w:lang w:eastAsia="en-GB"/>
              </w:rPr>
              <w:t xml:space="preserve"> </w:t>
            </w:r>
          </w:p>
        </w:tc>
        <w:tc>
          <w:tcPr>
            <w:tcW w:w="880" w:type="pct"/>
            <w:tcBorders>
              <w:top w:val="nil"/>
              <w:left w:val="nil"/>
              <w:bottom w:val="nil"/>
              <w:right w:val="nil"/>
            </w:tcBorders>
            <w:shd w:val="clear" w:color="000000" w:fill="000099"/>
            <w:vAlign w:val="bottom"/>
            <w:hideMark/>
          </w:tcPr>
          <w:p w14:paraId="7DDD2CF8" w14:textId="77777777" w:rsidR="00431430" w:rsidRPr="00431430" w:rsidRDefault="00431430" w:rsidP="00431430">
            <w:pPr>
              <w:spacing w:after="0" w:line="240" w:lineRule="auto"/>
              <w:jc w:val="center"/>
              <w:rPr>
                <w:rFonts w:eastAsia="Times New Roman" w:cs="Calibri"/>
                <w:b/>
                <w:bCs/>
                <w:color w:val="FFFFFF"/>
                <w:sz w:val="18"/>
                <w:szCs w:val="18"/>
                <w:lang w:eastAsia="en-GB"/>
              </w:rPr>
            </w:pPr>
            <w:r w:rsidRPr="00431430">
              <w:rPr>
                <w:rFonts w:eastAsia="Times New Roman" w:cs="Calibri"/>
                <w:b/>
                <w:bCs/>
                <w:color w:val="FFFFFF"/>
                <w:sz w:val="18"/>
                <w:szCs w:val="18"/>
                <w:lang w:eastAsia="en-GB"/>
              </w:rPr>
              <w:t>£000</w:t>
            </w:r>
          </w:p>
        </w:tc>
      </w:tr>
      <w:tr w:rsidR="00431430" w:rsidRPr="00431430" w14:paraId="0D7C7A33" w14:textId="77777777" w:rsidTr="00431430">
        <w:trPr>
          <w:trHeight w:val="240"/>
        </w:trPr>
        <w:tc>
          <w:tcPr>
            <w:tcW w:w="880" w:type="pct"/>
            <w:tcBorders>
              <w:top w:val="nil"/>
              <w:left w:val="nil"/>
              <w:bottom w:val="nil"/>
              <w:right w:val="nil"/>
            </w:tcBorders>
            <w:shd w:val="clear" w:color="000000" w:fill="FFFFFF"/>
            <w:noWrap/>
            <w:vAlign w:val="center"/>
            <w:hideMark/>
          </w:tcPr>
          <w:p w14:paraId="5C5B1E41" w14:textId="77777777" w:rsidR="00431430" w:rsidRPr="00431430" w:rsidRDefault="00431430" w:rsidP="00431430">
            <w:pPr>
              <w:spacing w:after="0" w:line="240" w:lineRule="auto"/>
              <w:jc w:val="right"/>
              <w:rPr>
                <w:rFonts w:eastAsia="Times New Roman" w:cs="Calibri"/>
                <w:b/>
                <w:bCs/>
                <w:color w:val="000000"/>
                <w:sz w:val="18"/>
                <w:szCs w:val="18"/>
                <w:lang w:eastAsia="en-GB"/>
              </w:rPr>
            </w:pPr>
            <w:r w:rsidRPr="00431430">
              <w:rPr>
                <w:rFonts w:eastAsia="Times New Roman" w:cs="Calibri"/>
                <w:b/>
                <w:bCs/>
                <w:color w:val="000000"/>
                <w:sz w:val="18"/>
                <w:szCs w:val="18"/>
                <w:lang w:eastAsia="en-GB"/>
              </w:rPr>
              <w:t>2,969</w:t>
            </w:r>
          </w:p>
        </w:tc>
        <w:tc>
          <w:tcPr>
            <w:tcW w:w="3240" w:type="pct"/>
            <w:tcBorders>
              <w:top w:val="nil"/>
              <w:left w:val="nil"/>
              <w:bottom w:val="nil"/>
              <w:right w:val="nil"/>
            </w:tcBorders>
            <w:shd w:val="clear" w:color="000000" w:fill="FFFFFF"/>
            <w:vAlign w:val="center"/>
            <w:hideMark/>
          </w:tcPr>
          <w:p w14:paraId="2EA49129" w14:textId="77777777" w:rsidR="00431430" w:rsidRPr="00431430" w:rsidRDefault="00431430" w:rsidP="00431430">
            <w:pPr>
              <w:spacing w:after="0" w:line="240" w:lineRule="auto"/>
              <w:jc w:val="left"/>
              <w:rPr>
                <w:rFonts w:eastAsia="Times New Roman" w:cs="Calibri"/>
                <w:b/>
                <w:bCs/>
                <w:color w:val="auto"/>
                <w:sz w:val="18"/>
                <w:szCs w:val="18"/>
                <w:lang w:eastAsia="en-GB"/>
              </w:rPr>
            </w:pPr>
            <w:r w:rsidRPr="00431430">
              <w:rPr>
                <w:rFonts w:eastAsia="Times New Roman" w:cs="Calibri"/>
                <w:b/>
                <w:bCs/>
                <w:color w:val="auto"/>
                <w:sz w:val="18"/>
                <w:szCs w:val="18"/>
                <w:lang w:eastAsia="en-GB"/>
              </w:rPr>
              <w:t xml:space="preserve">Balance 1 April </w:t>
            </w:r>
          </w:p>
        </w:tc>
        <w:tc>
          <w:tcPr>
            <w:tcW w:w="880" w:type="pct"/>
            <w:tcBorders>
              <w:top w:val="nil"/>
              <w:left w:val="nil"/>
              <w:bottom w:val="nil"/>
              <w:right w:val="nil"/>
            </w:tcBorders>
            <w:shd w:val="clear" w:color="000000" w:fill="CCECFF"/>
            <w:noWrap/>
            <w:vAlign w:val="center"/>
            <w:hideMark/>
          </w:tcPr>
          <w:p w14:paraId="7A619ACC" w14:textId="77777777" w:rsidR="00431430" w:rsidRPr="00431430" w:rsidRDefault="00431430" w:rsidP="00431430">
            <w:pPr>
              <w:spacing w:after="0" w:line="240" w:lineRule="auto"/>
              <w:jc w:val="right"/>
              <w:rPr>
                <w:rFonts w:eastAsia="Times New Roman" w:cs="Calibri"/>
                <w:b/>
                <w:bCs/>
                <w:color w:val="000000"/>
                <w:sz w:val="18"/>
                <w:szCs w:val="18"/>
                <w:lang w:eastAsia="en-GB"/>
              </w:rPr>
            </w:pPr>
            <w:r w:rsidRPr="00431430">
              <w:rPr>
                <w:rFonts w:eastAsia="Times New Roman" w:cs="Calibri"/>
                <w:b/>
                <w:bCs/>
                <w:color w:val="000000"/>
                <w:sz w:val="18"/>
                <w:szCs w:val="18"/>
                <w:lang w:eastAsia="en-GB"/>
              </w:rPr>
              <w:t>1,654</w:t>
            </w:r>
          </w:p>
        </w:tc>
      </w:tr>
      <w:tr w:rsidR="00431430" w:rsidRPr="00431430" w14:paraId="6F6CB102" w14:textId="77777777" w:rsidTr="00431430">
        <w:trPr>
          <w:trHeight w:val="480"/>
        </w:trPr>
        <w:tc>
          <w:tcPr>
            <w:tcW w:w="880" w:type="pct"/>
            <w:tcBorders>
              <w:top w:val="nil"/>
              <w:left w:val="nil"/>
              <w:bottom w:val="nil"/>
              <w:right w:val="nil"/>
            </w:tcBorders>
            <w:shd w:val="clear" w:color="000000" w:fill="FFFFFF"/>
            <w:noWrap/>
            <w:vAlign w:val="center"/>
            <w:hideMark/>
          </w:tcPr>
          <w:p w14:paraId="7B68B431" w14:textId="77777777" w:rsidR="00431430" w:rsidRPr="00431430" w:rsidRDefault="00431430" w:rsidP="00431430">
            <w:pPr>
              <w:spacing w:after="0" w:line="240" w:lineRule="auto"/>
              <w:jc w:val="right"/>
              <w:rPr>
                <w:rFonts w:eastAsia="Times New Roman" w:cs="Calibri"/>
                <w:color w:val="000000"/>
                <w:sz w:val="18"/>
                <w:szCs w:val="18"/>
                <w:lang w:eastAsia="en-GB"/>
              </w:rPr>
            </w:pPr>
            <w:r w:rsidRPr="00431430">
              <w:rPr>
                <w:rFonts w:eastAsia="Times New Roman" w:cs="Calibri"/>
                <w:color w:val="000000"/>
                <w:sz w:val="18"/>
                <w:szCs w:val="18"/>
                <w:lang w:eastAsia="en-GB"/>
              </w:rPr>
              <w:t>(2,969)</w:t>
            </w:r>
          </w:p>
        </w:tc>
        <w:tc>
          <w:tcPr>
            <w:tcW w:w="3240" w:type="pct"/>
            <w:tcBorders>
              <w:top w:val="nil"/>
              <w:left w:val="nil"/>
              <w:bottom w:val="nil"/>
              <w:right w:val="nil"/>
            </w:tcBorders>
            <w:shd w:val="clear" w:color="000000" w:fill="FFFFFF"/>
            <w:vAlign w:val="center"/>
            <w:hideMark/>
          </w:tcPr>
          <w:p w14:paraId="7AD5A872" w14:textId="77777777" w:rsidR="00431430" w:rsidRPr="00431430" w:rsidRDefault="00431430" w:rsidP="00431430">
            <w:pPr>
              <w:spacing w:after="0" w:line="240" w:lineRule="auto"/>
              <w:jc w:val="left"/>
              <w:rPr>
                <w:rFonts w:eastAsia="Times New Roman" w:cs="Calibri"/>
                <w:color w:val="auto"/>
                <w:sz w:val="18"/>
                <w:szCs w:val="18"/>
                <w:lang w:eastAsia="en-GB"/>
              </w:rPr>
            </w:pPr>
            <w:r w:rsidRPr="00431430">
              <w:rPr>
                <w:rFonts w:eastAsia="Times New Roman" w:cs="Calibri"/>
                <w:color w:val="auto"/>
                <w:sz w:val="18"/>
                <w:szCs w:val="18"/>
                <w:lang w:eastAsia="en-GB"/>
              </w:rPr>
              <w:t>Settlement or cancellation of accrual made at the end of the preceding year</w:t>
            </w:r>
          </w:p>
        </w:tc>
        <w:tc>
          <w:tcPr>
            <w:tcW w:w="880" w:type="pct"/>
            <w:tcBorders>
              <w:top w:val="nil"/>
              <w:left w:val="nil"/>
              <w:bottom w:val="nil"/>
              <w:right w:val="nil"/>
            </w:tcBorders>
            <w:shd w:val="clear" w:color="000000" w:fill="CCECFF"/>
            <w:noWrap/>
            <w:vAlign w:val="center"/>
            <w:hideMark/>
          </w:tcPr>
          <w:p w14:paraId="71AC05F0" w14:textId="77777777" w:rsidR="00431430" w:rsidRPr="00431430" w:rsidRDefault="00431430" w:rsidP="00431430">
            <w:pPr>
              <w:spacing w:after="0" w:line="240" w:lineRule="auto"/>
              <w:jc w:val="right"/>
              <w:rPr>
                <w:rFonts w:eastAsia="Times New Roman" w:cs="Calibri"/>
                <w:color w:val="000000"/>
                <w:sz w:val="18"/>
                <w:szCs w:val="18"/>
                <w:lang w:eastAsia="en-GB"/>
              </w:rPr>
            </w:pPr>
            <w:r w:rsidRPr="00431430">
              <w:rPr>
                <w:rFonts w:eastAsia="Times New Roman" w:cs="Calibri"/>
                <w:color w:val="000000"/>
                <w:sz w:val="18"/>
                <w:szCs w:val="18"/>
                <w:lang w:eastAsia="en-GB"/>
              </w:rPr>
              <w:t>(1,654)</w:t>
            </w:r>
          </w:p>
        </w:tc>
      </w:tr>
      <w:tr w:rsidR="00431430" w:rsidRPr="00431430" w14:paraId="58D0634E" w14:textId="77777777" w:rsidTr="00431430">
        <w:trPr>
          <w:trHeight w:val="380"/>
        </w:trPr>
        <w:tc>
          <w:tcPr>
            <w:tcW w:w="880" w:type="pct"/>
            <w:tcBorders>
              <w:top w:val="nil"/>
              <w:left w:val="nil"/>
              <w:bottom w:val="nil"/>
              <w:right w:val="nil"/>
            </w:tcBorders>
            <w:shd w:val="clear" w:color="000000" w:fill="FFFFFF"/>
            <w:noWrap/>
            <w:vAlign w:val="center"/>
            <w:hideMark/>
          </w:tcPr>
          <w:p w14:paraId="37CF9E6D" w14:textId="77777777" w:rsidR="00431430" w:rsidRPr="00431430" w:rsidRDefault="00431430" w:rsidP="00431430">
            <w:pPr>
              <w:spacing w:after="0" w:line="240" w:lineRule="auto"/>
              <w:jc w:val="right"/>
              <w:rPr>
                <w:rFonts w:eastAsia="Times New Roman" w:cs="Calibri"/>
                <w:color w:val="000000"/>
                <w:sz w:val="18"/>
                <w:szCs w:val="18"/>
                <w:lang w:eastAsia="en-GB"/>
              </w:rPr>
            </w:pPr>
            <w:r w:rsidRPr="00431430">
              <w:rPr>
                <w:rFonts w:eastAsia="Times New Roman" w:cs="Calibri"/>
                <w:color w:val="000000"/>
                <w:sz w:val="18"/>
                <w:szCs w:val="18"/>
                <w:lang w:eastAsia="en-GB"/>
              </w:rPr>
              <w:t>1,654</w:t>
            </w:r>
          </w:p>
        </w:tc>
        <w:tc>
          <w:tcPr>
            <w:tcW w:w="3240" w:type="pct"/>
            <w:tcBorders>
              <w:top w:val="nil"/>
              <w:left w:val="nil"/>
              <w:bottom w:val="nil"/>
              <w:right w:val="nil"/>
            </w:tcBorders>
            <w:shd w:val="clear" w:color="000000" w:fill="FFFFFF"/>
            <w:vAlign w:val="center"/>
            <w:hideMark/>
          </w:tcPr>
          <w:p w14:paraId="32FD8973" w14:textId="77777777" w:rsidR="00431430" w:rsidRPr="00431430" w:rsidRDefault="00431430" w:rsidP="00431430">
            <w:pPr>
              <w:spacing w:after="0" w:line="240" w:lineRule="auto"/>
              <w:jc w:val="left"/>
              <w:rPr>
                <w:rFonts w:eastAsia="Times New Roman" w:cs="Calibri"/>
                <w:color w:val="auto"/>
                <w:sz w:val="18"/>
                <w:szCs w:val="18"/>
                <w:lang w:eastAsia="en-GB"/>
              </w:rPr>
            </w:pPr>
            <w:r w:rsidRPr="00431430">
              <w:rPr>
                <w:rFonts w:eastAsia="Times New Roman" w:cs="Calibri"/>
                <w:color w:val="auto"/>
                <w:sz w:val="18"/>
                <w:szCs w:val="18"/>
                <w:lang w:eastAsia="en-GB"/>
              </w:rPr>
              <w:t>Amounts accrued at the end of the current year</w:t>
            </w:r>
          </w:p>
        </w:tc>
        <w:tc>
          <w:tcPr>
            <w:tcW w:w="880" w:type="pct"/>
            <w:tcBorders>
              <w:top w:val="nil"/>
              <w:left w:val="nil"/>
              <w:bottom w:val="nil"/>
              <w:right w:val="nil"/>
            </w:tcBorders>
            <w:shd w:val="clear" w:color="000000" w:fill="CCECFF"/>
            <w:noWrap/>
            <w:vAlign w:val="center"/>
            <w:hideMark/>
          </w:tcPr>
          <w:p w14:paraId="438ED00D" w14:textId="77777777" w:rsidR="00431430" w:rsidRPr="00431430" w:rsidRDefault="00431430" w:rsidP="00431430">
            <w:pPr>
              <w:spacing w:after="0" w:line="240" w:lineRule="auto"/>
              <w:jc w:val="right"/>
              <w:rPr>
                <w:rFonts w:eastAsia="Times New Roman" w:cs="Calibri"/>
                <w:color w:val="000000"/>
                <w:sz w:val="18"/>
                <w:szCs w:val="18"/>
                <w:lang w:eastAsia="en-GB"/>
              </w:rPr>
            </w:pPr>
            <w:r w:rsidRPr="00431430">
              <w:rPr>
                <w:rFonts w:eastAsia="Times New Roman" w:cs="Calibri"/>
                <w:color w:val="000000"/>
                <w:sz w:val="18"/>
                <w:szCs w:val="18"/>
                <w:lang w:eastAsia="en-GB"/>
              </w:rPr>
              <w:t>3,557</w:t>
            </w:r>
          </w:p>
        </w:tc>
      </w:tr>
      <w:tr w:rsidR="00431430" w:rsidRPr="00431430" w14:paraId="26398779" w14:textId="77777777" w:rsidTr="00431430">
        <w:trPr>
          <w:trHeight w:val="240"/>
        </w:trPr>
        <w:tc>
          <w:tcPr>
            <w:tcW w:w="880" w:type="pct"/>
            <w:tcBorders>
              <w:top w:val="single" w:sz="4" w:space="0" w:color="auto"/>
              <w:left w:val="nil"/>
              <w:bottom w:val="single" w:sz="4" w:space="0" w:color="auto"/>
              <w:right w:val="nil"/>
            </w:tcBorders>
            <w:shd w:val="clear" w:color="000000" w:fill="FFFFFF"/>
            <w:noWrap/>
            <w:vAlign w:val="center"/>
            <w:hideMark/>
          </w:tcPr>
          <w:p w14:paraId="4D7E8658" w14:textId="77777777" w:rsidR="00431430" w:rsidRPr="00431430" w:rsidRDefault="00431430" w:rsidP="00431430">
            <w:pPr>
              <w:spacing w:after="0" w:line="240" w:lineRule="auto"/>
              <w:jc w:val="right"/>
              <w:rPr>
                <w:rFonts w:eastAsia="Times New Roman" w:cs="Calibri"/>
                <w:b/>
                <w:bCs/>
                <w:color w:val="000000"/>
                <w:sz w:val="18"/>
                <w:szCs w:val="18"/>
                <w:lang w:eastAsia="en-GB"/>
              </w:rPr>
            </w:pPr>
            <w:r w:rsidRPr="00431430">
              <w:rPr>
                <w:rFonts w:eastAsia="Times New Roman" w:cs="Calibri"/>
                <w:b/>
                <w:bCs/>
                <w:color w:val="000000"/>
                <w:sz w:val="18"/>
                <w:szCs w:val="18"/>
                <w:lang w:eastAsia="en-GB"/>
              </w:rPr>
              <w:t>1,654</w:t>
            </w:r>
          </w:p>
        </w:tc>
        <w:tc>
          <w:tcPr>
            <w:tcW w:w="3240" w:type="pct"/>
            <w:tcBorders>
              <w:top w:val="single" w:sz="4" w:space="0" w:color="auto"/>
              <w:left w:val="nil"/>
              <w:bottom w:val="single" w:sz="4" w:space="0" w:color="auto"/>
              <w:right w:val="nil"/>
            </w:tcBorders>
            <w:shd w:val="clear" w:color="000000" w:fill="FFFFFF"/>
            <w:vAlign w:val="center"/>
            <w:hideMark/>
          </w:tcPr>
          <w:p w14:paraId="09F4C41A" w14:textId="77777777" w:rsidR="00431430" w:rsidRPr="00431430" w:rsidRDefault="00431430" w:rsidP="00431430">
            <w:pPr>
              <w:spacing w:after="0" w:line="240" w:lineRule="auto"/>
              <w:jc w:val="left"/>
              <w:rPr>
                <w:rFonts w:eastAsia="Times New Roman" w:cs="Calibri"/>
                <w:b/>
                <w:bCs/>
                <w:color w:val="auto"/>
                <w:sz w:val="18"/>
                <w:szCs w:val="18"/>
                <w:lang w:eastAsia="en-GB"/>
              </w:rPr>
            </w:pPr>
            <w:r w:rsidRPr="00431430">
              <w:rPr>
                <w:rFonts w:eastAsia="Times New Roman" w:cs="Calibri"/>
                <w:b/>
                <w:bCs/>
                <w:color w:val="auto"/>
                <w:sz w:val="18"/>
                <w:szCs w:val="18"/>
                <w:lang w:eastAsia="en-GB"/>
              </w:rPr>
              <w:t xml:space="preserve">Balance 31 March </w:t>
            </w:r>
          </w:p>
        </w:tc>
        <w:tc>
          <w:tcPr>
            <w:tcW w:w="880" w:type="pct"/>
            <w:tcBorders>
              <w:top w:val="single" w:sz="4" w:space="0" w:color="auto"/>
              <w:left w:val="nil"/>
              <w:bottom w:val="single" w:sz="4" w:space="0" w:color="auto"/>
              <w:right w:val="nil"/>
            </w:tcBorders>
            <w:shd w:val="clear" w:color="000000" w:fill="CCECFF"/>
            <w:noWrap/>
            <w:vAlign w:val="center"/>
            <w:hideMark/>
          </w:tcPr>
          <w:p w14:paraId="0E13BCAA" w14:textId="77777777" w:rsidR="00431430" w:rsidRPr="00431430" w:rsidRDefault="00431430" w:rsidP="00431430">
            <w:pPr>
              <w:spacing w:after="0" w:line="240" w:lineRule="auto"/>
              <w:jc w:val="right"/>
              <w:rPr>
                <w:rFonts w:eastAsia="Times New Roman" w:cs="Calibri"/>
                <w:b/>
                <w:bCs/>
                <w:color w:val="000000"/>
                <w:sz w:val="18"/>
                <w:szCs w:val="18"/>
                <w:lang w:eastAsia="en-GB"/>
              </w:rPr>
            </w:pPr>
            <w:r w:rsidRPr="00431430">
              <w:rPr>
                <w:rFonts w:eastAsia="Times New Roman" w:cs="Calibri"/>
                <w:b/>
                <w:bCs/>
                <w:color w:val="000000"/>
                <w:sz w:val="18"/>
                <w:szCs w:val="18"/>
                <w:lang w:eastAsia="en-GB"/>
              </w:rPr>
              <w:t>3,557</w:t>
            </w:r>
          </w:p>
        </w:tc>
      </w:tr>
    </w:tbl>
    <w:p w14:paraId="2852CB4D" w14:textId="2AFE314C" w:rsidR="00020078" w:rsidRDefault="00020078" w:rsidP="003356AE">
      <w:pPr>
        <w:spacing w:line="240" w:lineRule="auto"/>
        <w:rPr>
          <w:rFonts w:asciiTheme="minorHAnsi" w:hAnsiTheme="minorHAnsi"/>
          <w:color w:val="auto"/>
          <w:sz w:val="24"/>
          <w:lang w:val="en-US"/>
        </w:rPr>
      </w:pPr>
    </w:p>
    <w:p w14:paraId="3B8A330C" w14:textId="1CD1783B" w:rsidR="009E53F6" w:rsidRPr="00327904" w:rsidRDefault="009E53F6" w:rsidP="003356AE">
      <w:pPr>
        <w:spacing w:line="240" w:lineRule="auto"/>
      </w:pPr>
    </w:p>
    <w:p w14:paraId="53A3C496" w14:textId="7416E300" w:rsidR="002522D4" w:rsidRPr="00A14CAC" w:rsidRDefault="002522D4" w:rsidP="003356AE">
      <w:pPr>
        <w:pStyle w:val="NoteHeader"/>
        <w:spacing w:line="240" w:lineRule="auto"/>
        <w:rPr>
          <w:lang w:val="pt-BR"/>
        </w:rPr>
      </w:pPr>
      <w:bookmarkStart w:id="141" w:name="_Toc9592066"/>
      <w:bookmarkStart w:id="142" w:name="_Toc230858573"/>
      <w:r w:rsidRPr="00A14CAC">
        <w:rPr>
          <w:lang w:val="pt-BR"/>
        </w:rPr>
        <w:t>Note 18 - Property, Plant and Equipment</w:t>
      </w:r>
      <w:bookmarkEnd w:id="139"/>
      <w:bookmarkEnd w:id="140"/>
      <w:bookmarkEnd w:id="141"/>
      <w:bookmarkEnd w:id="142"/>
    </w:p>
    <w:p w14:paraId="4CB98C3A" w14:textId="77777777" w:rsidR="002522D4" w:rsidRPr="00A14CAC" w:rsidRDefault="002522D4" w:rsidP="003356AE">
      <w:pPr>
        <w:spacing w:line="240" w:lineRule="auto"/>
        <w:rPr>
          <w:lang w:val="pt-BR"/>
        </w:rPr>
      </w:pPr>
    </w:p>
    <w:p w14:paraId="07338368" w14:textId="6C53E087"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18</w:t>
      </w:r>
      <w:r w:rsidRPr="00A805A9">
        <w:rPr>
          <w:noProof/>
          <w:szCs w:val="20"/>
          <w:lang w:eastAsia="en-GB"/>
        </w:rPr>
        <w:t xml:space="preserve"> of the Office of the Police, Fire &amp; Crime Commissioner (OPFCC) Statement of Accounts.</w:t>
      </w:r>
    </w:p>
    <w:p w14:paraId="4DDE97CE" w14:textId="77777777" w:rsidR="005433C7" w:rsidRPr="00A14CAC" w:rsidRDefault="005433C7" w:rsidP="003356AE">
      <w:pPr>
        <w:spacing w:line="240" w:lineRule="auto"/>
        <w:rPr>
          <w:lang w:val="en-AU"/>
        </w:rPr>
      </w:pPr>
    </w:p>
    <w:p w14:paraId="6F728E47" w14:textId="1B059699" w:rsidR="002522D4" w:rsidRPr="00A14CAC" w:rsidRDefault="002522D4" w:rsidP="003356AE">
      <w:pPr>
        <w:pStyle w:val="NoteHeader"/>
        <w:spacing w:line="240" w:lineRule="auto"/>
      </w:pPr>
      <w:bookmarkStart w:id="143" w:name="_Toc517077295"/>
      <w:bookmarkStart w:id="144" w:name="_Toc9272520"/>
      <w:bookmarkStart w:id="145" w:name="_Toc9592067"/>
      <w:bookmarkStart w:id="146" w:name="_Toc230858574"/>
      <w:r w:rsidRPr="00A14CAC">
        <w:t>Note 19 - Impairment Losses</w:t>
      </w:r>
      <w:bookmarkEnd w:id="143"/>
      <w:bookmarkEnd w:id="144"/>
      <w:bookmarkEnd w:id="145"/>
      <w:bookmarkEnd w:id="146"/>
      <w:r w:rsidRPr="00A14CAC">
        <w:t xml:space="preserve"> </w:t>
      </w:r>
    </w:p>
    <w:p w14:paraId="18C92ED5" w14:textId="77777777" w:rsidR="002522D4" w:rsidRPr="00A14CAC" w:rsidRDefault="002522D4" w:rsidP="003356AE">
      <w:pPr>
        <w:spacing w:line="240" w:lineRule="auto"/>
      </w:pPr>
    </w:p>
    <w:p w14:paraId="7D6CADA5" w14:textId="5065FB69" w:rsidR="00A805A9" w:rsidRPr="00A805A9" w:rsidRDefault="00A805A9" w:rsidP="003356AE">
      <w:pPr>
        <w:spacing w:line="240" w:lineRule="auto"/>
        <w:rPr>
          <w:noProof/>
          <w:szCs w:val="20"/>
          <w:lang w:eastAsia="en-GB"/>
        </w:rPr>
      </w:pPr>
      <w:bookmarkStart w:id="147" w:name="_Toc517077296"/>
      <w:bookmarkStart w:id="148" w:name="_Toc9272521"/>
      <w:r w:rsidRPr="00A805A9">
        <w:rPr>
          <w:noProof/>
          <w:szCs w:val="20"/>
          <w:lang w:eastAsia="en-GB"/>
        </w:rPr>
        <w:t xml:space="preserve">The Chief Constable holds no balance in respect of these items. For information, please refer to Note </w:t>
      </w:r>
      <w:r>
        <w:rPr>
          <w:noProof/>
          <w:szCs w:val="20"/>
          <w:lang w:eastAsia="en-GB"/>
        </w:rPr>
        <w:t>1</w:t>
      </w:r>
      <w:r w:rsidRPr="00A805A9">
        <w:rPr>
          <w:noProof/>
          <w:szCs w:val="20"/>
          <w:lang w:eastAsia="en-GB"/>
        </w:rPr>
        <w:t>9 of the Office of the Police, Fire &amp; Crime Commissioner (OPFCC) Statement of Accounts.</w:t>
      </w:r>
    </w:p>
    <w:p w14:paraId="39B9BB4D" w14:textId="2BDF7E15" w:rsidR="005433C7" w:rsidRDefault="005433C7" w:rsidP="003356AE">
      <w:pPr>
        <w:spacing w:line="240" w:lineRule="auto"/>
        <w:rPr>
          <w:lang w:val="pt-BR"/>
        </w:rPr>
      </w:pPr>
    </w:p>
    <w:p w14:paraId="25534720" w14:textId="4250C6BF" w:rsidR="002522D4" w:rsidRPr="00A14CAC" w:rsidRDefault="002522D4" w:rsidP="003356AE">
      <w:pPr>
        <w:pStyle w:val="NoteHeader"/>
        <w:spacing w:line="240" w:lineRule="auto"/>
        <w:rPr>
          <w:lang w:val="pt-BR"/>
        </w:rPr>
      </w:pPr>
      <w:bookmarkStart w:id="149" w:name="_Toc9592068"/>
      <w:bookmarkStart w:id="150" w:name="_Toc230858575"/>
      <w:r w:rsidRPr="00A14CAC">
        <w:rPr>
          <w:lang w:val="pt-BR"/>
        </w:rPr>
        <w:lastRenderedPageBreak/>
        <w:t>Note 20 - Assets Held for Sale</w:t>
      </w:r>
      <w:bookmarkEnd w:id="147"/>
      <w:bookmarkEnd w:id="148"/>
      <w:bookmarkEnd w:id="149"/>
      <w:bookmarkEnd w:id="150"/>
    </w:p>
    <w:p w14:paraId="06DC5B6A" w14:textId="77777777" w:rsidR="002522D4" w:rsidRPr="00A14CAC" w:rsidRDefault="002522D4" w:rsidP="003356AE">
      <w:pPr>
        <w:spacing w:line="240" w:lineRule="auto"/>
        <w:rPr>
          <w:lang w:val="pt-BR"/>
        </w:rPr>
      </w:pPr>
    </w:p>
    <w:p w14:paraId="56C7FC7B" w14:textId="68BC8267"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20</w:t>
      </w:r>
      <w:r w:rsidRPr="00A805A9">
        <w:rPr>
          <w:noProof/>
          <w:szCs w:val="20"/>
          <w:lang w:eastAsia="en-GB"/>
        </w:rPr>
        <w:t xml:space="preserve"> of the Office of the Police, Fire &amp; Crime Commissioner (OPFCC) Statement of Accounts.</w:t>
      </w:r>
    </w:p>
    <w:p w14:paraId="57A95CF2" w14:textId="77777777" w:rsidR="005433C7" w:rsidRPr="00A14CAC" w:rsidRDefault="005433C7" w:rsidP="003356AE">
      <w:pPr>
        <w:spacing w:line="240" w:lineRule="auto"/>
        <w:rPr>
          <w:lang w:val="pt-BR"/>
        </w:rPr>
      </w:pPr>
    </w:p>
    <w:p w14:paraId="175F9A2A" w14:textId="53753419" w:rsidR="002522D4" w:rsidRPr="00A14CAC" w:rsidRDefault="002522D4" w:rsidP="003356AE">
      <w:pPr>
        <w:pStyle w:val="NoteHeader"/>
        <w:spacing w:line="240" w:lineRule="auto"/>
      </w:pPr>
      <w:bookmarkStart w:id="151" w:name="_Toc517077297"/>
      <w:bookmarkStart w:id="152" w:name="_Toc9272522"/>
      <w:bookmarkStart w:id="153" w:name="_Toc9592069"/>
      <w:bookmarkStart w:id="154" w:name="_Toc230858576"/>
      <w:r w:rsidRPr="00A14CAC">
        <w:t>Note 21 - Investment Properties</w:t>
      </w:r>
      <w:bookmarkEnd w:id="151"/>
      <w:bookmarkEnd w:id="152"/>
      <w:bookmarkEnd w:id="153"/>
      <w:bookmarkEnd w:id="154"/>
    </w:p>
    <w:p w14:paraId="49AA0676" w14:textId="77777777" w:rsidR="002522D4" w:rsidRPr="00A14CAC" w:rsidRDefault="002522D4" w:rsidP="003356AE">
      <w:pPr>
        <w:spacing w:line="240" w:lineRule="auto"/>
      </w:pPr>
    </w:p>
    <w:p w14:paraId="77F751F8" w14:textId="77777777" w:rsidR="00431430"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21</w:t>
      </w:r>
      <w:r w:rsidRPr="00A805A9">
        <w:rPr>
          <w:noProof/>
          <w:szCs w:val="20"/>
          <w:lang w:eastAsia="en-GB"/>
        </w:rPr>
        <w:t xml:space="preserve"> of the Office of the Police, Fire &amp; Crime Commissioner (OPFCC) Statement of Accounts.</w:t>
      </w:r>
      <w:bookmarkStart w:id="155" w:name="_Toc517077298"/>
      <w:bookmarkStart w:id="156" w:name="_Toc9272523"/>
    </w:p>
    <w:p w14:paraId="78D281BC" w14:textId="661084F0" w:rsidR="00655DA7" w:rsidRDefault="00655DA7" w:rsidP="003356AE">
      <w:pPr>
        <w:spacing w:line="240" w:lineRule="auto"/>
        <w:rPr>
          <w:rFonts w:asciiTheme="minorHAnsi" w:eastAsia="Times New Roman" w:hAnsiTheme="minorHAnsi" w:cs="Times New Roman"/>
          <w:b/>
          <w:bCs/>
          <w:color w:val="25316C"/>
          <w:sz w:val="24"/>
          <w:u w:val="single"/>
        </w:rPr>
      </w:pPr>
    </w:p>
    <w:p w14:paraId="3BA17531" w14:textId="10082BD9" w:rsidR="002522D4" w:rsidRPr="00A14CAC" w:rsidRDefault="002522D4" w:rsidP="003356AE">
      <w:pPr>
        <w:pStyle w:val="NoteHeader"/>
        <w:spacing w:line="240" w:lineRule="auto"/>
      </w:pPr>
      <w:bookmarkStart w:id="157" w:name="_Toc230858577"/>
      <w:r w:rsidRPr="00A14CAC">
        <w:t>Note 22 - Leases</w:t>
      </w:r>
      <w:bookmarkEnd w:id="155"/>
      <w:bookmarkEnd w:id="156"/>
      <w:bookmarkEnd w:id="157"/>
    </w:p>
    <w:p w14:paraId="3C19ADEC" w14:textId="77777777" w:rsidR="006A5AA6" w:rsidRPr="00A14CAC" w:rsidRDefault="006A5AA6" w:rsidP="003356AE">
      <w:pPr>
        <w:spacing w:line="240" w:lineRule="auto"/>
        <w:rPr>
          <w:noProof/>
          <w:lang w:eastAsia="en-GB"/>
        </w:rPr>
      </w:pPr>
    </w:p>
    <w:p w14:paraId="286E7DF9" w14:textId="4A45B93F" w:rsidR="00A805A9" w:rsidRPr="00A805A9" w:rsidRDefault="00A805A9" w:rsidP="003356AE">
      <w:pPr>
        <w:spacing w:line="240" w:lineRule="auto"/>
        <w:rPr>
          <w:noProof/>
          <w:lang w:eastAsia="en-GB"/>
        </w:rPr>
      </w:pPr>
      <w:r w:rsidRPr="00A805A9">
        <w:rPr>
          <w:noProof/>
          <w:lang w:eastAsia="en-GB"/>
        </w:rPr>
        <w:t xml:space="preserve">The Chief Constable holds no balance in respect of these items. For information, please refer to Note </w:t>
      </w:r>
      <w:r>
        <w:rPr>
          <w:noProof/>
          <w:lang w:eastAsia="en-GB"/>
        </w:rPr>
        <w:t>22</w:t>
      </w:r>
      <w:r w:rsidRPr="00A805A9">
        <w:rPr>
          <w:noProof/>
          <w:lang w:eastAsia="en-GB"/>
        </w:rPr>
        <w:t xml:space="preserve"> of the Office of the Police, Fire &amp; Crime Commissioner (OPFCC) Statement of Accounts.</w:t>
      </w:r>
    </w:p>
    <w:p w14:paraId="72131876" w14:textId="77777777" w:rsidR="00052327" w:rsidRPr="00A14CAC" w:rsidRDefault="00052327" w:rsidP="003356AE">
      <w:pPr>
        <w:spacing w:line="240" w:lineRule="auto"/>
        <w:rPr>
          <w:lang w:val="pt-BR"/>
        </w:rPr>
      </w:pPr>
    </w:p>
    <w:p w14:paraId="619E5097" w14:textId="23A1ACBE" w:rsidR="002522D4" w:rsidRPr="00A14CAC" w:rsidRDefault="002522D4" w:rsidP="003356AE">
      <w:pPr>
        <w:pStyle w:val="NoteHeader"/>
        <w:spacing w:line="240" w:lineRule="auto"/>
      </w:pPr>
      <w:bookmarkStart w:id="158" w:name="_Toc517077299"/>
      <w:bookmarkStart w:id="159" w:name="_Toc9272524"/>
      <w:bookmarkStart w:id="160" w:name="_Toc230858578"/>
      <w:r w:rsidRPr="00A14CAC">
        <w:t>Note 23 - Intangible Assets</w:t>
      </w:r>
      <w:bookmarkEnd w:id="158"/>
      <w:bookmarkEnd w:id="159"/>
      <w:bookmarkEnd w:id="160"/>
    </w:p>
    <w:p w14:paraId="11869616" w14:textId="77777777" w:rsidR="006A5AA6" w:rsidRPr="00A14CAC" w:rsidRDefault="006A5AA6" w:rsidP="003356AE">
      <w:pPr>
        <w:spacing w:line="240" w:lineRule="auto"/>
        <w:rPr>
          <w:noProof/>
          <w:szCs w:val="20"/>
          <w:lang w:eastAsia="en-GB"/>
        </w:rPr>
      </w:pPr>
    </w:p>
    <w:p w14:paraId="2FBCDB8D" w14:textId="3F7F46C1"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23</w:t>
      </w:r>
      <w:r w:rsidRPr="00A805A9">
        <w:rPr>
          <w:noProof/>
          <w:szCs w:val="20"/>
          <w:lang w:eastAsia="en-GB"/>
        </w:rPr>
        <w:t xml:space="preserve"> of the Office of the Police, Fire &amp; Crime Commissioner (OPFCC) Statement of Accounts.</w:t>
      </w:r>
    </w:p>
    <w:p w14:paraId="682E9FF8" w14:textId="77777777" w:rsidR="005433C7" w:rsidRPr="00A14CAC" w:rsidRDefault="005433C7" w:rsidP="003356AE">
      <w:pPr>
        <w:spacing w:line="240" w:lineRule="auto"/>
      </w:pPr>
    </w:p>
    <w:p w14:paraId="5FBBE7F9" w14:textId="52EADE3A" w:rsidR="002522D4" w:rsidRPr="00A14CAC" w:rsidRDefault="002522D4" w:rsidP="003356AE">
      <w:pPr>
        <w:pStyle w:val="NoteHeader"/>
        <w:spacing w:line="240" w:lineRule="auto"/>
      </w:pPr>
      <w:bookmarkStart w:id="161" w:name="_Toc517077300"/>
      <w:bookmarkStart w:id="162" w:name="_Toc9272525"/>
      <w:bookmarkStart w:id="163" w:name="_Toc230858579"/>
      <w:r w:rsidRPr="00A14CAC">
        <w:t>Note 24 - Capital Expenditure and Capital Financing</w:t>
      </w:r>
      <w:bookmarkEnd w:id="161"/>
      <w:bookmarkEnd w:id="162"/>
      <w:bookmarkEnd w:id="163"/>
    </w:p>
    <w:p w14:paraId="46BF3777" w14:textId="77777777" w:rsidR="006A5AA6" w:rsidRPr="00A14CAC" w:rsidRDefault="006A5AA6" w:rsidP="003356AE">
      <w:pPr>
        <w:spacing w:line="240" w:lineRule="auto"/>
        <w:rPr>
          <w:noProof/>
          <w:szCs w:val="20"/>
          <w:lang w:eastAsia="en-GB"/>
        </w:rPr>
      </w:pPr>
    </w:p>
    <w:p w14:paraId="174E4BC2" w14:textId="76E0BF0E"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24</w:t>
      </w:r>
      <w:r w:rsidRPr="00A805A9">
        <w:rPr>
          <w:noProof/>
          <w:szCs w:val="20"/>
          <w:lang w:eastAsia="en-GB"/>
        </w:rPr>
        <w:t xml:space="preserve"> of the Office of the Police, Fire &amp; Crime Commissioner (OPFCC) Statement of Accounts.</w:t>
      </w:r>
    </w:p>
    <w:p w14:paraId="6160F815" w14:textId="77777777" w:rsidR="00FC7D71" w:rsidRPr="00A14CAC" w:rsidRDefault="00FC7D71" w:rsidP="003356AE">
      <w:pPr>
        <w:spacing w:line="240" w:lineRule="auto"/>
        <w:rPr>
          <w:lang w:val="pt-BR"/>
        </w:rPr>
      </w:pPr>
    </w:p>
    <w:p w14:paraId="01E5E603" w14:textId="18BB70CE" w:rsidR="002522D4" w:rsidRPr="00A14CAC" w:rsidRDefault="002522D4" w:rsidP="003356AE">
      <w:pPr>
        <w:pStyle w:val="NoteHeader"/>
        <w:spacing w:line="240" w:lineRule="auto"/>
        <w:rPr>
          <w:lang w:val="pt-BR"/>
        </w:rPr>
      </w:pPr>
      <w:bookmarkStart w:id="164" w:name="_Toc517077301"/>
      <w:bookmarkStart w:id="165" w:name="_Toc9272526"/>
      <w:bookmarkStart w:id="166" w:name="_Toc9592070"/>
      <w:bookmarkStart w:id="167" w:name="_Toc230858580"/>
      <w:r w:rsidRPr="00A14CAC">
        <w:rPr>
          <w:lang w:val="pt-BR"/>
        </w:rPr>
        <w:t>Note 25 - Construction Contracts</w:t>
      </w:r>
      <w:bookmarkEnd w:id="164"/>
      <w:bookmarkEnd w:id="165"/>
      <w:bookmarkEnd w:id="166"/>
      <w:bookmarkEnd w:id="167"/>
      <w:r w:rsidRPr="00A14CAC">
        <w:rPr>
          <w:lang w:val="pt-BR"/>
        </w:rPr>
        <w:t xml:space="preserve"> </w:t>
      </w:r>
    </w:p>
    <w:p w14:paraId="6BB5A9C6" w14:textId="77777777" w:rsidR="002522D4" w:rsidRPr="00A14CAC" w:rsidRDefault="002522D4" w:rsidP="003356AE">
      <w:pPr>
        <w:spacing w:line="240" w:lineRule="auto"/>
        <w:rPr>
          <w:lang w:val="pt-BR"/>
        </w:rPr>
      </w:pPr>
    </w:p>
    <w:p w14:paraId="2DD64567" w14:textId="1DF81F9C" w:rsidR="005433C7" w:rsidRDefault="008C3689" w:rsidP="003356AE">
      <w:pPr>
        <w:spacing w:line="240" w:lineRule="auto"/>
        <w:rPr>
          <w:noProof/>
          <w:szCs w:val="20"/>
          <w:lang w:eastAsia="en-GB"/>
        </w:rPr>
      </w:pPr>
      <w:r>
        <w:rPr>
          <w:noProof/>
          <w:szCs w:val="20"/>
          <w:lang w:eastAsia="en-GB"/>
        </w:rPr>
        <w:t>At 31 March 202</w:t>
      </w:r>
      <w:r w:rsidR="005E7FB9">
        <w:rPr>
          <w:noProof/>
          <w:szCs w:val="20"/>
          <w:lang w:eastAsia="en-GB"/>
        </w:rPr>
        <w:t>5</w:t>
      </w:r>
      <w:r w:rsidR="002522D4" w:rsidRPr="00A14CAC">
        <w:rPr>
          <w:noProof/>
          <w:szCs w:val="20"/>
          <w:lang w:eastAsia="en-GB"/>
        </w:rPr>
        <w:t xml:space="preserve"> the </w:t>
      </w:r>
      <w:r w:rsidR="001D2D0F">
        <w:rPr>
          <w:noProof/>
          <w:szCs w:val="20"/>
          <w:lang w:eastAsia="en-GB"/>
        </w:rPr>
        <w:t>O</w:t>
      </w:r>
      <w:r w:rsidR="00C75713" w:rsidRPr="00A14CAC">
        <w:rPr>
          <w:noProof/>
          <w:szCs w:val="20"/>
          <w:lang w:eastAsia="en-GB"/>
        </w:rPr>
        <w:t>CC</w:t>
      </w:r>
      <w:r w:rsidR="002522D4" w:rsidRPr="00A14CAC">
        <w:rPr>
          <w:noProof/>
          <w:szCs w:val="20"/>
          <w:lang w:eastAsia="en-GB"/>
        </w:rPr>
        <w:t xml:space="preserve"> had no construction contracts in progress</w:t>
      </w:r>
      <w:r w:rsidR="00295700">
        <w:rPr>
          <w:noProof/>
          <w:szCs w:val="20"/>
          <w:lang w:eastAsia="en-GB"/>
        </w:rPr>
        <w:t xml:space="preserve"> as the Office for the Police, Fire &amp; Crime Commissioner (OPFCC) is the owner of all contracts</w:t>
      </w:r>
      <w:r w:rsidR="002522D4" w:rsidRPr="009355C8">
        <w:rPr>
          <w:noProof/>
          <w:szCs w:val="20"/>
          <w:lang w:eastAsia="en-GB"/>
        </w:rPr>
        <w:t>.</w:t>
      </w:r>
      <w:r w:rsidR="00295700" w:rsidRPr="009355C8">
        <w:rPr>
          <w:noProof/>
          <w:szCs w:val="20"/>
          <w:lang w:eastAsia="en-GB"/>
        </w:rPr>
        <w:t xml:space="preserve"> </w:t>
      </w:r>
      <w:r w:rsidR="009355C8">
        <w:rPr>
          <w:noProof/>
          <w:szCs w:val="20"/>
          <w:lang w:eastAsia="en-GB"/>
        </w:rPr>
        <w:t xml:space="preserve"> </w:t>
      </w:r>
      <w:r w:rsidR="00295700" w:rsidRPr="009355C8">
        <w:rPr>
          <w:noProof/>
          <w:szCs w:val="20"/>
          <w:lang w:eastAsia="en-GB"/>
        </w:rPr>
        <w:t xml:space="preserve">Please refer to Note 25 of the OPFCC’s </w:t>
      </w:r>
      <w:r w:rsidR="009355C8">
        <w:rPr>
          <w:noProof/>
          <w:szCs w:val="20"/>
          <w:lang w:eastAsia="en-GB"/>
        </w:rPr>
        <w:t>G</w:t>
      </w:r>
      <w:r w:rsidR="00295700" w:rsidRPr="009355C8">
        <w:rPr>
          <w:noProof/>
          <w:szCs w:val="20"/>
          <w:lang w:eastAsia="en-GB"/>
        </w:rPr>
        <w:t>roup Statement of Accounts for further information.</w:t>
      </w:r>
    </w:p>
    <w:p w14:paraId="64767D2A" w14:textId="77777777" w:rsidR="00FC7D71" w:rsidRPr="008441E1" w:rsidRDefault="00FC7D71" w:rsidP="003356AE">
      <w:pPr>
        <w:spacing w:line="240" w:lineRule="auto"/>
        <w:rPr>
          <w:noProof/>
          <w:szCs w:val="20"/>
          <w:lang w:eastAsia="en-GB"/>
        </w:rPr>
      </w:pPr>
    </w:p>
    <w:p w14:paraId="10315145" w14:textId="6EA077F6" w:rsidR="002522D4" w:rsidRPr="00A14CAC" w:rsidRDefault="002522D4" w:rsidP="003356AE">
      <w:pPr>
        <w:pStyle w:val="NoteHeader"/>
        <w:spacing w:line="240" w:lineRule="auto"/>
        <w:rPr>
          <w:lang w:val="pt-BR"/>
        </w:rPr>
      </w:pPr>
      <w:bookmarkStart w:id="168" w:name="_Toc517077302"/>
      <w:bookmarkStart w:id="169" w:name="_Toc9272527"/>
      <w:bookmarkStart w:id="170" w:name="_Toc9592071"/>
      <w:bookmarkStart w:id="171" w:name="_Toc230858581"/>
      <w:r w:rsidRPr="00A14CAC">
        <w:rPr>
          <w:lang w:val="pt-BR"/>
        </w:rPr>
        <w:t>Note 26 - Debtors</w:t>
      </w:r>
      <w:bookmarkEnd w:id="168"/>
      <w:bookmarkEnd w:id="169"/>
      <w:bookmarkEnd w:id="170"/>
      <w:bookmarkEnd w:id="171"/>
      <w:r w:rsidRPr="00A14CAC">
        <w:rPr>
          <w:lang w:val="pt-BR"/>
        </w:rPr>
        <w:t xml:space="preserve"> </w:t>
      </w:r>
    </w:p>
    <w:p w14:paraId="4F07772B" w14:textId="77777777" w:rsidR="002522D4" w:rsidRPr="00A14CAC" w:rsidRDefault="002522D4" w:rsidP="003356AE">
      <w:pPr>
        <w:spacing w:line="240" w:lineRule="auto"/>
        <w:rPr>
          <w:lang w:val="pt-BR"/>
        </w:rPr>
      </w:pPr>
    </w:p>
    <w:p w14:paraId="71924156" w14:textId="29900122"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26</w:t>
      </w:r>
      <w:r w:rsidRPr="00A805A9">
        <w:rPr>
          <w:noProof/>
          <w:szCs w:val="20"/>
          <w:lang w:eastAsia="en-GB"/>
        </w:rPr>
        <w:t xml:space="preserve"> of the Office of the Police, Fire &amp; Crime Commissioner (OPFCC) Statement of Accounts.</w:t>
      </w:r>
    </w:p>
    <w:p w14:paraId="2647F68F" w14:textId="77777777" w:rsidR="002522D4" w:rsidRPr="00A14CAC" w:rsidRDefault="002522D4" w:rsidP="003356AE">
      <w:pPr>
        <w:spacing w:line="240" w:lineRule="auto"/>
        <w:rPr>
          <w:lang w:val="pt-BR"/>
        </w:rPr>
      </w:pPr>
    </w:p>
    <w:p w14:paraId="248A6628" w14:textId="2AF800E0" w:rsidR="002522D4" w:rsidRPr="00A14CAC" w:rsidRDefault="002522D4" w:rsidP="003356AE">
      <w:pPr>
        <w:pStyle w:val="NoteHeader"/>
        <w:spacing w:line="240" w:lineRule="auto"/>
        <w:rPr>
          <w:lang w:val="pt-BR"/>
        </w:rPr>
      </w:pPr>
      <w:bookmarkStart w:id="172" w:name="_Toc517077303"/>
      <w:bookmarkStart w:id="173" w:name="_Toc9272528"/>
      <w:bookmarkStart w:id="174" w:name="_Toc9592072"/>
      <w:bookmarkStart w:id="175" w:name="_Toc230858582"/>
      <w:r w:rsidRPr="00A14CAC">
        <w:rPr>
          <w:lang w:val="pt-BR"/>
        </w:rPr>
        <w:t>Note 27 - Inventories</w:t>
      </w:r>
      <w:bookmarkEnd w:id="172"/>
      <w:bookmarkEnd w:id="173"/>
      <w:bookmarkEnd w:id="174"/>
      <w:bookmarkEnd w:id="175"/>
      <w:r w:rsidRPr="00A14CAC">
        <w:rPr>
          <w:lang w:val="pt-BR"/>
        </w:rPr>
        <w:t xml:space="preserve"> </w:t>
      </w:r>
    </w:p>
    <w:p w14:paraId="6C7DE40C" w14:textId="77777777" w:rsidR="005433C7" w:rsidRPr="00A14CAC" w:rsidRDefault="005433C7" w:rsidP="003356AE">
      <w:pPr>
        <w:spacing w:line="240" w:lineRule="auto"/>
        <w:rPr>
          <w:noProof/>
          <w:lang w:eastAsia="en-GB"/>
        </w:rPr>
      </w:pPr>
    </w:p>
    <w:p w14:paraId="11CC6E86" w14:textId="6126688B"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27</w:t>
      </w:r>
      <w:r w:rsidRPr="00A805A9">
        <w:rPr>
          <w:noProof/>
          <w:szCs w:val="20"/>
          <w:lang w:eastAsia="en-GB"/>
        </w:rPr>
        <w:t xml:space="preserve"> of the Office of the Police, Fire &amp; Crime Commissioner (OPFCC) Statement of Accounts.</w:t>
      </w:r>
    </w:p>
    <w:p w14:paraId="3EAF1D0A" w14:textId="77777777" w:rsidR="006A5AA6" w:rsidRPr="00A14CAC" w:rsidRDefault="006A5AA6" w:rsidP="003356AE">
      <w:pPr>
        <w:spacing w:line="240" w:lineRule="auto"/>
        <w:rPr>
          <w:lang w:val="pt-BR"/>
        </w:rPr>
      </w:pPr>
    </w:p>
    <w:p w14:paraId="5EF9F0B5" w14:textId="08257EB5" w:rsidR="002522D4" w:rsidRPr="00A14CAC" w:rsidRDefault="002522D4" w:rsidP="003356AE">
      <w:pPr>
        <w:pStyle w:val="NoteHeader"/>
        <w:spacing w:line="240" w:lineRule="auto"/>
        <w:rPr>
          <w:lang w:val="pt-BR"/>
        </w:rPr>
      </w:pPr>
      <w:bookmarkStart w:id="176" w:name="_Toc517077304"/>
      <w:bookmarkStart w:id="177" w:name="_Toc9272529"/>
      <w:bookmarkStart w:id="178" w:name="_Toc9592073"/>
      <w:bookmarkStart w:id="179" w:name="_Toc230858583"/>
      <w:r w:rsidRPr="00A14CAC">
        <w:rPr>
          <w:lang w:val="pt-BR"/>
        </w:rPr>
        <w:t>Note 28 - Provisions</w:t>
      </w:r>
      <w:bookmarkEnd w:id="176"/>
      <w:bookmarkEnd w:id="177"/>
      <w:bookmarkEnd w:id="178"/>
      <w:bookmarkEnd w:id="179"/>
    </w:p>
    <w:p w14:paraId="3594350F" w14:textId="77777777" w:rsidR="002522D4" w:rsidRPr="00A14CAC" w:rsidRDefault="002522D4" w:rsidP="003356AE">
      <w:pPr>
        <w:spacing w:line="240" w:lineRule="auto"/>
        <w:rPr>
          <w:lang w:val="pt-BR"/>
        </w:rPr>
      </w:pPr>
    </w:p>
    <w:p w14:paraId="01C80C34" w14:textId="4150038F"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28</w:t>
      </w:r>
      <w:r w:rsidRPr="00A805A9">
        <w:rPr>
          <w:noProof/>
          <w:szCs w:val="20"/>
          <w:lang w:eastAsia="en-GB"/>
        </w:rPr>
        <w:t xml:space="preserve"> of the Office of the Police, Fire &amp; Crime Commissioner (OPFCC) Statement of Accounts.</w:t>
      </w:r>
    </w:p>
    <w:p w14:paraId="0374BA99" w14:textId="77777777" w:rsidR="005433C7" w:rsidRPr="00A14CAC" w:rsidRDefault="005433C7" w:rsidP="003356AE">
      <w:pPr>
        <w:spacing w:line="240" w:lineRule="auto"/>
        <w:rPr>
          <w:lang w:val="pt-BR"/>
        </w:rPr>
      </w:pPr>
    </w:p>
    <w:p w14:paraId="30272340" w14:textId="68D3B805" w:rsidR="002522D4" w:rsidRPr="008D0D52" w:rsidRDefault="002522D4" w:rsidP="003356AE">
      <w:pPr>
        <w:pStyle w:val="NoteHeader"/>
        <w:spacing w:line="240" w:lineRule="auto"/>
        <w:rPr>
          <w:lang w:val="pt-BR"/>
        </w:rPr>
      </w:pPr>
      <w:bookmarkStart w:id="180" w:name="_Toc517077305"/>
      <w:bookmarkStart w:id="181" w:name="_Toc9272530"/>
      <w:bookmarkStart w:id="182" w:name="_Toc9592074"/>
      <w:bookmarkStart w:id="183" w:name="_Toc230858584"/>
      <w:r w:rsidRPr="008D0D52">
        <w:rPr>
          <w:lang w:val="pt-BR"/>
        </w:rPr>
        <w:lastRenderedPageBreak/>
        <w:t>Note 29 - Creditors</w:t>
      </w:r>
      <w:bookmarkEnd w:id="180"/>
      <w:bookmarkEnd w:id="181"/>
      <w:bookmarkEnd w:id="182"/>
      <w:bookmarkEnd w:id="183"/>
      <w:r w:rsidRPr="008D0D52">
        <w:rPr>
          <w:lang w:val="pt-BR"/>
        </w:rPr>
        <w:t xml:space="preserve"> </w:t>
      </w:r>
    </w:p>
    <w:p w14:paraId="68801368" w14:textId="77777777" w:rsidR="005433C7" w:rsidRPr="008D0D52" w:rsidRDefault="005433C7" w:rsidP="003356AE">
      <w:pPr>
        <w:spacing w:line="240" w:lineRule="auto"/>
        <w:rPr>
          <w:lang w:val="pt-BR"/>
        </w:rPr>
      </w:pPr>
    </w:p>
    <w:p w14:paraId="224A51C3" w14:textId="1984F844" w:rsidR="0043308A" w:rsidRPr="00AD2988" w:rsidRDefault="002522D4" w:rsidP="003356AE">
      <w:pPr>
        <w:spacing w:line="240" w:lineRule="auto"/>
        <w:rPr>
          <w:lang w:val="pt-BR"/>
        </w:rPr>
      </w:pPr>
      <w:r w:rsidRPr="008D0D52">
        <w:rPr>
          <w:lang w:val="pt-BR"/>
        </w:rPr>
        <w:t xml:space="preserve">These amounts represent sums owed by the </w:t>
      </w:r>
      <w:r w:rsidR="009B0396">
        <w:rPr>
          <w:lang w:val="pt-BR"/>
        </w:rPr>
        <w:t>OCC</w:t>
      </w:r>
      <w:r w:rsidRPr="008D0D52">
        <w:rPr>
          <w:lang w:val="pt-BR"/>
        </w:rPr>
        <w:t xml:space="preserve"> to various sources, together with receipts in advance. </w:t>
      </w:r>
    </w:p>
    <w:p w14:paraId="67AE95F5" w14:textId="143A54BC" w:rsidR="006F1DE5" w:rsidRDefault="006F1DE5"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820"/>
        <w:gridCol w:w="5434"/>
        <w:gridCol w:w="1818"/>
      </w:tblGrid>
      <w:tr w:rsidR="000264EF" w:rsidRPr="000264EF" w14:paraId="32D548A2" w14:textId="77777777" w:rsidTr="007F6518">
        <w:trPr>
          <w:trHeight w:val="340"/>
        </w:trPr>
        <w:tc>
          <w:tcPr>
            <w:tcW w:w="1003" w:type="pct"/>
            <w:tcBorders>
              <w:top w:val="nil"/>
              <w:left w:val="nil"/>
              <w:bottom w:val="nil"/>
              <w:right w:val="nil"/>
            </w:tcBorders>
            <w:shd w:val="clear" w:color="000000" w:fill="000099"/>
            <w:vAlign w:val="bottom"/>
            <w:hideMark/>
          </w:tcPr>
          <w:p w14:paraId="647EBDB8" w14:textId="77777777" w:rsidR="000264EF" w:rsidRPr="000264EF" w:rsidRDefault="000264EF" w:rsidP="000264EF">
            <w:pPr>
              <w:spacing w:after="0" w:line="240" w:lineRule="auto"/>
              <w:jc w:val="center"/>
              <w:rPr>
                <w:rFonts w:eastAsia="Times New Roman" w:cs="Calibri"/>
                <w:b/>
                <w:bCs/>
                <w:color w:val="FFFFFF"/>
                <w:sz w:val="18"/>
                <w:szCs w:val="18"/>
                <w:lang w:eastAsia="en-GB"/>
              </w:rPr>
            </w:pPr>
            <w:r w:rsidRPr="000264EF">
              <w:rPr>
                <w:rFonts w:eastAsia="Times New Roman" w:cs="Calibri"/>
                <w:b/>
                <w:bCs/>
                <w:color w:val="FFFFFF"/>
                <w:sz w:val="18"/>
                <w:szCs w:val="18"/>
                <w:lang w:eastAsia="en-GB"/>
              </w:rPr>
              <w:t>Total</w:t>
            </w:r>
          </w:p>
        </w:tc>
        <w:tc>
          <w:tcPr>
            <w:tcW w:w="2995" w:type="pct"/>
            <w:vMerge w:val="restart"/>
            <w:tcBorders>
              <w:top w:val="nil"/>
              <w:left w:val="nil"/>
              <w:bottom w:val="nil"/>
              <w:right w:val="nil"/>
            </w:tcBorders>
            <w:shd w:val="clear" w:color="000000" w:fill="000099"/>
            <w:vAlign w:val="center"/>
            <w:hideMark/>
          </w:tcPr>
          <w:p w14:paraId="6D413A8C" w14:textId="77777777" w:rsidR="000264EF" w:rsidRPr="000264EF" w:rsidRDefault="000264EF" w:rsidP="000264EF">
            <w:pPr>
              <w:spacing w:after="0" w:line="240" w:lineRule="auto"/>
              <w:jc w:val="center"/>
              <w:rPr>
                <w:rFonts w:eastAsia="Times New Roman" w:cs="Calibri"/>
                <w:b/>
                <w:bCs/>
                <w:color w:val="FFFFFF"/>
                <w:sz w:val="18"/>
                <w:szCs w:val="18"/>
                <w:lang w:eastAsia="en-GB"/>
              </w:rPr>
            </w:pPr>
            <w:r w:rsidRPr="000264EF">
              <w:rPr>
                <w:rFonts w:eastAsia="Times New Roman" w:cs="Calibri"/>
                <w:b/>
                <w:bCs/>
                <w:color w:val="FFFFFF"/>
                <w:sz w:val="18"/>
                <w:szCs w:val="18"/>
                <w:lang w:eastAsia="en-GB"/>
              </w:rPr>
              <w:t>Creditors</w:t>
            </w:r>
          </w:p>
        </w:tc>
        <w:tc>
          <w:tcPr>
            <w:tcW w:w="1003" w:type="pct"/>
            <w:tcBorders>
              <w:top w:val="nil"/>
              <w:left w:val="nil"/>
              <w:bottom w:val="nil"/>
              <w:right w:val="nil"/>
            </w:tcBorders>
            <w:shd w:val="clear" w:color="000000" w:fill="000099"/>
            <w:vAlign w:val="bottom"/>
            <w:hideMark/>
          </w:tcPr>
          <w:p w14:paraId="7A6FEC9D" w14:textId="77777777" w:rsidR="000264EF" w:rsidRPr="000264EF" w:rsidRDefault="000264EF" w:rsidP="000264EF">
            <w:pPr>
              <w:spacing w:after="0" w:line="240" w:lineRule="auto"/>
              <w:jc w:val="center"/>
              <w:rPr>
                <w:rFonts w:eastAsia="Times New Roman" w:cs="Calibri"/>
                <w:b/>
                <w:bCs/>
                <w:color w:val="FFFFFF"/>
                <w:sz w:val="18"/>
                <w:szCs w:val="18"/>
                <w:lang w:eastAsia="en-GB"/>
              </w:rPr>
            </w:pPr>
            <w:r w:rsidRPr="000264EF">
              <w:rPr>
                <w:rFonts w:eastAsia="Times New Roman" w:cs="Calibri"/>
                <w:b/>
                <w:bCs/>
                <w:color w:val="FFFFFF"/>
                <w:sz w:val="18"/>
                <w:szCs w:val="18"/>
                <w:lang w:eastAsia="en-GB"/>
              </w:rPr>
              <w:t>Total</w:t>
            </w:r>
          </w:p>
        </w:tc>
      </w:tr>
      <w:tr w:rsidR="000264EF" w:rsidRPr="000264EF" w14:paraId="0D26A146" w14:textId="77777777" w:rsidTr="007F6518">
        <w:trPr>
          <w:trHeight w:val="340"/>
        </w:trPr>
        <w:tc>
          <w:tcPr>
            <w:tcW w:w="1003" w:type="pct"/>
            <w:tcBorders>
              <w:top w:val="nil"/>
              <w:left w:val="nil"/>
              <w:bottom w:val="nil"/>
              <w:right w:val="nil"/>
            </w:tcBorders>
            <w:shd w:val="clear" w:color="000000" w:fill="000099"/>
            <w:vAlign w:val="bottom"/>
            <w:hideMark/>
          </w:tcPr>
          <w:p w14:paraId="3B504399" w14:textId="77777777" w:rsidR="000264EF" w:rsidRPr="000264EF" w:rsidRDefault="000264EF" w:rsidP="000264EF">
            <w:pPr>
              <w:spacing w:after="0" w:line="240" w:lineRule="auto"/>
              <w:jc w:val="center"/>
              <w:rPr>
                <w:rFonts w:eastAsia="Times New Roman" w:cs="Calibri"/>
                <w:b/>
                <w:bCs/>
                <w:color w:val="FFFFFF"/>
                <w:sz w:val="18"/>
                <w:szCs w:val="18"/>
                <w:lang w:eastAsia="en-GB"/>
              </w:rPr>
            </w:pPr>
            <w:r w:rsidRPr="000264EF">
              <w:rPr>
                <w:rFonts w:eastAsia="Times New Roman" w:cs="Calibri"/>
                <w:b/>
                <w:bCs/>
                <w:color w:val="FFFFFF"/>
                <w:sz w:val="18"/>
                <w:szCs w:val="18"/>
                <w:lang w:eastAsia="en-GB"/>
              </w:rPr>
              <w:t>31 March 2025</w:t>
            </w:r>
          </w:p>
        </w:tc>
        <w:tc>
          <w:tcPr>
            <w:tcW w:w="2995" w:type="pct"/>
            <w:vMerge/>
            <w:tcBorders>
              <w:top w:val="nil"/>
              <w:left w:val="nil"/>
              <w:bottom w:val="nil"/>
              <w:right w:val="nil"/>
            </w:tcBorders>
            <w:vAlign w:val="center"/>
            <w:hideMark/>
          </w:tcPr>
          <w:p w14:paraId="113E08C5" w14:textId="77777777" w:rsidR="000264EF" w:rsidRPr="000264EF" w:rsidRDefault="000264EF" w:rsidP="000264EF">
            <w:pPr>
              <w:spacing w:after="0" w:line="240" w:lineRule="auto"/>
              <w:jc w:val="left"/>
              <w:rPr>
                <w:rFonts w:eastAsia="Times New Roman" w:cs="Calibri"/>
                <w:b/>
                <w:bCs/>
                <w:color w:val="FFFFFF"/>
                <w:sz w:val="18"/>
                <w:szCs w:val="18"/>
                <w:lang w:eastAsia="en-GB"/>
              </w:rPr>
            </w:pPr>
          </w:p>
        </w:tc>
        <w:tc>
          <w:tcPr>
            <w:tcW w:w="1003" w:type="pct"/>
            <w:tcBorders>
              <w:top w:val="nil"/>
              <w:left w:val="nil"/>
              <w:bottom w:val="nil"/>
              <w:right w:val="nil"/>
            </w:tcBorders>
            <w:shd w:val="clear" w:color="000000" w:fill="000099"/>
            <w:vAlign w:val="bottom"/>
            <w:hideMark/>
          </w:tcPr>
          <w:p w14:paraId="13E32C49" w14:textId="77777777" w:rsidR="000264EF" w:rsidRPr="000264EF" w:rsidRDefault="000264EF" w:rsidP="000264EF">
            <w:pPr>
              <w:spacing w:after="0" w:line="240" w:lineRule="auto"/>
              <w:jc w:val="center"/>
              <w:rPr>
                <w:rFonts w:eastAsia="Times New Roman" w:cs="Calibri"/>
                <w:b/>
                <w:bCs/>
                <w:color w:val="FFFFFF"/>
                <w:sz w:val="18"/>
                <w:szCs w:val="18"/>
                <w:lang w:eastAsia="en-GB"/>
              </w:rPr>
            </w:pPr>
            <w:r w:rsidRPr="000264EF">
              <w:rPr>
                <w:rFonts w:eastAsia="Times New Roman" w:cs="Calibri"/>
                <w:b/>
                <w:bCs/>
                <w:color w:val="FFFFFF"/>
                <w:sz w:val="18"/>
                <w:szCs w:val="18"/>
                <w:lang w:eastAsia="en-GB"/>
              </w:rPr>
              <w:t>31 March 2026</w:t>
            </w:r>
          </w:p>
        </w:tc>
      </w:tr>
      <w:tr w:rsidR="000264EF" w:rsidRPr="000264EF" w14:paraId="3F4AD428" w14:textId="77777777" w:rsidTr="007F6518">
        <w:trPr>
          <w:trHeight w:val="340"/>
        </w:trPr>
        <w:tc>
          <w:tcPr>
            <w:tcW w:w="1003" w:type="pct"/>
            <w:tcBorders>
              <w:top w:val="nil"/>
              <w:left w:val="nil"/>
              <w:bottom w:val="nil"/>
              <w:right w:val="nil"/>
            </w:tcBorders>
            <w:shd w:val="clear" w:color="000000" w:fill="000099"/>
            <w:vAlign w:val="bottom"/>
            <w:hideMark/>
          </w:tcPr>
          <w:p w14:paraId="1E05A91D" w14:textId="77777777" w:rsidR="000264EF" w:rsidRPr="000264EF" w:rsidRDefault="000264EF" w:rsidP="000264EF">
            <w:pPr>
              <w:spacing w:after="0" w:line="240" w:lineRule="auto"/>
              <w:jc w:val="center"/>
              <w:rPr>
                <w:rFonts w:eastAsia="Times New Roman" w:cs="Calibri"/>
                <w:b/>
                <w:bCs/>
                <w:color w:val="FFFFFF"/>
                <w:sz w:val="18"/>
                <w:szCs w:val="18"/>
                <w:lang w:eastAsia="en-GB"/>
              </w:rPr>
            </w:pPr>
            <w:r w:rsidRPr="000264EF">
              <w:rPr>
                <w:rFonts w:eastAsia="Times New Roman" w:cs="Calibri"/>
                <w:b/>
                <w:bCs/>
                <w:color w:val="FFFFFF"/>
                <w:sz w:val="18"/>
                <w:szCs w:val="18"/>
                <w:lang w:eastAsia="en-GB"/>
              </w:rPr>
              <w:t>£000</w:t>
            </w:r>
          </w:p>
        </w:tc>
        <w:tc>
          <w:tcPr>
            <w:tcW w:w="2995" w:type="pct"/>
            <w:vMerge/>
            <w:tcBorders>
              <w:top w:val="nil"/>
              <w:left w:val="nil"/>
              <w:bottom w:val="nil"/>
              <w:right w:val="nil"/>
            </w:tcBorders>
            <w:vAlign w:val="center"/>
            <w:hideMark/>
          </w:tcPr>
          <w:p w14:paraId="5A35773B" w14:textId="77777777" w:rsidR="000264EF" w:rsidRPr="000264EF" w:rsidRDefault="000264EF" w:rsidP="000264EF">
            <w:pPr>
              <w:spacing w:after="0" w:line="240" w:lineRule="auto"/>
              <w:jc w:val="left"/>
              <w:rPr>
                <w:rFonts w:eastAsia="Times New Roman" w:cs="Calibri"/>
                <w:b/>
                <w:bCs/>
                <w:color w:val="FFFFFF"/>
                <w:sz w:val="18"/>
                <w:szCs w:val="18"/>
                <w:lang w:eastAsia="en-GB"/>
              </w:rPr>
            </w:pPr>
          </w:p>
        </w:tc>
        <w:tc>
          <w:tcPr>
            <w:tcW w:w="1003" w:type="pct"/>
            <w:tcBorders>
              <w:top w:val="nil"/>
              <w:left w:val="nil"/>
              <w:bottom w:val="nil"/>
              <w:right w:val="nil"/>
            </w:tcBorders>
            <w:shd w:val="clear" w:color="000000" w:fill="000099"/>
            <w:vAlign w:val="bottom"/>
            <w:hideMark/>
          </w:tcPr>
          <w:p w14:paraId="502BE707" w14:textId="77777777" w:rsidR="000264EF" w:rsidRPr="000264EF" w:rsidRDefault="000264EF" w:rsidP="000264EF">
            <w:pPr>
              <w:spacing w:after="0" w:line="240" w:lineRule="auto"/>
              <w:jc w:val="center"/>
              <w:rPr>
                <w:rFonts w:eastAsia="Times New Roman" w:cs="Calibri"/>
                <w:b/>
                <w:bCs/>
                <w:color w:val="FFFFFF"/>
                <w:sz w:val="18"/>
                <w:szCs w:val="18"/>
                <w:lang w:eastAsia="en-GB"/>
              </w:rPr>
            </w:pPr>
            <w:r w:rsidRPr="000264EF">
              <w:rPr>
                <w:rFonts w:eastAsia="Times New Roman" w:cs="Calibri"/>
                <w:b/>
                <w:bCs/>
                <w:color w:val="FFFFFF"/>
                <w:sz w:val="18"/>
                <w:szCs w:val="18"/>
                <w:lang w:eastAsia="en-GB"/>
              </w:rPr>
              <w:t>£000</w:t>
            </w:r>
          </w:p>
        </w:tc>
      </w:tr>
      <w:tr w:rsidR="000264EF" w:rsidRPr="000264EF" w14:paraId="6926CE5B" w14:textId="77777777" w:rsidTr="008037B2">
        <w:trPr>
          <w:trHeight w:val="340"/>
        </w:trPr>
        <w:tc>
          <w:tcPr>
            <w:tcW w:w="1003" w:type="pct"/>
            <w:tcBorders>
              <w:top w:val="nil"/>
              <w:left w:val="nil"/>
              <w:bottom w:val="nil"/>
              <w:right w:val="nil"/>
            </w:tcBorders>
            <w:shd w:val="clear" w:color="000000" w:fill="FFFFFF"/>
            <w:vAlign w:val="center"/>
            <w:hideMark/>
          </w:tcPr>
          <w:p w14:paraId="34B9C97D" w14:textId="1D33345A" w:rsidR="000264EF" w:rsidRPr="000264EF" w:rsidRDefault="000264EF" w:rsidP="008037B2">
            <w:pPr>
              <w:spacing w:after="0" w:line="240" w:lineRule="auto"/>
              <w:jc w:val="right"/>
              <w:rPr>
                <w:rFonts w:eastAsia="Times New Roman" w:cs="Calibri"/>
                <w:color w:val="auto"/>
                <w:sz w:val="18"/>
                <w:szCs w:val="18"/>
                <w:lang w:eastAsia="en-GB"/>
              </w:rPr>
            </w:pPr>
            <w:r w:rsidRPr="000264EF">
              <w:rPr>
                <w:rFonts w:eastAsia="Times New Roman" w:cs="Calibri"/>
                <w:color w:val="000000"/>
                <w:sz w:val="18"/>
                <w:szCs w:val="18"/>
                <w:lang w:eastAsia="en-GB"/>
              </w:rPr>
              <w:t>(</w:t>
            </w:r>
            <w:r w:rsidR="00AD50DE">
              <w:rPr>
                <w:rFonts w:eastAsia="Times New Roman" w:cs="Calibri"/>
                <w:color w:val="000000"/>
                <w:sz w:val="18"/>
                <w:szCs w:val="18"/>
                <w:lang w:eastAsia="en-GB"/>
              </w:rPr>
              <w:t>1</w:t>
            </w:r>
            <w:r w:rsidRPr="000264EF">
              <w:rPr>
                <w:rFonts w:eastAsia="Times New Roman" w:cs="Calibri"/>
                <w:color w:val="000000"/>
                <w:sz w:val="18"/>
                <w:szCs w:val="18"/>
                <w:lang w:eastAsia="en-GB"/>
              </w:rPr>
              <w:t>,</w:t>
            </w:r>
            <w:r w:rsidR="00AD50DE">
              <w:rPr>
                <w:rFonts w:eastAsia="Times New Roman" w:cs="Calibri"/>
                <w:color w:val="000000"/>
                <w:sz w:val="18"/>
                <w:szCs w:val="18"/>
                <w:lang w:eastAsia="en-GB"/>
              </w:rPr>
              <w:t>654</w:t>
            </w:r>
            <w:r w:rsidRPr="000264EF">
              <w:rPr>
                <w:rFonts w:eastAsia="Times New Roman" w:cs="Calibri"/>
                <w:color w:val="000000"/>
                <w:sz w:val="18"/>
                <w:szCs w:val="18"/>
                <w:lang w:eastAsia="en-GB"/>
              </w:rPr>
              <w:t>)</w:t>
            </w:r>
          </w:p>
        </w:tc>
        <w:tc>
          <w:tcPr>
            <w:tcW w:w="2995" w:type="pct"/>
            <w:tcBorders>
              <w:top w:val="nil"/>
              <w:left w:val="nil"/>
              <w:bottom w:val="nil"/>
              <w:right w:val="nil"/>
            </w:tcBorders>
            <w:shd w:val="clear" w:color="000000" w:fill="FFFFFF"/>
            <w:vAlign w:val="center"/>
            <w:hideMark/>
          </w:tcPr>
          <w:p w14:paraId="56739AC6" w14:textId="77777777" w:rsidR="000264EF" w:rsidRPr="000264EF" w:rsidRDefault="000264EF" w:rsidP="008037B2">
            <w:pPr>
              <w:spacing w:after="0" w:line="240" w:lineRule="auto"/>
              <w:jc w:val="left"/>
              <w:rPr>
                <w:rFonts w:eastAsia="Times New Roman" w:cs="Calibri"/>
                <w:color w:val="auto"/>
                <w:sz w:val="18"/>
                <w:szCs w:val="18"/>
                <w:lang w:eastAsia="en-GB"/>
              </w:rPr>
            </w:pPr>
            <w:r w:rsidRPr="000264EF">
              <w:rPr>
                <w:rFonts w:eastAsia="Times New Roman" w:cs="Calibri"/>
                <w:color w:val="auto"/>
                <w:sz w:val="18"/>
                <w:szCs w:val="18"/>
                <w:lang w:eastAsia="en-GB"/>
              </w:rPr>
              <w:t>Accumulated Absence Accrual</w:t>
            </w:r>
          </w:p>
        </w:tc>
        <w:tc>
          <w:tcPr>
            <w:tcW w:w="1003" w:type="pct"/>
            <w:tcBorders>
              <w:top w:val="nil"/>
              <w:left w:val="nil"/>
              <w:bottom w:val="nil"/>
              <w:right w:val="nil"/>
            </w:tcBorders>
            <w:shd w:val="clear" w:color="000000" w:fill="CCECFF"/>
            <w:vAlign w:val="center"/>
            <w:hideMark/>
          </w:tcPr>
          <w:p w14:paraId="2C057A05" w14:textId="77777777" w:rsidR="000264EF" w:rsidRPr="00F34E13" w:rsidRDefault="000264EF" w:rsidP="008037B2">
            <w:pPr>
              <w:spacing w:after="0" w:line="240" w:lineRule="auto"/>
              <w:jc w:val="right"/>
              <w:rPr>
                <w:rFonts w:eastAsia="Times New Roman" w:cs="Calibri"/>
                <w:color w:val="auto"/>
                <w:sz w:val="18"/>
                <w:szCs w:val="18"/>
                <w:highlight w:val="green"/>
                <w:lang w:eastAsia="en-GB"/>
              </w:rPr>
            </w:pPr>
            <w:r w:rsidRPr="003869DE">
              <w:rPr>
                <w:rFonts w:eastAsia="Times New Roman" w:cs="Calibri"/>
                <w:color w:val="000000"/>
                <w:sz w:val="18"/>
                <w:szCs w:val="18"/>
                <w:lang w:eastAsia="en-GB"/>
              </w:rPr>
              <w:t>(3,557)</w:t>
            </w:r>
          </w:p>
        </w:tc>
      </w:tr>
      <w:tr w:rsidR="000264EF" w:rsidRPr="000264EF" w14:paraId="0B425995" w14:textId="77777777" w:rsidTr="008037B2">
        <w:trPr>
          <w:trHeight w:val="340"/>
        </w:trPr>
        <w:tc>
          <w:tcPr>
            <w:tcW w:w="1003" w:type="pct"/>
            <w:tcBorders>
              <w:top w:val="single" w:sz="4" w:space="0" w:color="auto"/>
              <w:left w:val="nil"/>
              <w:bottom w:val="single" w:sz="4" w:space="0" w:color="auto"/>
              <w:right w:val="nil"/>
            </w:tcBorders>
            <w:shd w:val="clear" w:color="000000" w:fill="FFFFFF"/>
            <w:vAlign w:val="center"/>
            <w:hideMark/>
          </w:tcPr>
          <w:p w14:paraId="10C77046" w14:textId="05F620CC" w:rsidR="000264EF" w:rsidRPr="000264EF" w:rsidRDefault="000264EF" w:rsidP="008037B2">
            <w:pPr>
              <w:spacing w:after="0" w:line="240" w:lineRule="auto"/>
              <w:jc w:val="right"/>
              <w:rPr>
                <w:rFonts w:eastAsia="Times New Roman" w:cs="Calibri"/>
                <w:b/>
                <w:bCs/>
                <w:color w:val="auto"/>
                <w:sz w:val="18"/>
                <w:szCs w:val="18"/>
                <w:lang w:eastAsia="en-GB"/>
              </w:rPr>
            </w:pPr>
            <w:r w:rsidRPr="000264EF">
              <w:rPr>
                <w:rFonts w:eastAsia="Times New Roman" w:cs="Calibri"/>
                <w:b/>
                <w:bCs/>
                <w:color w:val="000000"/>
                <w:sz w:val="18"/>
                <w:szCs w:val="18"/>
                <w:lang w:eastAsia="en-GB"/>
              </w:rPr>
              <w:t>(</w:t>
            </w:r>
            <w:r w:rsidR="00AD50DE">
              <w:rPr>
                <w:rFonts w:eastAsia="Times New Roman" w:cs="Calibri"/>
                <w:b/>
                <w:bCs/>
                <w:color w:val="000000"/>
                <w:sz w:val="18"/>
                <w:szCs w:val="18"/>
                <w:lang w:eastAsia="en-GB"/>
              </w:rPr>
              <w:t>1</w:t>
            </w:r>
            <w:r w:rsidRPr="000264EF">
              <w:rPr>
                <w:rFonts w:eastAsia="Times New Roman" w:cs="Calibri"/>
                <w:b/>
                <w:bCs/>
                <w:color w:val="000000"/>
                <w:sz w:val="18"/>
                <w:szCs w:val="18"/>
                <w:lang w:eastAsia="en-GB"/>
              </w:rPr>
              <w:t>,</w:t>
            </w:r>
            <w:r w:rsidR="00AD50DE">
              <w:rPr>
                <w:rFonts w:eastAsia="Times New Roman" w:cs="Calibri"/>
                <w:b/>
                <w:bCs/>
                <w:color w:val="000000"/>
                <w:sz w:val="18"/>
                <w:szCs w:val="18"/>
                <w:lang w:eastAsia="en-GB"/>
              </w:rPr>
              <w:t>654</w:t>
            </w:r>
            <w:r w:rsidRPr="000264EF">
              <w:rPr>
                <w:rFonts w:eastAsia="Times New Roman" w:cs="Calibri"/>
                <w:b/>
                <w:bCs/>
                <w:color w:val="000000"/>
                <w:sz w:val="18"/>
                <w:szCs w:val="18"/>
                <w:lang w:eastAsia="en-GB"/>
              </w:rPr>
              <w:t>)</w:t>
            </w:r>
          </w:p>
        </w:tc>
        <w:tc>
          <w:tcPr>
            <w:tcW w:w="2995" w:type="pct"/>
            <w:tcBorders>
              <w:top w:val="single" w:sz="4" w:space="0" w:color="auto"/>
              <w:left w:val="nil"/>
              <w:bottom w:val="single" w:sz="4" w:space="0" w:color="auto"/>
              <w:right w:val="nil"/>
            </w:tcBorders>
            <w:shd w:val="clear" w:color="000000" w:fill="FFFFFF"/>
            <w:vAlign w:val="center"/>
            <w:hideMark/>
          </w:tcPr>
          <w:p w14:paraId="4E2AE088" w14:textId="77777777" w:rsidR="000264EF" w:rsidRPr="000264EF" w:rsidRDefault="000264EF" w:rsidP="008037B2">
            <w:pPr>
              <w:spacing w:after="0" w:line="240" w:lineRule="auto"/>
              <w:jc w:val="left"/>
              <w:rPr>
                <w:rFonts w:eastAsia="Times New Roman" w:cs="Calibri"/>
                <w:b/>
                <w:bCs/>
                <w:color w:val="auto"/>
                <w:sz w:val="18"/>
                <w:szCs w:val="18"/>
                <w:lang w:eastAsia="en-GB"/>
              </w:rPr>
            </w:pPr>
            <w:r w:rsidRPr="000264EF">
              <w:rPr>
                <w:rFonts w:eastAsia="Times New Roman" w:cs="Calibri"/>
                <w:b/>
                <w:bCs/>
                <w:color w:val="auto"/>
                <w:sz w:val="18"/>
                <w:szCs w:val="18"/>
                <w:lang w:eastAsia="en-GB"/>
              </w:rPr>
              <w:t>Total</w:t>
            </w:r>
          </w:p>
        </w:tc>
        <w:tc>
          <w:tcPr>
            <w:tcW w:w="1003" w:type="pct"/>
            <w:tcBorders>
              <w:top w:val="single" w:sz="4" w:space="0" w:color="auto"/>
              <w:left w:val="nil"/>
              <w:bottom w:val="single" w:sz="4" w:space="0" w:color="auto"/>
              <w:right w:val="nil"/>
            </w:tcBorders>
            <w:shd w:val="clear" w:color="000000" w:fill="CCECFF"/>
            <w:vAlign w:val="center"/>
            <w:hideMark/>
          </w:tcPr>
          <w:p w14:paraId="5DF49699" w14:textId="77777777" w:rsidR="000264EF" w:rsidRPr="00F34E13" w:rsidRDefault="000264EF" w:rsidP="008037B2">
            <w:pPr>
              <w:spacing w:after="0" w:line="240" w:lineRule="auto"/>
              <w:jc w:val="right"/>
              <w:rPr>
                <w:rFonts w:eastAsia="Times New Roman" w:cs="Calibri"/>
                <w:b/>
                <w:bCs/>
                <w:color w:val="auto"/>
                <w:sz w:val="18"/>
                <w:szCs w:val="18"/>
                <w:highlight w:val="green"/>
                <w:lang w:eastAsia="en-GB"/>
              </w:rPr>
            </w:pPr>
            <w:r w:rsidRPr="003869DE">
              <w:rPr>
                <w:rFonts w:eastAsia="Times New Roman" w:cs="Calibri"/>
                <w:b/>
                <w:bCs/>
                <w:color w:val="000000"/>
                <w:sz w:val="18"/>
                <w:szCs w:val="18"/>
                <w:lang w:eastAsia="en-GB"/>
              </w:rPr>
              <w:t>(3,</w:t>
            </w:r>
            <w:r w:rsidRPr="00CA14F8">
              <w:rPr>
                <w:rFonts w:eastAsia="Times New Roman" w:cs="Calibri"/>
                <w:b/>
                <w:bCs/>
                <w:color w:val="000000"/>
                <w:sz w:val="18"/>
                <w:szCs w:val="18"/>
                <w:lang w:eastAsia="en-GB"/>
              </w:rPr>
              <w:t>557)</w:t>
            </w:r>
          </w:p>
        </w:tc>
      </w:tr>
    </w:tbl>
    <w:p w14:paraId="26E67B31" w14:textId="77777777" w:rsidR="00FA6474" w:rsidRDefault="00FA6474" w:rsidP="003356AE">
      <w:pPr>
        <w:spacing w:line="240" w:lineRule="auto"/>
      </w:pPr>
    </w:p>
    <w:p w14:paraId="6879881A" w14:textId="77777777" w:rsidR="006952AF" w:rsidRPr="00354E03" w:rsidRDefault="006952AF" w:rsidP="003356AE">
      <w:pPr>
        <w:spacing w:line="240" w:lineRule="auto"/>
      </w:pPr>
    </w:p>
    <w:p w14:paraId="41D3D41F" w14:textId="033D3E21" w:rsidR="002522D4" w:rsidRPr="00A14CAC" w:rsidRDefault="002522D4" w:rsidP="003356AE">
      <w:pPr>
        <w:pStyle w:val="NoteHeader"/>
        <w:spacing w:line="240" w:lineRule="auto"/>
      </w:pPr>
      <w:bookmarkStart w:id="184" w:name="_Toc517077306"/>
      <w:bookmarkStart w:id="185" w:name="_Toc9272531"/>
      <w:bookmarkStart w:id="186" w:name="_Toc9592075"/>
      <w:bookmarkStart w:id="187" w:name="_Toc230858585"/>
      <w:r w:rsidRPr="00F40693">
        <w:t>Note 30 - Capitalisation of Borrowing Costs</w:t>
      </w:r>
      <w:bookmarkEnd w:id="184"/>
      <w:bookmarkEnd w:id="185"/>
      <w:bookmarkEnd w:id="186"/>
      <w:bookmarkEnd w:id="187"/>
      <w:r w:rsidRPr="00A14CAC">
        <w:t xml:space="preserve"> </w:t>
      </w:r>
    </w:p>
    <w:p w14:paraId="767D77DC" w14:textId="77777777" w:rsidR="002522D4" w:rsidRPr="00A14CAC" w:rsidRDefault="002522D4" w:rsidP="003356AE">
      <w:pPr>
        <w:spacing w:line="240" w:lineRule="auto"/>
      </w:pPr>
    </w:p>
    <w:p w14:paraId="10D5416B" w14:textId="657A6AF7"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30</w:t>
      </w:r>
      <w:r w:rsidRPr="00A805A9">
        <w:rPr>
          <w:noProof/>
          <w:szCs w:val="20"/>
          <w:lang w:eastAsia="en-GB"/>
        </w:rPr>
        <w:t xml:space="preserve"> of the Office of the Police, Fire &amp; Crime Commissioner (OPFCC) Statement of Accounts.</w:t>
      </w:r>
    </w:p>
    <w:p w14:paraId="443C63D3" w14:textId="77777777" w:rsidR="008C3CB6" w:rsidRPr="00A14CAC" w:rsidRDefault="008C3CB6" w:rsidP="003356AE">
      <w:pPr>
        <w:spacing w:line="240" w:lineRule="auto"/>
        <w:rPr>
          <w:rFonts w:ascii="Verdana" w:hAnsi="Verdana"/>
        </w:rPr>
      </w:pPr>
    </w:p>
    <w:p w14:paraId="5A8D9B93" w14:textId="66B916F5" w:rsidR="002522D4" w:rsidRPr="0050526D" w:rsidRDefault="002522D4" w:rsidP="003356AE">
      <w:pPr>
        <w:pStyle w:val="NoteHeader"/>
        <w:spacing w:line="240" w:lineRule="auto"/>
      </w:pPr>
      <w:bookmarkStart w:id="188" w:name="_Toc517077307"/>
      <w:bookmarkStart w:id="189" w:name="_Toc9272532"/>
      <w:bookmarkStart w:id="190" w:name="_Toc9592076"/>
      <w:bookmarkStart w:id="191" w:name="_Toc230858586"/>
      <w:r w:rsidRPr="0050526D">
        <w:t>Note 31 - Contingent Liabilities</w:t>
      </w:r>
      <w:bookmarkEnd w:id="188"/>
      <w:bookmarkEnd w:id="189"/>
      <w:bookmarkEnd w:id="190"/>
      <w:bookmarkEnd w:id="191"/>
      <w:r w:rsidRPr="0050526D">
        <w:t xml:space="preserve"> </w:t>
      </w:r>
    </w:p>
    <w:p w14:paraId="0596381D" w14:textId="77777777" w:rsidR="00A95AD2" w:rsidRPr="0050526D" w:rsidRDefault="00A95AD2" w:rsidP="003356AE">
      <w:pPr>
        <w:spacing w:line="240" w:lineRule="auto"/>
        <w:rPr>
          <w:color w:val="auto"/>
        </w:rPr>
      </w:pPr>
      <w:bookmarkStart w:id="192" w:name="_Toc517077308"/>
      <w:bookmarkStart w:id="193" w:name="_Toc9272533"/>
    </w:p>
    <w:p w14:paraId="70DF350A" w14:textId="63DE98A4" w:rsidR="00A805A9" w:rsidRPr="00A805A9" w:rsidRDefault="00A805A9" w:rsidP="003356AE">
      <w:pPr>
        <w:spacing w:line="240" w:lineRule="auto"/>
        <w:rPr>
          <w:noProof/>
          <w:szCs w:val="20"/>
          <w:lang w:eastAsia="en-GB"/>
        </w:rPr>
      </w:pPr>
      <w:r w:rsidRPr="00A805A9">
        <w:rPr>
          <w:noProof/>
          <w:szCs w:val="20"/>
          <w:lang w:eastAsia="en-GB"/>
        </w:rPr>
        <w:t xml:space="preserve">The Chief Constable holds no balance in respect of these items. For information, please refer to Note </w:t>
      </w:r>
      <w:r>
        <w:rPr>
          <w:noProof/>
          <w:szCs w:val="20"/>
          <w:lang w:eastAsia="en-GB"/>
        </w:rPr>
        <w:t>31</w:t>
      </w:r>
      <w:r w:rsidRPr="00A805A9">
        <w:rPr>
          <w:noProof/>
          <w:szCs w:val="20"/>
          <w:lang w:eastAsia="en-GB"/>
        </w:rPr>
        <w:t xml:space="preserve"> of the Office of the Police, Fire &amp; Crime Commissioner (OPFCC) Statement of Accounts.</w:t>
      </w:r>
    </w:p>
    <w:p w14:paraId="4D338240" w14:textId="77777777" w:rsidR="009226EF" w:rsidRPr="00653D20" w:rsidRDefault="009226EF" w:rsidP="003356AE">
      <w:pPr>
        <w:spacing w:line="240" w:lineRule="auto"/>
        <w:rPr>
          <w:highlight w:val="yellow"/>
        </w:rPr>
      </w:pPr>
    </w:p>
    <w:p w14:paraId="4C18B8CD" w14:textId="216E1356" w:rsidR="002522D4" w:rsidRPr="009D42D0" w:rsidRDefault="002522D4" w:rsidP="003356AE">
      <w:pPr>
        <w:pStyle w:val="NoteHeader"/>
        <w:spacing w:line="240" w:lineRule="auto"/>
      </w:pPr>
      <w:bookmarkStart w:id="194" w:name="_Toc9592077"/>
      <w:bookmarkStart w:id="195" w:name="_Toc230858587"/>
      <w:r w:rsidRPr="009D42D0">
        <w:t>Note 32 - Contingent Assets</w:t>
      </w:r>
      <w:bookmarkEnd w:id="192"/>
      <w:bookmarkEnd w:id="193"/>
      <w:bookmarkEnd w:id="194"/>
      <w:bookmarkEnd w:id="195"/>
      <w:r w:rsidRPr="009D42D0">
        <w:t xml:space="preserve"> </w:t>
      </w:r>
    </w:p>
    <w:p w14:paraId="6B766B5C" w14:textId="77777777" w:rsidR="002522D4" w:rsidRPr="009D42D0" w:rsidRDefault="002522D4" w:rsidP="003356AE">
      <w:pPr>
        <w:spacing w:line="240" w:lineRule="auto"/>
      </w:pPr>
    </w:p>
    <w:p w14:paraId="4B0C710A" w14:textId="6C4E932F" w:rsidR="00A805A9" w:rsidRPr="00A805A9" w:rsidRDefault="00A805A9" w:rsidP="003356AE">
      <w:pPr>
        <w:spacing w:line="240" w:lineRule="auto"/>
        <w:rPr>
          <w:noProof/>
          <w:szCs w:val="20"/>
          <w:lang w:eastAsia="en-GB"/>
        </w:rPr>
      </w:pPr>
      <w:bookmarkStart w:id="196" w:name="_Toc517077309"/>
      <w:bookmarkStart w:id="197" w:name="_Toc9272534"/>
      <w:r w:rsidRPr="00A805A9">
        <w:rPr>
          <w:noProof/>
          <w:szCs w:val="20"/>
          <w:lang w:eastAsia="en-GB"/>
        </w:rPr>
        <w:t xml:space="preserve">The Chief Constable holds no balance in respect of these items. For information, please refer to Note </w:t>
      </w:r>
      <w:r>
        <w:rPr>
          <w:noProof/>
          <w:szCs w:val="20"/>
          <w:lang w:eastAsia="en-GB"/>
        </w:rPr>
        <w:t>32</w:t>
      </w:r>
      <w:r w:rsidRPr="00A805A9">
        <w:rPr>
          <w:noProof/>
          <w:szCs w:val="20"/>
          <w:lang w:eastAsia="en-GB"/>
        </w:rPr>
        <w:t xml:space="preserve"> of the Office of the Police, Fire &amp; Crime Commissioner (OPFCC) Statement of Accounts.</w:t>
      </w:r>
    </w:p>
    <w:p w14:paraId="00A83201" w14:textId="77777777" w:rsidR="005433C7" w:rsidRPr="009D42D0" w:rsidRDefault="005433C7" w:rsidP="003356AE">
      <w:pPr>
        <w:spacing w:line="240" w:lineRule="auto"/>
      </w:pPr>
    </w:p>
    <w:p w14:paraId="4F93112D" w14:textId="0710789C" w:rsidR="002522D4" w:rsidRPr="009D42D0" w:rsidRDefault="002522D4" w:rsidP="003356AE">
      <w:pPr>
        <w:pStyle w:val="NoteHeader"/>
        <w:spacing w:line="240" w:lineRule="auto"/>
      </w:pPr>
      <w:bookmarkStart w:id="198" w:name="_Toc9592078"/>
      <w:bookmarkStart w:id="199" w:name="_Toc230858588"/>
      <w:r w:rsidRPr="009D42D0">
        <w:t>Note 33 - Cash and Cash Equivalents</w:t>
      </w:r>
      <w:bookmarkEnd w:id="196"/>
      <w:bookmarkEnd w:id="197"/>
      <w:bookmarkEnd w:id="198"/>
      <w:bookmarkEnd w:id="199"/>
      <w:r w:rsidRPr="009D42D0">
        <w:t xml:space="preserve"> </w:t>
      </w:r>
    </w:p>
    <w:p w14:paraId="5806C9C2" w14:textId="77777777" w:rsidR="005433C7" w:rsidRPr="009D42D0" w:rsidRDefault="005433C7" w:rsidP="003356AE">
      <w:pPr>
        <w:spacing w:line="240" w:lineRule="auto"/>
        <w:rPr>
          <w:noProof/>
          <w:szCs w:val="20"/>
          <w:lang w:eastAsia="en-GB"/>
        </w:rPr>
      </w:pPr>
    </w:p>
    <w:p w14:paraId="4F3D51F0" w14:textId="34DD6117" w:rsidR="00A805A9" w:rsidRPr="00A805A9" w:rsidRDefault="00A805A9" w:rsidP="003356AE">
      <w:pPr>
        <w:spacing w:line="240" w:lineRule="auto"/>
        <w:rPr>
          <w:noProof/>
          <w:szCs w:val="20"/>
          <w:lang w:eastAsia="en-GB"/>
        </w:rPr>
      </w:pPr>
      <w:bookmarkStart w:id="200" w:name="_Toc517077310"/>
      <w:bookmarkStart w:id="201" w:name="_Toc9272535"/>
      <w:bookmarkStart w:id="202" w:name="_Toc9592079"/>
      <w:bookmarkStart w:id="203" w:name="_Toc109632233"/>
      <w:r w:rsidRPr="00A805A9">
        <w:rPr>
          <w:noProof/>
          <w:szCs w:val="20"/>
          <w:lang w:eastAsia="en-GB"/>
        </w:rPr>
        <w:t xml:space="preserve">The Chief Constable holds no balance in respect of these items. For information, please refer to Note </w:t>
      </w:r>
      <w:r>
        <w:rPr>
          <w:noProof/>
          <w:szCs w:val="20"/>
          <w:lang w:eastAsia="en-GB"/>
        </w:rPr>
        <w:t>33</w:t>
      </w:r>
      <w:r w:rsidRPr="00A805A9">
        <w:rPr>
          <w:noProof/>
          <w:szCs w:val="20"/>
          <w:lang w:eastAsia="en-GB"/>
        </w:rPr>
        <w:t xml:space="preserve"> of the Office of the Police, Fire &amp; Crime Commissioner (OPFCC) Statement of Accounts.</w:t>
      </w:r>
    </w:p>
    <w:p w14:paraId="56EE4E8E" w14:textId="77777777" w:rsidR="00637800" w:rsidRDefault="00637800" w:rsidP="003356AE">
      <w:pPr>
        <w:spacing w:line="240" w:lineRule="auto"/>
        <w:rPr>
          <w:lang w:val="pt-BR"/>
        </w:rPr>
      </w:pPr>
    </w:p>
    <w:p w14:paraId="418E6B31" w14:textId="5F83CBCF" w:rsidR="002522D4" w:rsidRPr="004A3865" w:rsidRDefault="009D5F18" w:rsidP="003356AE">
      <w:pPr>
        <w:pStyle w:val="NoteHeader"/>
        <w:spacing w:line="240" w:lineRule="auto"/>
        <w:rPr>
          <w:lang w:val="pt-BR"/>
        </w:rPr>
      </w:pPr>
      <w:bookmarkStart w:id="204" w:name="_Toc230858589"/>
      <w:r>
        <w:rPr>
          <w:lang w:val="pt-BR"/>
        </w:rPr>
        <w:br w:type="column"/>
      </w:r>
      <w:r w:rsidR="002522D4" w:rsidRPr="00336E57">
        <w:rPr>
          <w:lang w:val="pt-BR"/>
        </w:rPr>
        <w:lastRenderedPageBreak/>
        <w:t>Note 34 - Cash Flow from Operating Activities</w:t>
      </w:r>
      <w:bookmarkEnd w:id="200"/>
      <w:bookmarkEnd w:id="201"/>
      <w:bookmarkEnd w:id="202"/>
      <w:bookmarkEnd w:id="203"/>
      <w:bookmarkEnd w:id="204"/>
    </w:p>
    <w:p w14:paraId="0FB3100C" w14:textId="77777777" w:rsidR="005B79F6" w:rsidRDefault="005B79F6" w:rsidP="003356AE">
      <w:pPr>
        <w:spacing w:line="240" w:lineRule="auto"/>
        <w:rPr>
          <w:lang w:val="pt-BR"/>
        </w:rPr>
      </w:pPr>
    </w:p>
    <w:p w14:paraId="0D2E8FCF" w14:textId="0788D8A0" w:rsidR="008C6A1C" w:rsidRDefault="00FB0CCF" w:rsidP="003356AE">
      <w:pPr>
        <w:spacing w:line="240" w:lineRule="auto"/>
        <w:rPr>
          <w:lang w:val="pt-BR"/>
        </w:rPr>
      </w:pPr>
      <w:r w:rsidRPr="005250C3">
        <w:rPr>
          <w:lang w:val="pt-BR"/>
        </w:rPr>
        <w:t>The cash flows for operating activities include the following items:</w:t>
      </w:r>
    </w:p>
    <w:p w14:paraId="1A59DB5A" w14:textId="7EDDEB40" w:rsidR="00020078" w:rsidRDefault="00020078"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592"/>
        <w:gridCol w:w="5891"/>
        <w:gridCol w:w="1589"/>
      </w:tblGrid>
      <w:tr w:rsidR="007A3FE2" w:rsidRPr="007A3FE2" w14:paraId="2F631339" w14:textId="77777777" w:rsidTr="007A3FE2">
        <w:trPr>
          <w:trHeight w:val="290"/>
        </w:trPr>
        <w:tc>
          <w:tcPr>
            <w:tcW w:w="877" w:type="pct"/>
            <w:tcBorders>
              <w:top w:val="nil"/>
              <w:left w:val="nil"/>
              <w:bottom w:val="nil"/>
              <w:right w:val="nil"/>
            </w:tcBorders>
            <w:shd w:val="clear" w:color="000000" w:fill="000099"/>
            <w:vAlign w:val="bottom"/>
            <w:hideMark/>
          </w:tcPr>
          <w:p w14:paraId="7598A5A3" w14:textId="77777777" w:rsidR="007A3FE2" w:rsidRPr="007A3FE2" w:rsidRDefault="007A3FE2" w:rsidP="007A3FE2">
            <w:pPr>
              <w:spacing w:after="0" w:line="240" w:lineRule="auto"/>
              <w:jc w:val="center"/>
              <w:rPr>
                <w:rFonts w:eastAsia="Times New Roman" w:cs="Calibri"/>
                <w:b/>
                <w:bCs/>
                <w:color w:val="FFFFFF"/>
                <w:sz w:val="18"/>
                <w:szCs w:val="18"/>
                <w:lang w:eastAsia="en-GB"/>
              </w:rPr>
            </w:pPr>
            <w:r w:rsidRPr="007A3FE2">
              <w:rPr>
                <w:rFonts w:eastAsia="Times New Roman" w:cs="Calibri"/>
                <w:b/>
                <w:bCs/>
                <w:color w:val="FFFFFF"/>
                <w:sz w:val="18"/>
                <w:szCs w:val="18"/>
                <w:lang w:eastAsia="en-GB"/>
              </w:rPr>
              <w:t>2024/25</w:t>
            </w:r>
          </w:p>
        </w:tc>
        <w:tc>
          <w:tcPr>
            <w:tcW w:w="3247" w:type="pct"/>
            <w:tcBorders>
              <w:top w:val="nil"/>
              <w:left w:val="nil"/>
              <w:bottom w:val="nil"/>
              <w:right w:val="nil"/>
            </w:tcBorders>
            <w:shd w:val="clear" w:color="000000" w:fill="000099"/>
            <w:vAlign w:val="bottom"/>
            <w:hideMark/>
          </w:tcPr>
          <w:p w14:paraId="7C1756B2" w14:textId="77777777" w:rsidR="007A3FE2" w:rsidRPr="007A3FE2" w:rsidRDefault="007A3FE2" w:rsidP="007A3FE2">
            <w:pPr>
              <w:spacing w:after="0" w:line="240" w:lineRule="auto"/>
              <w:jc w:val="center"/>
              <w:rPr>
                <w:rFonts w:eastAsia="Times New Roman" w:cs="Calibri"/>
                <w:b/>
                <w:bCs/>
                <w:color w:val="FFFFFF"/>
                <w:sz w:val="18"/>
                <w:szCs w:val="18"/>
                <w:lang w:eastAsia="en-GB"/>
              </w:rPr>
            </w:pPr>
            <w:r w:rsidRPr="007A3FE2">
              <w:rPr>
                <w:rFonts w:eastAsia="Times New Roman" w:cs="Calibri"/>
                <w:b/>
                <w:bCs/>
                <w:color w:val="FFFFFF"/>
                <w:sz w:val="18"/>
                <w:szCs w:val="18"/>
                <w:lang w:eastAsia="en-GB"/>
              </w:rPr>
              <w:t xml:space="preserve"> </w:t>
            </w:r>
          </w:p>
        </w:tc>
        <w:tc>
          <w:tcPr>
            <w:tcW w:w="877" w:type="pct"/>
            <w:tcBorders>
              <w:top w:val="nil"/>
              <w:left w:val="nil"/>
              <w:bottom w:val="nil"/>
              <w:right w:val="nil"/>
            </w:tcBorders>
            <w:shd w:val="clear" w:color="000000" w:fill="000099"/>
            <w:vAlign w:val="bottom"/>
            <w:hideMark/>
          </w:tcPr>
          <w:p w14:paraId="2665EDDE" w14:textId="77777777" w:rsidR="007A3FE2" w:rsidRPr="007A3FE2" w:rsidRDefault="007A3FE2" w:rsidP="007A3FE2">
            <w:pPr>
              <w:spacing w:after="0" w:line="240" w:lineRule="auto"/>
              <w:jc w:val="center"/>
              <w:rPr>
                <w:rFonts w:eastAsia="Times New Roman" w:cs="Calibri"/>
                <w:b/>
                <w:bCs/>
                <w:color w:val="FFFFFF"/>
                <w:sz w:val="18"/>
                <w:szCs w:val="18"/>
                <w:lang w:eastAsia="en-GB"/>
              </w:rPr>
            </w:pPr>
            <w:r w:rsidRPr="007A3FE2">
              <w:rPr>
                <w:rFonts w:eastAsia="Times New Roman" w:cs="Calibri"/>
                <w:b/>
                <w:bCs/>
                <w:color w:val="FFFFFF"/>
                <w:sz w:val="18"/>
                <w:szCs w:val="18"/>
                <w:lang w:eastAsia="en-GB"/>
              </w:rPr>
              <w:t>2025/26</w:t>
            </w:r>
          </w:p>
        </w:tc>
      </w:tr>
      <w:tr w:rsidR="007A3FE2" w:rsidRPr="007A3FE2" w14:paraId="19B0B828" w14:textId="77777777" w:rsidTr="007A3FE2">
        <w:trPr>
          <w:trHeight w:val="290"/>
        </w:trPr>
        <w:tc>
          <w:tcPr>
            <w:tcW w:w="877" w:type="pct"/>
            <w:tcBorders>
              <w:top w:val="nil"/>
              <w:left w:val="nil"/>
              <w:bottom w:val="nil"/>
              <w:right w:val="nil"/>
            </w:tcBorders>
            <w:shd w:val="clear" w:color="000000" w:fill="000099"/>
            <w:vAlign w:val="bottom"/>
            <w:hideMark/>
          </w:tcPr>
          <w:p w14:paraId="06E546AE" w14:textId="77777777" w:rsidR="007A3FE2" w:rsidRPr="007A3FE2" w:rsidRDefault="007A3FE2" w:rsidP="007A3FE2">
            <w:pPr>
              <w:spacing w:after="0" w:line="240" w:lineRule="auto"/>
              <w:jc w:val="center"/>
              <w:rPr>
                <w:rFonts w:eastAsia="Times New Roman" w:cs="Calibri"/>
                <w:b/>
                <w:bCs/>
                <w:color w:val="FFFFFF"/>
                <w:sz w:val="18"/>
                <w:szCs w:val="18"/>
                <w:lang w:eastAsia="en-GB"/>
              </w:rPr>
            </w:pPr>
            <w:r w:rsidRPr="007A3FE2">
              <w:rPr>
                <w:rFonts w:eastAsia="Times New Roman" w:cs="Calibri"/>
                <w:b/>
                <w:bCs/>
                <w:color w:val="FFFFFF"/>
                <w:sz w:val="18"/>
                <w:szCs w:val="18"/>
                <w:lang w:eastAsia="en-GB"/>
              </w:rPr>
              <w:t>£000</w:t>
            </w:r>
          </w:p>
        </w:tc>
        <w:tc>
          <w:tcPr>
            <w:tcW w:w="3247" w:type="pct"/>
            <w:tcBorders>
              <w:top w:val="nil"/>
              <w:left w:val="nil"/>
              <w:bottom w:val="nil"/>
              <w:right w:val="nil"/>
            </w:tcBorders>
            <w:shd w:val="clear" w:color="000000" w:fill="000099"/>
            <w:vAlign w:val="bottom"/>
            <w:hideMark/>
          </w:tcPr>
          <w:p w14:paraId="24D533F0" w14:textId="77777777" w:rsidR="007A3FE2" w:rsidRPr="007A3FE2" w:rsidRDefault="007A3FE2" w:rsidP="007A3FE2">
            <w:pPr>
              <w:spacing w:after="0" w:line="240" w:lineRule="auto"/>
              <w:jc w:val="center"/>
              <w:rPr>
                <w:rFonts w:eastAsia="Times New Roman" w:cs="Calibri"/>
                <w:b/>
                <w:bCs/>
                <w:color w:val="FFFFFF"/>
                <w:sz w:val="18"/>
                <w:szCs w:val="18"/>
                <w:lang w:eastAsia="en-GB"/>
              </w:rPr>
            </w:pPr>
            <w:r w:rsidRPr="007A3FE2">
              <w:rPr>
                <w:rFonts w:eastAsia="Times New Roman" w:cs="Calibri"/>
                <w:b/>
                <w:bCs/>
                <w:color w:val="FFFFFF"/>
                <w:sz w:val="18"/>
                <w:szCs w:val="18"/>
                <w:lang w:eastAsia="en-GB"/>
              </w:rPr>
              <w:t xml:space="preserve"> </w:t>
            </w:r>
          </w:p>
        </w:tc>
        <w:tc>
          <w:tcPr>
            <w:tcW w:w="877" w:type="pct"/>
            <w:tcBorders>
              <w:top w:val="nil"/>
              <w:left w:val="nil"/>
              <w:bottom w:val="nil"/>
              <w:right w:val="nil"/>
            </w:tcBorders>
            <w:shd w:val="clear" w:color="000000" w:fill="000099"/>
            <w:vAlign w:val="bottom"/>
            <w:hideMark/>
          </w:tcPr>
          <w:p w14:paraId="223656E8" w14:textId="77777777" w:rsidR="007A3FE2" w:rsidRPr="007A3FE2" w:rsidRDefault="007A3FE2" w:rsidP="007A3FE2">
            <w:pPr>
              <w:spacing w:after="0" w:line="240" w:lineRule="auto"/>
              <w:jc w:val="center"/>
              <w:rPr>
                <w:rFonts w:eastAsia="Times New Roman" w:cs="Calibri"/>
                <w:b/>
                <w:bCs/>
                <w:color w:val="FFFFFF"/>
                <w:sz w:val="18"/>
                <w:szCs w:val="18"/>
                <w:lang w:eastAsia="en-GB"/>
              </w:rPr>
            </w:pPr>
            <w:r w:rsidRPr="007A3FE2">
              <w:rPr>
                <w:rFonts w:eastAsia="Times New Roman" w:cs="Calibri"/>
                <w:b/>
                <w:bCs/>
                <w:color w:val="FFFFFF"/>
                <w:sz w:val="18"/>
                <w:szCs w:val="18"/>
                <w:lang w:eastAsia="en-GB"/>
              </w:rPr>
              <w:t>£000</w:t>
            </w:r>
          </w:p>
        </w:tc>
      </w:tr>
      <w:tr w:rsidR="007A3FE2" w:rsidRPr="007A3FE2" w14:paraId="5014ABE3" w14:textId="77777777" w:rsidTr="001B1830">
        <w:trPr>
          <w:trHeight w:val="240"/>
        </w:trPr>
        <w:tc>
          <w:tcPr>
            <w:tcW w:w="877" w:type="pct"/>
            <w:tcBorders>
              <w:top w:val="nil"/>
              <w:left w:val="nil"/>
              <w:bottom w:val="nil"/>
              <w:right w:val="nil"/>
            </w:tcBorders>
            <w:shd w:val="clear" w:color="000000" w:fill="FFFFFF"/>
            <w:vAlign w:val="center"/>
            <w:hideMark/>
          </w:tcPr>
          <w:p w14:paraId="2B95A103" w14:textId="77777777" w:rsidR="007A3FE2" w:rsidRPr="007A3FE2" w:rsidRDefault="007A3FE2" w:rsidP="00E733CA">
            <w:pPr>
              <w:spacing w:after="0" w:line="240" w:lineRule="auto"/>
              <w:jc w:val="right"/>
              <w:rPr>
                <w:rFonts w:eastAsia="Times New Roman" w:cs="Calibri"/>
                <w:color w:val="auto"/>
                <w:sz w:val="18"/>
                <w:szCs w:val="18"/>
                <w:lang w:eastAsia="en-GB"/>
              </w:rPr>
            </w:pPr>
            <w:r w:rsidRPr="007A3FE2">
              <w:rPr>
                <w:rFonts w:eastAsia="Times New Roman" w:cs="Calibri"/>
                <w:color w:val="auto"/>
                <w:sz w:val="18"/>
                <w:szCs w:val="18"/>
                <w:lang w:eastAsia="en-GB"/>
              </w:rPr>
              <w:t>(856)</w:t>
            </w:r>
          </w:p>
        </w:tc>
        <w:tc>
          <w:tcPr>
            <w:tcW w:w="3247" w:type="pct"/>
            <w:tcBorders>
              <w:top w:val="nil"/>
              <w:left w:val="nil"/>
              <w:bottom w:val="nil"/>
              <w:right w:val="nil"/>
            </w:tcBorders>
            <w:shd w:val="clear" w:color="000000" w:fill="FFFFFF"/>
            <w:vAlign w:val="center"/>
            <w:hideMark/>
          </w:tcPr>
          <w:p w14:paraId="264EB8B2" w14:textId="77777777" w:rsidR="007A3FE2" w:rsidRPr="007A3FE2" w:rsidRDefault="007A3FE2" w:rsidP="001B1830">
            <w:pPr>
              <w:spacing w:after="0" w:line="240" w:lineRule="auto"/>
              <w:jc w:val="left"/>
              <w:rPr>
                <w:rFonts w:eastAsia="Times New Roman" w:cs="Calibri"/>
                <w:color w:val="auto"/>
                <w:sz w:val="18"/>
                <w:szCs w:val="18"/>
                <w:lang w:eastAsia="en-GB"/>
              </w:rPr>
            </w:pPr>
            <w:r w:rsidRPr="007A3FE2">
              <w:rPr>
                <w:rFonts w:eastAsia="Times New Roman" w:cs="Calibri"/>
                <w:color w:val="auto"/>
                <w:sz w:val="18"/>
                <w:szCs w:val="18"/>
                <w:lang w:eastAsia="en-GB"/>
              </w:rPr>
              <w:t>Interest received</w:t>
            </w:r>
          </w:p>
        </w:tc>
        <w:tc>
          <w:tcPr>
            <w:tcW w:w="877" w:type="pct"/>
            <w:tcBorders>
              <w:top w:val="nil"/>
              <w:left w:val="nil"/>
              <w:bottom w:val="nil"/>
              <w:right w:val="nil"/>
            </w:tcBorders>
            <w:shd w:val="clear" w:color="000000" w:fill="CCECFF"/>
            <w:vAlign w:val="center"/>
            <w:hideMark/>
          </w:tcPr>
          <w:p w14:paraId="35105EE1" w14:textId="54213F9F" w:rsidR="007A3FE2" w:rsidRPr="007A3FE2" w:rsidRDefault="007A3FE2" w:rsidP="00E733CA">
            <w:pPr>
              <w:spacing w:after="0" w:line="240" w:lineRule="auto"/>
              <w:jc w:val="right"/>
              <w:rPr>
                <w:rFonts w:eastAsia="Times New Roman" w:cs="Calibri"/>
                <w:color w:val="auto"/>
                <w:sz w:val="18"/>
                <w:szCs w:val="18"/>
                <w:lang w:eastAsia="en-GB"/>
              </w:rPr>
            </w:pPr>
            <w:r w:rsidRPr="007A3FE2">
              <w:rPr>
                <w:rFonts w:eastAsia="Times New Roman" w:cs="Calibri"/>
                <w:color w:val="000000"/>
                <w:sz w:val="18"/>
                <w:szCs w:val="18"/>
                <w:lang w:eastAsia="en-GB"/>
              </w:rPr>
              <w:t>(865)</w:t>
            </w:r>
          </w:p>
        </w:tc>
      </w:tr>
      <w:tr w:rsidR="007A3FE2" w:rsidRPr="007A3FE2" w14:paraId="69977CF6" w14:textId="77777777" w:rsidTr="001B1830">
        <w:trPr>
          <w:trHeight w:val="240"/>
        </w:trPr>
        <w:tc>
          <w:tcPr>
            <w:tcW w:w="877" w:type="pct"/>
            <w:tcBorders>
              <w:top w:val="nil"/>
              <w:left w:val="nil"/>
              <w:bottom w:val="nil"/>
              <w:right w:val="nil"/>
            </w:tcBorders>
            <w:shd w:val="clear" w:color="000000" w:fill="FFFFFF"/>
            <w:vAlign w:val="center"/>
            <w:hideMark/>
          </w:tcPr>
          <w:p w14:paraId="44130E9D" w14:textId="77777777" w:rsidR="007A3FE2" w:rsidRPr="007A3FE2" w:rsidRDefault="007A3FE2" w:rsidP="00E733CA">
            <w:pPr>
              <w:spacing w:after="0" w:line="240" w:lineRule="auto"/>
              <w:jc w:val="right"/>
              <w:rPr>
                <w:rFonts w:eastAsia="Times New Roman" w:cs="Calibri"/>
                <w:color w:val="auto"/>
                <w:sz w:val="18"/>
                <w:szCs w:val="18"/>
                <w:lang w:eastAsia="en-GB"/>
              </w:rPr>
            </w:pPr>
            <w:r w:rsidRPr="007A3FE2">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2A246D23" w14:textId="77777777" w:rsidR="007A3FE2" w:rsidRPr="007A3FE2" w:rsidRDefault="007A3FE2" w:rsidP="001B1830">
            <w:pPr>
              <w:spacing w:after="0" w:line="240" w:lineRule="auto"/>
              <w:jc w:val="left"/>
              <w:rPr>
                <w:rFonts w:eastAsia="Times New Roman" w:cs="Calibri"/>
                <w:color w:val="auto"/>
                <w:sz w:val="18"/>
                <w:szCs w:val="18"/>
                <w:lang w:eastAsia="en-GB"/>
              </w:rPr>
            </w:pPr>
            <w:r w:rsidRPr="007A3FE2">
              <w:rPr>
                <w:rFonts w:eastAsia="Times New Roman" w:cs="Calibri"/>
                <w:color w:val="auto"/>
                <w:sz w:val="18"/>
                <w:szCs w:val="18"/>
                <w:lang w:eastAsia="en-GB"/>
              </w:rPr>
              <w:t>Interest paid</w:t>
            </w:r>
          </w:p>
        </w:tc>
        <w:tc>
          <w:tcPr>
            <w:tcW w:w="877" w:type="pct"/>
            <w:tcBorders>
              <w:top w:val="nil"/>
              <w:left w:val="nil"/>
              <w:bottom w:val="nil"/>
              <w:right w:val="nil"/>
            </w:tcBorders>
            <w:shd w:val="clear" w:color="000000" w:fill="CCECFF"/>
            <w:vAlign w:val="center"/>
            <w:hideMark/>
          </w:tcPr>
          <w:p w14:paraId="527B91DC" w14:textId="77777777" w:rsidR="007A3FE2" w:rsidRPr="007A3FE2" w:rsidRDefault="007A3FE2" w:rsidP="00E733CA">
            <w:pPr>
              <w:spacing w:after="0" w:line="240" w:lineRule="auto"/>
              <w:jc w:val="right"/>
              <w:rPr>
                <w:rFonts w:eastAsia="Times New Roman" w:cs="Calibri"/>
                <w:color w:val="auto"/>
                <w:sz w:val="18"/>
                <w:szCs w:val="18"/>
                <w:lang w:eastAsia="en-GB"/>
              </w:rPr>
            </w:pPr>
            <w:r w:rsidRPr="007A3FE2">
              <w:rPr>
                <w:rFonts w:eastAsia="Times New Roman" w:cs="Calibri"/>
                <w:color w:val="auto"/>
                <w:sz w:val="18"/>
                <w:szCs w:val="18"/>
                <w:lang w:eastAsia="en-GB"/>
              </w:rPr>
              <w:t>-</w:t>
            </w:r>
          </w:p>
        </w:tc>
      </w:tr>
      <w:tr w:rsidR="007A3FE2" w:rsidRPr="007A3FE2" w14:paraId="2BD1EFEA" w14:textId="77777777" w:rsidTr="001B1830">
        <w:trPr>
          <w:trHeight w:val="240"/>
        </w:trPr>
        <w:tc>
          <w:tcPr>
            <w:tcW w:w="877" w:type="pct"/>
            <w:tcBorders>
              <w:top w:val="single" w:sz="4" w:space="0" w:color="auto"/>
              <w:left w:val="nil"/>
              <w:bottom w:val="single" w:sz="4" w:space="0" w:color="auto"/>
              <w:right w:val="nil"/>
            </w:tcBorders>
            <w:shd w:val="clear" w:color="000000" w:fill="FFFFFF"/>
            <w:vAlign w:val="center"/>
            <w:hideMark/>
          </w:tcPr>
          <w:p w14:paraId="73A1D39D" w14:textId="77777777" w:rsidR="007A3FE2" w:rsidRPr="007A3FE2" w:rsidRDefault="007A3FE2" w:rsidP="00E733CA">
            <w:pPr>
              <w:spacing w:after="0" w:line="240" w:lineRule="auto"/>
              <w:jc w:val="right"/>
              <w:rPr>
                <w:rFonts w:eastAsia="Times New Roman" w:cs="Calibri"/>
                <w:b/>
                <w:bCs/>
                <w:color w:val="auto"/>
                <w:sz w:val="18"/>
                <w:szCs w:val="18"/>
                <w:lang w:eastAsia="en-GB"/>
              </w:rPr>
            </w:pPr>
            <w:r w:rsidRPr="007A3FE2">
              <w:rPr>
                <w:rFonts w:eastAsia="Times New Roman" w:cs="Calibri"/>
                <w:b/>
                <w:bCs/>
                <w:color w:val="auto"/>
                <w:sz w:val="18"/>
                <w:szCs w:val="18"/>
                <w:lang w:eastAsia="en-GB"/>
              </w:rPr>
              <w:t>(856)</w:t>
            </w:r>
          </w:p>
        </w:tc>
        <w:tc>
          <w:tcPr>
            <w:tcW w:w="3247" w:type="pct"/>
            <w:tcBorders>
              <w:top w:val="single" w:sz="4" w:space="0" w:color="auto"/>
              <w:left w:val="nil"/>
              <w:bottom w:val="single" w:sz="4" w:space="0" w:color="auto"/>
              <w:right w:val="nil"/>
            </w:tcBorders>
            <w:shd w:val="clear" w:color="000000" w:fill="FFFFFF"/>
            <w:vAlign w:val="center"/>
            <w:hideMark/>
          </w:tcPr>
          <w:p w14:paraId="22401D9B" w14:textId="77777777" w:rsidR="007A3FE2" w:rsidRPr="007A3FE2" w:rsidRDefault="007A3FE2" w:rsidP="001B1830">
            <w:pPr>
              <w:spacing w:after="0" w:line="240" w:lineRule="auto"/>
              <w:jc w:val="left"/>
              <w:rPr>
                <w:rFonts w:eastAsia="Times New Roman" w:cs="Calibri"/>
                <w:b/>
                <w:bCs/>
                <w:color w:val="auto"/>
                <w:sz w:val="18"/>
                <w:szCs w:val="18"/>
                <w:lang w:eastAsia="en-GB"/>
              </w:rPr>
            </w:pPr>
            <w:r w:rsidRPr="007A3FE2">
              <w:rPr>
                <w:rFonts w:eastAsia="Times New Roman" w:cs="Calibri"/>
                <w:b/>
                <w:bCs/>
                <w:color w:val="auto"/>
                <w:sz w:val="18"/>
                <w:szCs w:val="18"/>
                <w:lang w:eastAsia="en-GB"/>
              </w:rPr>
              <w:t>Total</w:t>
            </w:r>
          </w:p>
        </w:tc>
        <w:tc>
          <w:tcPr>
            <w:tcW w:w="877" w:type="pct"/>
            <w:tcBorders>
              <w:top w:val="single" w:sz="4" w:space="0" w:color="auto"/>
              <w:left w:val="nil"/>
              <w:bottom w:val="single" w:sz="4" w:space="0" w:color="auto"/>
              <w:right w:val="nil"/>
            </w:tcBorders>
            <w:shd w:val="clear" w:color="000000" w:fill="CCECFF"/>
            <w:vAlign w:val="center"/>
            <w:hideMark/>
          </w:tcPr>
          <w:p w14:paraId="10BC889F" w14:textId="77777777" w:rsidR="007A3FE2" w:rsidRPr="007A3FE2" w:rsidRDefault="007A3FE2" w:rsidP="00E733CA">
            <w:pPr>
              <w:spacing w:after="0" w:line="240" w:lineRule="auto"/>
              <w:jc w:val="right"/>
              <w:rPr>
                <w:rFonts w:eastAsia="Times New Roman" w:cs="Calibri"/>
                <w:b/>
                <w:bCs/>
                <w:color w:val="auto"/>
                <w:sz w:val="18"/>
                <w:szCs w:val="18"/>
                <w:lang w:eastAsia="en-GB"/>
              </w:rPr>
            </w:pPr>
            <w:r w:rsidRPr="007A3FE2">
              <w:rPr>
                <w:rFonts w:eastAsia="Times New Roman" w:cs="Calibri"/>
                <w:b/>
                <w:bCs/>
                <w:color w:val="000000"/>
                <w:sz w:val="18"/>
                <w:szCs w:val="18"/>
                <w:lang w:eastAsia="en-GB"/>
              </w:rPr>
              <w:t>(865)</w:t>
            </w:r>
          </w:p>
        </w:tc>
      </w:tr>
    </w:tbl>
    <w:p w14:paraId="66D54632" w14:textId="77777777" w:rsidR="00EA2835" w:rsidRDefault="00EA2835" w:rsidP="003356AE">
      <w:pPr>
        <w:spacing w:line="240" w:lineRule="auto"/>
        <w:rPr>
          <w:lang w:val="pt-BR"/>
        </w:rPr>
      </w:pPr>
    </w:p>
    <w:p w14:paraId="76D53146" w14:textId="66E58861" w:rsidR="00197378" w:rsidRDefault="002319EA" w:rsidP="003356AE">
      <w:pPr>
        <w:spacing w:line="240" w:lineRule="auto"/>
        <w:rPr>
          <w:lang w:val="pt-BR"/>
        </w:rPr>
      </w:pPr>
      <w:r w:rsidRPr="004A3865">
        <w:rPr>
          <w:lang w:val="pt-BR"/>
        </w:rPr>
        <w:t>The surplus or deficit on the provision of services has been adjusted for the following non-cash movements:</w:t>
      </w:r>
    </w:p>
    <w:p w14:paraId="7A0C5616" w14:textId="31018647" w:rsidR="00020078" w:rsidRDefault="00020078"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1592"/>
        <w:gridCol w:w="5891"/>
        <w:gridCol w:w="1589"/>
      </w:tblGrid>
      <w:tr w:rsidR="00CF68BB" w:rsidRPr="00CF68BB" w14:paraId="72EDFF14" w14:textId="77777777" w:rsidTr="00CF68BB">
        <w:trPr>
          <w:trHeight w:val="290"/>
        </w:trPr>
        <w:tc>
          <w:tcPr>
            <w:tcW w:w="877" w:type="pct"/>
            <w:tcBorders>
              <w:top w:val="nil"/>
              <w:left w:val="nil"/>
              <w:bottom w:val="nil"/>
              <w:right w:val="nil"/>
            </w:tcBorders>
            <w:shd w:val="clear" w:color="000000" w:fill="000099"/>
            <w:vAlign w:val="bottom"/>
            <w:hideMark/>
          </w:tcPr>
          <w:p w14:paraId="4E15C906" w14:textId="77777777" w:rsidR="00CF68BB" w:rsidRPr="00CF68BB" w:rsidRDefault="00CF68BB" w:rsidP="00CF68BB">
            <w:pPr>
              <w:spacing w:after="0" w:line="240" w:lineRule="auto"/>
              <w:jc w:val="center"/>
              <w:rPr>
                <w:rFonts w:eastAsia="Times New Roman" w:cs="Calibri"/>
                <w:b/>
                <w:bCs/>
                <w:color w:val="FFFFFF"/>
                <w:sz w:val="18"/>
                <w:szCs w:val="18"/>
                <w:lang w:eastAsia="en-GB"/>
              </w:rPr>
            </w:pPr>
            <w:r w:rsidRPr="00CF68BB">
              <w:rPr>
                <w:rFonts w:eastAsia="Times New Roman" w:cs="Calibri"/>
                <w:b/>
                <w:bCs/>
                <w:color w:val="FFFFFF"/>
                <w:sz w:val="18"/>
                <w:szCs w:val="18"/>
                <w:lang w:eastAsia="en-GB"/>
              </w:rPr>
              <w:t>2024/25</w:t>
            </w:r>
          </w:p>
        </w:tc>
        <w:tc>
          <w:tcPr>
            <w:tcW w:w="3247" w:type="pct"/>
            <w:tcBorders>
              <w:top w:val="nil"/>
              <w:left w:val="nil"/>
              <w:bottom w:val="nil"/>
              <w:right w:val="nil"/>
            </w:tcBorders>
            <w:shd w:val="clear" w:color="000000" w:fill="000099"/>
            <w:vAlign w:val="bottom"/>
            <w:hideMark/>
          </w:tcPr>
          <w:p w14:paraId="34CDC791" w14:textId="77777777" w:rsidR="00CF68BB" w:rsidRPr="00CF68BB" w:rsidRDefault="00CF68BB" w:rsidP="00CF68BB">
            <w:pPr>
              <w:spacing w:after="0" w:line="240" w:lineRule="auto"/>
              <w:jc w:val="center"/>
              <w:rPr>
                <w:rFonts w:eastAsia="Times New Roman" w:cs="Calibri"/>
                <w:b/>
                <w:bCs/>
                <w:color w:val="FFFFFF"/>
                <w:sz w:val="18"/>
                <w:szCs w:val="18"/>
                <w:lang w:eastAsia="en-GB"/>
              </w:rPr>
            </w:pPr>
            <w:r w:rsidRPr="00CF68BB">
              <w:rPr>
                <w:rFonts w:eastAsia="Times New Roman" w:cs="Calibri"/>
                <w:b/>
                <w:bCs/>
                <w:color w:val="FFFFFF"/>
                <w:sz w:val="18"/>
                <w:szCs w:val="18"/>
                <w:lang w:eastAsia="en-GB"/>
              </w:rPr>
              <w:t xml:space="preserve"> </w:t>
            </w:r>
          </w:p>
        </w:tc>
        <w:tc>
          <w:tcPr>
            <w:tcW w:w="877" w:type="pct"/>
            <w:tcBorders>
              <w:top w:val="nil"/>
              <w:left w:val="nil"/>
              <w:bottom w:val="nil"/>
              <w:right w:val="nil"/>
            </w:tcBorders>
            <w:shd w:val="clear" w:color="000000" w:fill="000099"/>
            <w:vAlign w:val="bottom"/>
            <w:hideMark/>
          </w:tcPr>
          <w:p w14:paraId="556DDE17" w14:textId="77777777" w:rsidR="00CF68BB" w:rsidRPr="00CF68BB" w:rsidRDefault="00CF68BB" w:rsidP="00CF68BB">
            <w:pPr>
              <w:spacing w:after="0" w:line="240" w:lineRule="auto"/>
              <w:jc w:val="center"/>
              <w:rPr>
                <w:rFonts w:eastAsia="Times New Roman" w:cs="Calibri"/>
                <w:b/>
                <w:bCs/>
                <w:color w:val="FFFFFF"/>
                <w:sz w:val="18"/>
                <w:szCs w:val="18"/>
                <w:lang w:eastAsia="en-GB"/>
              </w:rPr>
            </w:pPr>
            <w:r w:rsidRPr="00CF68BB">
              <w:rPr>
                <w:rFonts w:eastAsia="Times New Roman" w:cs="Calibri"/>
                <w:b/>
                <w:bCs/>
                <w:color w:val="FFFFFF"/>
                <w:sz w:val="18"/>
                <w:szCs w:val="18"/>
                <w:lang w:eastAsia="en-GB"/>
              </w:rPr>
              <w:t>2025/26</w:t>
            </w:r>
          </w:p>
        </w:tc>
      </w:tr>
      <w:tr w:rsidR="00CF68BB" w:rsidRPr="00CF68BB" w14:paraId="10E6AEC6" w14:textId="77777777" w:rsidTr="00CF68BB">
        <w:trPr>
          <w:trHeight w:val="290"/>
        </w:trPr>
        <w:tc>
          <w:tcPr>
            <w:tcW w:w="877" w:type="pct"/>
            <w:tcBorders>
              <w:top w:val="nil"/>
              <w:left w:val="nil"/>
              <w:bottom w:val="nil"/>
              <w:right w:val="nil"/>
            </w:tcBorders>
            <w:shd w:val="clear" w:color="000000" w:fill="000099"/>
            <w:vAlign w:val="bottom"/>
            <w:hideMark/>
          </w:tcPr>
          <w:p w14:paraId="2F5FA398" w14:textId="77777777" w:rsidR="00CF68BB" w:rsidRPr="00CF68BB" w:rsidRDefault="00CF68BB" w:rsidP="00CF68BB">
            <w:pPr>
              <w:spacing w:after="0" w:line="240" w:lineRule="auto"/>
              <w:jc w:val="center"/>
              <w:rPr>
                <w:rFonts w:eastAsia="Times New Roman" w:cs="Calibri"/>
                <w:b/>
                <w:bCs/>
                <w:color w:val="FFFFFF"/>
                <w:sz w:val="18"/>
                <w:szCs w:val="18"/>
                <w:lang w:eastAsia="en-GB"/>
              </w:rPr>
            </w:pPr>
            <w:r w:rsidRPr="00CF68BB">
              <w:rPr>
                <w:rFonts w:eastAsia="Times New Roman" w:cs="Calibri"/>
                <w:b/>
                <w:bCs/>
                <w:color w:val="FFFFFF"/>
                <w:sz w:val="18"/>
                <w:szCs w:val="18"/>
                <w:lang w:eastAsia="en-GB"/>
              </w:rPr>
              <w:t>£000</w:t>
            </w:r>
          </w:p>
        </w:tc>
        <w:tc>
          <w:tcPr>
            <w:tcW w:w="3247" w:type="pct"/>
            <w:tcBorders>
              <w:top w:val="nil"/>
              <w:left w:val="nil"/>
              <w:bottom w:val="nil"/>
              <w:right w:val="nil"/>
            </w:tcBorders>
            <w:shd w:val="clear" w:color="000000" w:fill="000099"/>
            <w:vAlign w:val="bottom"/>
            <w:hideMark/>
          </w:tcPr>
          <w:p w14:paraId="0313C57B" w14:textId="77777777" w:rsidR="00CF68BB" w:rsidRPr="00CF68BB" w:rsidRDefault="00CF68BB" w:rsidP="00CF68BB">
            <w:pPr>
              <w:spacing w:after="0" w:line="240" w:lineRule="auto"/>
              <w:jc w:val="center"/>
              <w:rPr>
                <w:rFonts w:eastAsia="Times New Roman" w:cs="Calibri"/>
                <w:b/>
                <w:bCs/>
                <w:color w:val="FFFFFF"/>
                <w:sz w:val="18"/>
                <w:szCs w:val="18"/>
                <w:lang w:eastAsia="en-GB"/>
              </w:rPr>
            </w:pPr>
            <w:r w:rsidRPr="00CF68BB">
              <w:rPr>
                <w:rFonts w:eastAsia="Times New Roman" w:cs="Calibri"/>
                <w:b/>
                <w:bCs/>
                <w:color w:val="FFFFFF"/>
                <w:sz w:val="18"/>
                <w:szCs w:val="18"/>
                <w:lang w:eastAsia="en-GB"/>
              </w:rPr>
              <w:t xml:space="preserve"> </w:t>
            </w:r>
          </w:p>
        </w:tc>
        <w:tc>
          <w:tcPr>
            <w:tcW w:w="877" w:type="pct"/>
            <w:tcBorders>
              <w:top w:val="nil"/>
              <w:left w:val="nil"/>
              <w:bottom w:val="nil"/>
              <w:right w:val="nil"/>
            </w:tcBorders>
            <w:shd w:val="clear" w:color="000000" w:fill="000099"/>
            <w:vAlign w:val="bottom"/>
            <w:hideMark/>
          </w:tcPr>
          <w:p w14:paraId="288BA932" w14:textId="77777777" w:rsidR="00CF68BB" w:rsidRPr="00CF68BB" w:rsidRDefault="00CF68BB" w:rsidP="00CF68BB">
            <w:pPr>
              <w:spacing w:after="0" w:line="240" w:lineRule="auto"/>
              <w:jc w:val="center"/>
              <w:rPr>
                <w:rFonts w:eastAsia="Times New Roman" w:cs="Calibri"/>
                <w:b/>
                <w:bCs/>
                <w:color w:val="FFFFFF"/>
                <w:sz w:val="18"/>
                <w:szCs w:val="18"/>
                <w:lang w:eastAsia="en-GB"/>
              </w:rPr>
            </w:pPr>
            <w:r w:rsidRPr="00CF68BB">
              <w:rPr>
                <w:rFonts w:eastAsia="Times New Roman" w:cs="Calibri"/>
                <w:b/>
                <w:bCs/>
                <w:color w:val="FFFFFF"/>
                <w:sz w:val="18"/>
                <w:szCs w:val="18"/>
                <w:lang w:eastAsia="en-GB"/>
              </w:rPr>
              <w:t>£000</w:t>
            </w:r>
          </w:p>
        </w:tc>
      </w:tr>
      <w:tr w:rsidR="00CF68BB" w:rsidRPr="00CF68BB" w14:paraId="048A1966" w14:textId="77777777" w:rsidTr="001B1830">
        <w:trPr>
          <w:trHeight w:val="290"/>
        </w:trPr>
        <w:tc>
          <w:tcPr>
            <w:tcW w:w="877" w:type="pct"/>
            <w:tcBorders>
              <w:top w:val="nil"/>
              <w:left w:val="nil"/>
              <w:bottom w:val="nil"/>
              <w:right w:val="nil"/>
            </w:tcBorders>
            <w:shd w:val="clear" w:color="000000" w:fill="FFFFFF"/>
            <w:vAlign w:val="center"/>
            <w:hideMark/>
          </w:tcPr>
          <w:p w14:paraId="7CCB909B"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287790BB"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Depreciation</w:t>
            </w:r>
          </w:p>
        </w:tc>
        <w:tc>
          <w:tcPr>
            <w:tcW w:w="877" w:type="pct"/>
            <w:tcBorders>
              <w:top w:val="nil"/>
              <w:left w:val="nil"/>
              <w:bottom w:val="nil"/>
              <w:right w:val="nil"/>
            </w:tcBorders>
            <w:shd w:val="clear" w:color="000000" w:fill="CCECFF"/>
            <w:vAlign w:val="center"/>
            <w:hideMark/>
          </w:tcPr>
          <w:p w14:paraId="0DF82AAE"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r>
      <w:tr w:rsidR="00CF68BB" w:rsidRPr="00CF68BB" w14:paraId="129FD1AD" w14:textId="77777777" w:rsidTr="001B1830">
        <w:trPr>
          <w:trHeight w:val="290"/>
        </w:trPr>
        <w:tc>
          <w:tcPr>
            <w:tcW w:w="877" w:type="pct"/>
            <w:tcBorders>
              <w:top w:val="nil"/>
              <w:left w:val="nil"/>
              <w:bottom w:val="nil"/>
              <w:right w:val="nil"/>
            </w:tcBorders>
            <w:shd w:val="clear" w:color="000000" w:fill="FFFFFF"/>
            <w:vAlign w:val="center"/>
            <w:hideMark/>
          </w:tcPr>
          <w:p w14:paraId="40FD1CC5"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49458CAE"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Increase/(decrease) in asset valuations</w:t>
            </w:r>
          </w:p>
        </w:tc>
        <w:tc>
          <w:tcPr>
            <w:tcW w:w="877" w:type="pct"/>
            <w:tcBorders>
              <w:top w:val="nil"/>
              <w:left w:val="nil"/>
              <w:bottom w:val="nil"/>
              <w:right w:val="nil"/>
            </w:tcBorders>
            <w:shd w:val="clear" w:color="000000" w:fill="CCECFF"/>
            <w:vAlign w:val="center"/>
            <w:hideMark/>
          </w:tcPr>
          <w:p w14:paraId="0C32C442"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r>
      <w:tr w:rsidR="00CF68BB" w:rsidRPr="00CF68BB" w14:paraId="4E4AE807" w14:textId="77777777" w:rsidTr="001B1830">
        <w:trPr>
          <w:trHeight w:val="290"/>
        </w:trPr>
        <w:tc>
          <w:tcPr>
            <w:tcW w:w="877" w:type="pct"/>
            <w:tcBorders>
              <w:top w:val="nil"/>
              <w:left w:val="nil"/>
              <w:bottom w:val="nil"/>
              <w:right w:val="nil"/>
            </w:tcBorders>
            <w:shd w:val="clear" w:color="000000" w:fill="FFFFFF"/>
            <w:vAlign w:val="center"/>
            <w:hideMark/>
          </w:tcPr>
          <w:p w14:paraId="183B8815"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3EE043E1"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Amortisation</w:t>
            </w:r>
          </w:p>
        </w:tc>
        <w:tc>
          <w:tcPr>
            <w:tcW w:w="877" w:type="pct"/>
            <w:tcBorders>
              <w:top w:val="nil"/>
              <w:left w:val="nil"/>
              <w:bottom w:val="nil"/>
              <w:right w:val="nil"/>
            </w:tcBorders>
            <w:shd w:val="clear" w:color="000000" w:fill="CCECFF"/>
            <w:vAlign w:val="center"/>
            <w:hideMark/>
          </w:tcPr>
          <w:p w14:paraId="3C98D5B2"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r>
      <w:tr w:rsidR="00CF68BB" w:rsidRPr="00CF68BB" w14:paraId="25A61999" w14:textId="77777777" w:rsidTr="001B1830">
        <w:trPr>
          <w:trHeight w:val="290"/>
        </w:trPr>
        <w:tc>
          <w:tcPr>
            <w:tcW w:w="877" w:type="pct"/>
            <w:tcBorders>
              <w:top w:val="nil"/>
              <w:left w:val="nil"/>
              <w:bottom w:val="nil"/>
              <w:right w:val="nil"/>
            </w:tcBorders>
            <w:shd w:val="clear" w:color="000000" w:fill="FFFFFF"/>
            <w:vAlign w:val="center"/>
            <w:hideMark/>
          </w:tcPr>
          <w:p w14:paraId="2AB430A2"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1,315</w:t>
            </w:r>
          </w:p>
        </w:tc>
        <w:tc>
          <w:tcPr>
            <w:tcW w:w="3247" w:type="pct"/>
            <w:tcBorders>
              <w:top w:val="nil"/>
              <w:left w:val="nil"/>
              <w:bottom w:val="nil"/>
              <w:right w:val="nil"/>
            </w:tcBorders>
            <w:shd w:val="clear" w:color="000000" w:fill="FFFFFF"/>
            <w:vAlign w:val="center"/>
            <w:hideMark/>
          </w:tcPr>
          <w:p w14:paraId="5DBA7364"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(Increase)/decrease in creditors</w:t>
            </w:r>
          </w:p>
        </w:tc>
        <w:tc>
          <w:tcPr>
            <w:tcW w:w="877" w:type="pct"/>
            <w:tcBorders>
              <w:top w:val="nil"/>
              <w:left w:val="nil"/>
              <w:bottom w:val="nil"/>
              <w:right w:val="nil"/>
            </w:tcBorders>
            <w:shd w:val="clear" w:color="000000" w:fill="CCECFF"/>
            <w:vAlign w:val="center"/>
            <w:hideMark/>
          </w:tcPr>
          <w:p w14:paraId="54E9BA8A"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000000"/>
                <w:sz w:val="18"/>
                <w:szCs w:val="18"/>
                <w:lang w:eastAsia="en-GB"/>
              </w:rPr>
              <w:t>(1,903)</w:t>
            </w:r>
          </w:p>
        </w:tc>
      </w:tr>
      <w:tr w:rsidR="00CF68BB" w:rsidRPr="00CF68BB" w14:paraId="23DE7D24" w14:textId="77777777" w:rsidTr="001B1830">
        <w:trPr>
          <w:trHeight w:val="290"/>
        </w:trPr>
        <w:tc>
          <w:tcPr>
            <w:tcW w:w="877" w:type="pct"/>
            <w:tcBorders>
              <w:top w:val="nil"/>
              <w:left w:val="nil"/>
              <w:bottom w:val="nil"/>
              <w:right w:val="nil"/>
            </w:tcBorders>
            <w:shd w:val="clear" w:color="000000" w:fill="FFFFFF"/>
            <w:vAlign w:val="center"/>
            <w:hideMark/>
          </w:tcPr>
          <w:p w14:paraId="7030D7C6"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1CD2B4ED"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Increase/(decrease) in debtors</w:t>
            </w:r>
          </w:p>
        </w:tc>
        <w:tc>
          <w:tcPr>
            <w:tcW w:w="877" w:type="pct"/>
            <w:tcBorders>
              <w:top w:val="nil"/>
              <w:left w:val="nil"/>
              <w:bottom w:val="nil"/>
              <w:right w:val="nil"/>
            </w:tcBorders>
            <w:shd w:val="clear" w:color="000000" w:fill="CCECFF"/>
            <w:vAlign w:val="center"/>
            <w:hideMark/>
          </w:tcPr>
          <w:p w14:paraId="5A73B473"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r>
      <w:tr w:rsidR="00CF68BB" w:rsidRPr="00CF68BB" w14:paraId="762BB508" w14:textId="77777777" w:rsidTr="001B1830">
        <w:trPr>
          <w:trHeight w:val="290"/>
        </w:trPr>
        <w:tc>
          <w:tcPr>
            <w:tcW w:w="877" w:type="pct"/>
            <w:tcBorders>
              <w:top w:val="nil"/>
              <w:left w:val="nil"/>
              <w:bottom w:val="nil"/>
              <w:right w:val="nil"/>
            </w:tcBorders>
            <w:shd w:val="clear" w:color="000000" w:fill="FFFFFF"/>
            <w:vAlign w:val="center"/>
            <w:hideMark/>
          </w:tcPr>
          <w:p w14:paraId="29738DFE"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511B20CA"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Increase/(decrease) in inventories</w:t>
            </w:r>
          </w:p>
        </w:tc>
        <w:tc>
          <w:tcPr>
            <w:tcW w:w="877" w:type="pct"/>
            <w:tcBorders>
              <w:top w:val="nil"/>
              <w:left w:val="nil"/>
              <w:bottom w:val="nil"/>
              <w:right w:val="nil"/>
            </w:tcBorders>
            <w:shd w:val="clear" w:color="000000" w:fill="CCECFF"/>
            <w:vAlign w:val="center"/>
            <w:hideMark/>
          </w:tcPr>
          <w:p w14:paraId="18C5C538"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r>
      <w:tr w:rsidR="00CF68BB" w:rsidRPr="00CF68BB" w14:paraId="04D52B2F" w14:textId="77777777" w:rsidTr="001B1830">
        <w:trPr>
          <w:trHeight w:val="290"/>
        </w:trPr>
        <w:tc>
          <w:tcPr>
            <w:tcW w:w="877" w:type="pct"/>
            <w:tcBorders>
              <w:top w:val="nil"/>
              <w:left w:val="nil"/>
              <w:bottom w:val="nil"/>
              <w:right w:val="nil"/>
            </w:tcBorders>
            <w:shd w:val="clear" w:color="000000" w:fill="FFFFFF"/>
            <w:vAlign w:val="center"/>
            <w:hideMark/>
          </w:tcPr>
          <w:p w14:paraId="05CCDCE2"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000000"/>
                <w:sz w:val="18"/>
                <w:szCs w:val="18"/>
                <w:lang w:eastAsia="en-GB"/>
              </w:rPr>
              <w:t>(19,642)</w:t>
            </w:r>
          </w:p>
        </w:tc>
        <w:tc>
          <w:tcPr>
            <w:tcW w:w="3247" w:type="pct"/>
            <w:tcBorders>
              <w:top w:val="nil"/>
              <w:left w:val="nil"/>
              <w:bottom w:val="nil"/>
              <w:right w:val="nil"/>
            </w:tcBorders>
            <w:shd w:val="clear" w:color="000000" w:fill="FFFFFF"/>
            <w:vAlign w:val="center"/>
            <w:hideMark/>
          </w:tcPr>
          <w:p w14:paraId="1F429003"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Movement in pension liability</w:t>
            </w:r>
          </w:p>
        </w:tc>
        <w:tc>
          <w:tcPr>
            <w:tcW w:w="877" w:type="pct"/>
            <w:tcBorders>
              <w:top w:val="nil"/>
              <w:left w:val="nil"/>
              <w:bottom w:val="nil"/>
              <w:right w:val="nil"/>
            </w:tcBorders>
            <w:shd w:val="clear" w:color="000000" w:fill="CCECFF"/>
            <w:vAlign w:val="center"/>
            <w:hideMark/>
          </w:tcPr>
          <w:p w14:paraId="579B889F"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000000"/>
                <w:sz w:val="18"/>
                <w:szCs w:val="18"/>
                <w:lang w:eastAsia="en-GB"/>
              </w:rPr>
              <w:t>(17,876)</w:t>
            </w:r>
          </w:p>
        </w:tc>
      </w:tr>
      <w:tr w:rsidR="00CF68BB" w:rsidRPr="00CF68BB" w14:paraId="332E3D33" w14:textId="77777777" w:rsidTr="001B1830">
        <w:trPr>
          <w:trHeight w:val="600"/>
        </w:trPr>
        <w:tc>
          <w:tcPr>
            <w:tcW w:w="877" w:type="pct"/>
            <w:tcBorders>
              <w:top w:val="nil"/>
              <w:left w:val="nil"/>
              <w:bottom w:val="nil"/>
              <w:right w:val="nil"/>
            </w:tcBorders>
            <w:shd w:val="clear" w:color="000000" w:fill="FFFFFF"/>
            <w:vAlign w:val="center"/>
            <w:hideMark/>
          </w:tcPr>
          <w:p w14:paraId="00E66160"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2132554D"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Carrying amount of non-current assets and non-current assets held for sale, sold or derecognised</w:t>
            </w:r>
          </w:p>
        </w:tc>
        <w:tc>
          <w:tcPr>
            <w:tcW w:w="877" w:type="pct"/>
            <w:tcBorders>
              <w:top w:val="nil"/>
              <w:left w:val="nil"/>
              <w:bottom w:val="nil"/>
              <w:right w:val="nil"/>
            </w:tcBorders>
            <w:shd w:val="clear" w:color="000000" w:fill="CCECFF"/>
            <w:vAlign w:val="center"/>
            <w:hideMark/>
          </w:tcPr>
          <w:p w14:paraId="22FF3202"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r>
      <w:tr w:rsidR="00CF68BB" w:rsidRPr="00CF68BB" w14:paraId="4CC4F327" w14:textId="77777777" w:rsidTr="001B1830">
        <w:trPr>
          <w:trHeight w:val="560"/>
        </w:trPr>
        <w:tc>
          <w:tcPr>
            <w:tcW w:w="877" w:type="pct"/>
            <w:tcBorders>
              <w:top w:val="nil"/>
              <w:left w:val="nil"/>
              <w:bottom w:val="nil"/>
              <w:right w:val="nil"/>
            </w:tcBorders>
            <w:shd w:val="clear" w:color="000000" w:fill="FFFFFF"/>
            <w:vAlign w:val="center"/>
            <w:hideMark/>
          </w:tcPr>
          <w:p w14:paraId="0FEE8DC8"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4DC1EEFC" w14:textId="77777777" w:rsidR="00CF68BB" w:rsidRPr="00CF68BB" w:rsidRDefault="00CF68BB" w:rsidP="001B1830">
            <w:pPr>
              <w:spacing w:after="0" w:line="240" w:lineRule="auto"/>
              <w:jc w:val="left"/>
              <w:rPr>
                <w:rFonts w:eastAsia="Times New Roman" w:cs="Calibri"/>
                <w:color w:val="auto"/>
                <w:sz w:val="18"/>
                <w:szCs w:val="18"/>
                <w:lang w:eastAsia="en-GB"/>
              </w:rPr>
            </w:pPr>
            <w:r w:rsidRPr="00CF68BB">
              <w:rPr>
                <w:rFonts w:eastAsia="Times New Roman" w:cs="Calibri"/>
                <w:color w:val="auto"/>
                <w:sz w:val="18"/>
                <w:szCs w:val="18"/>
                <w:lang w:eastAsia="en-GB"/>
              </w:rPr>
              <w:t>Other non-cash movements charged to the surplus or deficit on provision of services</w:t>
            </w:r>
          </w:p>
        </w:tc>
        <w:tc>
          <w:tcPr>
            <w:tcW w:w="877" w:type="pct"/>
            <w:tcBorders>
              <w:top w:val="nil"/>
              <w:left w:val="nil"/>
              <w:bottom w:val="nil"/>
              <w:right w:val="nil"/>
            </w:tcBorders>
            <w:shd w:val="clear" w:color="000000" w:fill="CCECFF"/>
            <w:vAlign w:val="center"/>
            <w:hideMark/>
          </w:tcPr>
          <w:p w14:paraId="23FA1A05" w14:textId="77777777" w:rsidR="00CF68BB" w:rsidRPr="00CF68BB" w:rsidRDefault="00CF68BB" w:rsidP="001B1830">
            <w:pPr>
              <w:spacing w:after="0" w:line="240" w:lineRule="auto"/>
              <w:jc w:val="right"/>
              <w:rPr>
                <w:rFonts w:eastAsia="Times New Roman" w:cs="Calibri"/>
                <w:color w:val="auto"/>
                <w:sz w:val="18"/>
                <w:szCs w:val="18"/>
                <w:lang w:eastAsia="en-GB"/>
              </w:rPr>
            </w:pPr>
            <w:r w:rsidRPr="00CF68BB">
              <w:rPr>
                <w:rFonts w:eastAsia="Times New Roman" w:cs="Calibri"/>
                <w:color w:val="auto"/>
                <w:sz w:val="18"/>
                <w:szCs w:val="18"/>
                <w:lang w:eastAsia="en-GB"/>
              </w:rPr>
              <w:t>-</w:t>
            </w:r>
          </w:p>
        </w:tc>
      </w:tr>
      <w:tr w:rsidR="00CF68BB" w:rsidRPr="00CF68BB" w14:paraId="26705132" w14:textId="77777777" w:rsidTr="001B1830">
        <w:trPr>
          <w:trHeight w:val="240"/>
        </w:trPr>
        <w:tc>
          <w:tcPr>
            <w:tcW w:w="877" w:type="pct"/>
            <w:tcBorders>
              <w:top w:val="single" w:sz="4" w:space="0" w:color="auto"/>
              <w:left w:val="nil"/>
              <w:bottom w:val="single" w:sz="4" w:space="0" w:color="auto"/>
              <w:right w:val="nil"/>
            </w:tcBorders>
            <w:shd w:val="clear" w:color="000000" w:fill="FFFFFF"/>
            <w:vAlign w:val="center"/>
            <w:hideMark/>
          </w:tcPr>
          <w:p w14:paraId="3AB107FE" w14:textId="77777777" w:rsidR="00CF68BB" w:rsidRPr="00CF68BB" w:rsidRDefault="00CF68BB" w:rsidP="001B1830">
            <w:pPr>
              <w:spacing w:after="0" w:line="240" w:lineRule="auto"/>
              <w:jc w:val="right"/>
              <w:rPr>
                <w:rFonts w:eastAsia="Times New Roman" w:cs="Calibri"/>
                <w:b/>
                <w:bCs/>
                <w:color w:val="auto"/>
                <w:sz w:val="18"/>
                <w:szCs w:val="18"/>
                <w:lang w:eastAsia="en-GB"/>
              </w:rPr>
            </w:pPr>
            <w:r w:rsidRPr="00CF68BB">
              <w:rPr>
                <w:rFonts w:eastAsia="Times New Roman" w:cs="Calibri"/>
                <w:b/>
                <w:bCs/>
                <w:color w:val="000000"/>
                <w:sz w:val="18"/>
                <w:szCs w:val="18"/>
                <w:lang w:eastAsia="en-GB"/>
              </w:rPr>
              <w:t>(18,327)</w:t>
            </w:r>
          </w:p>
        </w:tc>
        <w:tc>
          <w:tcPr>
            <w:tcW w:w="3247" w:type="pct"/>
            <w:tcBorders>
              <w:top w:val="single" w:sz="4" w:space="0" w:color="auto"/>
              <w:left w:val="nil"/>
              <w:bottom w:val="single" w:sz="4" w:space="0" w:color="auto"/>
              <w:right w:val="nil"/>
            </w:tcBorders>
            <w:shd w:val="clear" w:color="000000" w:fill="FFFFFF"/>
            <w:vAlign w:val="center"/>
            <w:hideMark/>
          </w:tcPr>
          <w:p w14:paraId="348C7989" w14:textId="77777777" w:rsidR="00CF68BB" w:rsidRPr="00CF68BB" w:rsidRDefault="00CF68BB" w:rsidP="001B1830">
            <w:pPr>
              <w:spacing w:after="0" w:line="240" w:lineRule="auto"/>
              <w:jc w:val="left"/>
              <w:rPr>
                <w:rFonts w:eastAsia="Times New Roman" w:cs="Calibri"/>
                <w:b/>
                <w:bCs/>
                <w:color w:val="auto"/>
                <w:sz w:val="18"/>
                <w:szCs w:val="18"/>
                <w:lang w:eastAsia="en-GB"/>
              </w:rPr>
            </w:pPr>
            <w:r w:rsidRPr="00CF68BB">
              <w:rPr>
                <w:rFonts w:eastAsia="Times New Roman" w:cs="Calibri"/>
                <w:b/>
                <w:bCs/>
                <w:color w:val="auto"/>
                <w:sz w:val="18"/>
                <w:szCs w:val="18"/>
                <w:lang w:eastAsia="en-GB"/>
              </w:rPr>
              <w:t>Total</w:t>
            </w:r>
          </w:p>
        </w:tc>
        <w:tc>
          <w:tcPr>
            <w:tcW w:w="877" w:type="pct"/>
            <w:tcBorders>
              <w:top w:val="single" w:sz="4" w:space="0" w:color="auto"/>
              <w:left w:val="nil"/>
              <w:bottom w:val="single" w:sz="4" w:space="0" w:color="auto"/>
              <w:right w:val="nil"/>
            </w:tcBorders>
            <w:shd w:val="clear" w:color="000000" w:fill="CCECFF"/>
            <w:vAlign w:val="center"/>
            <w:hideMark/>
          </w:tcPr>
          <w:p w14:paraId="0C1F4395" w14:textId="77777777" w:rsidR="00CF68BB" w:rsidRPr="00CF68BB" w:rsidRDefault="00CF68BB" w:rsidP="001B1830">
            <w:pPr>
              <w:spacing w:after="0" w:line="240" w:lineRule="auto"/>
              <w:jc w:val="right"/>
              <w:rPr>
                <w:rFonts w:eastAsia="Times New Roman" w:cs="Calibri"/>
                <w:b/>
                <w:bCs/>
                <w:color w:val="auto"/>
                <w:sz w:val="18"/>
                <w:szCs w:val="18"/>
                <w:lang w:eastAsia="en-GB"/>
              </w:rPr>
            </w:pPr>
            <w:r w:rsidRPr="00CF68BB">
              <w:rPr>
                <w:rFonts w:eastAsia="Times New Roman" w:cs="Calibri"/>
                <w:b/>
                <w:bCs/>
                <w:color w:val="000000"/>
                <w:sz w:val="18"/>
                <w:szCs w:val="18"/>
                <w:lang w:eastAsia="en-GB"/>
              </w:rPr>
              <w:t>(19,779)</w:t>
            </w:r>
          </w:p>
        </w:tc>
      </w:tr>
    </w:tbl>
    <w:p w14:paraId="366AC7DF" w14:textId="77777777" w:rsidR="008C3CB6" w:rsidRPr="004A3865" w:rsidRDefault="008C3CB6" w:rsidP="003356AE">
      <w:pPr>
        <w:spacing w:line="240" w:lineRule="auto"/>
        <w:rPr>
          <w:lang w:val="pt-BR"/>
        </w:rPr>
      </w:pPr>
    </w:p>
    <w:p w14:paraId="4D0DE8E4" w14:textId="34BB37E5" w:rsidR="006A5AA6" w:rsidRPr="004A3865" w:rsidRDefault="002319EA" w:rsidP="003356AE">
      <w:pPr>
        <w:spacing w:line="240" w:lineRule="auto"/>
        <w:rPr>
          <w:lang w:val="pt-BR"/>
        </w:rPr>
      </w:pPr>
      <w:r w:rsidRPr="004A3865">
        <w:rPr>
          <w:lang w:val="pt-BR"/>
        </w:rPr>
        <w:t>The surplus or deficit on the provision of services has been adjusted for the following items which are investing and financing activities:</w:t>
      </w:r>
    </w:p>
    <w:p w14:paraId="53672AB1" w14:textId="1C5C7388" w:rsidR="00020078" w:rsidRDefault="00020078" w:rsidP="003356AE">
      <w:pPr>
        <w:spacing w:line="240" w:lineRule="auto"/>
        <w:rPr>
          <w:rFonts w:asciiTheme="minorHAnsi" w:hAnsiTheme="minorHAnsi"/>
          <w:color w:val="auto"/>
          <w:sz w:val="24"/>
          <w:lang w:val="en-US"/>
        </w:rPr>
      </w:pPr>
      <w:bookmarkStart w:id="205" w:name="_Toc517077311"/>
      <w:bookmarkStart w:id="206" w:name="_Toc9272536"/>
    </w:p>
    <w:tbl>
      <w:tblPr>
        <w:tblW w:w="5000" w:type="pct"/>
        <w:tblLook w:val="04A0" w:firstRow="1" w:lastRow="0" w:firstColumn="1" w:lastColumn="0" w:noHBand="0" w:noVBand="1"/>
      </w:tblPr>
      <w:tblGrid>
        <w:gridCol w:w="1592"/>
        <w:gridCol w:w="5891"/>
        <w:gridCol w:w="1589"/>
      </w:tblGrid>
      <w:tr w:rsidR="001660F7" w:rsidRPr="001660F7" w14:paraId="69BAC049" w14:textId="77777777" w:rsidTr="001660F7">
        <w:trPr>
          <w:trHeight w:val="290"/>
        </w:trPr>
        <w:tc>
          <w:tcPr>
            <w:tcW w:w="877" w:type="pct"/>
            <w:tcBorders>
              <w:top w:val="nil"/>
              <w:left w:val="nil"/>
              <w:bottom w:val="nil"/>
              <w:right w:val="nil"/>
            </w:tcBorders>
            <w:shd w:val="clear" w:color="000000" w:fill="000099"/>
            <w:vAlign w:val="bottom"/>
            <w:hideMark/>
          </w:tcPr>
          <w:p w14:paraId="140BFBF5" w14:textId="77777777" w:rsidR="001660F7" w:rsidRPr="001660F7" w:rsidRDefault="001660F7" w:rsidP="001660F7">
            <w:pPr>
              <w:spacing w:after="0" w:line="240" w:lineRule="auto"/>
              <w:jc w:val="center"/>
              <w:rPr>
                <w:rFonts w:eastAsia="Times New Roman" w:cs="Calibri"/>
                <w:b/>
                <w:bCs/>
                <w:color w:val="FFFFFF"/>
                <w:sz w:val="18"/>
                <w:szCs w:val="18"/>
                <w:lang w:eastAsia="en-GB"/>
              </w:rPr>
            </w:pPr>
            <w:bookmarkStart w:id="207" w:name="_Toc9592080"/>
            <w:bookmarkStart w:id="208" w:name="_Toc109632234"/>
            <w:r w:rsidRPr="001660F7">
              <w:rPr>
                <w:rFonts w:eastAsia="Times New Roman" w:cs="Calibri"/>
                <w:b/>
                <w:bCs/>
                <w:color w:val="FFFFFF"/>
                <w:sz w:val="18"/>
                <w:szCs w:val="18"/>
                <w:lang w:eastAsia="en-GB"/>
              </w:rPr>
              <w:t>2024/25</w:t>
            </w:r>
          </w:p>
        </w:tc>
        <w:tc>
          <w:tcPr>
            <w:tcW w:w="3247" w:type="pct"/>
            <w:tcBorders>
              <w:top w:val="nil"/>
              <w:left w:val="nil"/>
              <w:bottom w:val="nil"/>
              <w:right w:val="nil"/>
            </w:tcBorders>
            <w:shd w:val="clear" w:color="000000" w:fill="000099"/>
            <w:vAlign w:val="bottom"/>
            <w:hideMark/>
          </w:tcPr>
          <w:p w14:paraId="2ACDAED6" w14:textId="77777777" w:rsidR="001660F7" w:rsidRPr="001660F7" w:rsidRDefault="001660F7" w:rsidP="001660F7">
            <w:pPr>
              <w:spacing w:after="0" w:line="240" w:lineRule="auto"/>
              <w:jc w:val="center"/>
              <w:rPr>
                <w:rFonts w:eastAsia="Times New Roman" w:cs="Calibri"/>
                <w:b/>
                <w:bCs/>
                <w:color w:val="FFFFFF"/>
                <w:sz w:val="18"/>
                <w:szCs w:val="18"/>
                <w:lang w:eastAsia="en-GB"/>
              </w:rPr>
            </w:pPr>
            <w:r w:rsidRPr="001660F7">
              <w:rPr>
                <w:rFonts w:eastAsia="Times New Roman" w:cs="Calibri"/>
                <w:b/>
                <w:bCs/>
                <w:color w:val="FFFFFF"/>
                <w:sz w:val="18"/>
                <w:szCs w:val="18"/>
                <w:lang w:eastAsia="en-GB"/>
              </w:rPr>
              <w:t xml:space="preserve"> </w:t>
            </w:r>
          </w:p>
        </w:tc>
        <w:tc>
          <w:tcPr>
            <w:tcW w:w="877" w:type="pct"/>
            <w:tcBorders>
              <w:top w:val="nil"/>
              <w:left w:val="nil"/>
              <w:bottom w:val="nil"/>
              <w:right w:val="nil"/>
            </w:tcBorders>
            <w:shd w:val="clear" w:color="000000" w:fill="000099"/>
            <w:vAlign w:val="bottom"/>
            <w:hideMark/>
          </w:tcPr>
          <w:p w14:paraId="2FB91080" w14:textId="77777777" w:rsidR="001660F7" w:rsidRPr="001660F7" w:rsidRDefault="001660F7" w:rsidP="001660F7">
            <w:pPr>
              <w:spacing w:after="0" w:line="240" w:lineRule="auto"/>
              <w:jc w:val="center"/>
              <w:rPr>
                <w:rFonts w:eastAsia="Times New Roman" w:cs="Calibri"/>
                <w:b/>
                <w:bCs/>
                <w:color w:val="FFFFFF"/>
                <w:sz w:val="18"/>
                <w:szCs w:val="18"/>
                <w:lang w:eastAsia="en-GB"/>
              </w:rPr>
            </w:pPr>
            <w:r w:rsidRPr="001660F7">
              <w:rPr>
                <w:rFonts w:eastAsia="Times New Roman" w:cs="Calibri"/>
                <w:b/>
                <w:bCs/>
                <w:color w:val="FFFFFF"/>
                <w:sz w:val="18"/>
                <w:szCs w:val="18"/>
                <w:lang w:eastAsia="en-GB"/>
              </w:rPr>
              <w:t>2025/26</w:t>
            </w:r>
          </w:p>
        </w:tc>
      </w:tr>
      <w:tr w:rsidR="001660F7" w:rsidRPr="001660F7" w14:paraId="2D9BE147" w14:textId="77777777" w:rsidTr="001660F7">
        <w:trPr>
          <w:trHeight w:val="290"/>
        </w:trPr>
        <w:tc>
          <w:tcPr>
            <w:tcW w:w="877" w:type="pct"/>
            <w:tcBorders>
              <w:top w:val="nil"/>
              <w:left w:val="nil"/>
              <w:bottom w:val="nil"/>
              <w:right w:val="nil"/>
            </w:tcBorders>
            <w:shd w:val="clear" w:color="000000" w:fill="000099"/>
            <w:vAlign w:val="bottom"/>
            <w:hideMark/>
          </w:tcPr>
          <w:p w14:paraId="3C6F9CCB" w14:textId="77777777" w:rsidR="001660F7" w:rsidRPr="001660F7" w:rsidRDefault="001660F7" w:rsidP="001660F7">
            <w:pPr>
              <w:spacing w:after="0" w:line="240" w:lineRule="auto"/>
              <w:jc w:val="center"/>
              <w:rPr>
                <w:rFonts w:eastAsia="Times New Roman" w:cs="Calibri"/>
                <w:b/>
                <w:bCs/>
                <w:color w:val="FFFFFF"/>
                <w:sz w:val="18"/>
                <w:szCs w:val="18"/>
                <w:lang w:eastAsia="en-GB"/>
              </w:rPr>
            </w:pPr>
            <w:r w:rsidRPr="001660F7">
              <w:rPr>
                <w:rFonts w:eastAsia="Times New Roman" w:cs="Calibri"/>
                <w:b/>
                <w:bCs/>
                <w:color w:val="FFFFFF"/>
                <w:sz w:val="18"/>
                <w:szCs w:val="18"/>
                <w:lang w:eastAsia="en-GB"/>
              </w:rPr>
              <w:t>£000</w:t>
            </w:r>
          </w:p>
        </w:tc>
        <w:tc>
          <w:tcPr>
            <w:tcW w:w="3247" w:type="pct"/>
            <w:tcBorders>
              <w:top w:val="nil"/>
              <w:left w:val="nil"/>
              <w:bottom w:val="nil"/>
              <w:right w:val="nil"/>
            </w:tcBorders>
            <w:shd w:val="clear" w:color="000000" w:fill="000099"/>
            <w:vAlign w:val="bottom"/>
            <w:hideMark/>
          </w:tcPr>
          <w:p w14:paraId="20DEDD48" w14:textId="77777777" w:rsidR="001660F7" w:rsidRPr="001660F7" w:rsidRDefault="001660F7" w:rsidP="001660F7">
            <w:pPr>
              <w:spacing w:after="0" w:line="240" w:lineRule="auto"/>
              <w:jc w:val="center"/>
              <w:rPr>
                <w:rFonts w:eastAsia="Times New Roman" w:cs="Calibri"/>
                <w:b/>
                <w:bCs/>
                <w:color w:val="FFFFFF"/>
                <w:sz w:val="18"/>
                <w:szCs w:val="18"/>
                <w:lang w:eastAsia="en-GB"/>
              </w:rPr>
            </w:pPr>
            <w:r w:rsidRPr="001660F7">
              <w:rPr>
                <w:rFonts w:eastAsia="Times New Roman" w:cs="Calibri"/>
                <w:b/>
                <w:bCs/>
                <w:color w:val="FFFFFF"/>
                <w:sz w:val="18"/>
                <w:szCs w:val="18"/>
                <w:lang w:eastAsia="en-GB"/>
              </w:rPr>
              <w:t xml:space="preserve"> </w:t>
            </w:r>
          </w:p>
        </w:tc>
        <w:tc>
          <w:tcPr>
            <w:tcW w:w="877" w:type="pct"/>
            <w:tcBorders>
              <w:top w:val="nil"/>
              <w:left w:val="nil"/>
              <w:bottom w:val="nil"/>
              <w:right w:val="nil"/>
            </w:tcBorders>
            <w:shd w:val="clear" w:color="000000" w:fill="000099"/>
            <w:vAlign w:val="bottom"/>
            <w:hideMark/>
          </w:tcPr>
          <w:p w14:paraId="20DBDC37" w14:textId="77777777" w:rsidR="001660F7" w:rsidRPr="001660F7" w:rsidRDefault="001660F7" w:rsidP="001660F7">
            <w:pPr>
              <w:spacing w:after="0" w:line="240" w:lineRule="auto"/>
              <w:jc w:val="center"/>
              <w:rPr>
                <w:rFonts w:eastAsia="Times New Roman" w:cs="Calibri"/>
                <w:b/>
                <w:bCs/>
                <w:color w:val="FFFFFF"/>
                <w:sz w:val="18"/>
                <w:szCs w:val="18"/>
                <w:lang w:eastAsia="en-GB"/>
              </w:rPr>
            </w:pPr>
            <w:r w:rsidRPr="001660F7">
              <w:rPr>
                <w:rFonts w:eastAsia="Times New Roman" w:cs="Calibri"/>
                <w:b/>
                <w:bCs/>
                <w:color w:val="FFFFFF"/>
                <w:sz w:val="18"/>
                <w:szCs w:val="18"/>
                <w:lang w:eastAsia="en-GB"/>
              </w:rPr>
              <w:t>£000</w:t>
            </w:r>
          </w:p>
        </w:tc>
      </w:tr>
      <w:tr w:rsidR="001660F7" w:rsidRPr="001660F7" w14:paraId="45D91609" w14:textId="77777777" w:rsidTr="00DE14DE">
        <w:trPr>
          <w:trHeight w:val="480"/>
        </w:trPr>
        <w:tc>
          <w:tcPr>
            <w:tcW w:w="877" w:type="pct"/>
            <w:tcBorders>
              <w:top w:val="nil"/>
              <w:left w:val="nil"/>
              <w:bottom w:val="nil"/>
              <w:right w:val="nil"/>
            </w:tcBorders>
            <w:shd w:val="clear" w:color="000000" w:fill="FFFFFF"/>
            <w:vAlign w:val="center"/>
            <w:hideMark/>
          </w:tcPr>
          <w:p w14:paraId="501E3C94" w14:textId="77777777" w:rsidR="001660F7" w:rsidRPr="001660F7" w:rsidRDefault="001660F7" w:rsidP="00DE14DE">
            <w:pPr>
              <w:spacing w:after="0" w:line="240" w:lineRule="auto"/>
              <w:jc w:val="right"/>
              <w:rPr>
                <w:rFonts w:eastAsia="Times New Roman" w:cs="Calibri"/>
                <w:color w:val="auto"/>
                <w:sz w:val="18"/>
                <w:szCs w:val="18"/>
                <w:lang w:eastAsia="en-GB"/>
              </w:rPr>
            </w:pPr>
            <w:r w:rsidRPr="001660F7">
              <w:rPr>
                <w:rFonts w:eastAsia="Times New Roman" w:cs="Calibri"/>
                <w:color w:val="auto"/>
                <w:sz w:val="18"/>
                <w:szCs w:val="18"/>
                <w:lang w:eastAsia="en-GB"/>
              </w:rPr>
              <w:t>-</w:t>
            </w:r>
          </w:p>
        </w:tc>
        <w:tc>
          <w:tcPr>
            <w:tcW w:w="3247" w:type="pct"/>
            <w:tcBorders>
              <w:top w:val="nil"/>
              <w:left w:val="nil"/>
              <w:bottom w:val="nil"/>
              <w:right w:val="nil"/>
            </w:tcBorders>
            <w:shd w:val="clear" w:color="000000" w:fill="FFFFFF"/>
            <w:vAlign w:val="center"/>
            <w:hideMark/>
          </w:tcPr>
          <w:p w14:paraId="3306E729" w14:textId="77777777" w:rsidR="001660F7" w:rsidRPr="001660F7" w:rsidRDefault="001660F7" w:rsidP="00DE14DE">
            <w:pPr>
              <w:spacing w:after="0" w:line="240" w:lineRule="auto"/>
              <w:jc w:val="left"/>
              <w:rPr>
                <w:rFonts w:eastAsia="Times New Roman" w:cs="Calibri"/>
                <w:color w:val="auto"/>
                <w:sz w:val="18"/>
                <w:szCs w:val="18"/>
                <w:lang w:eastAsia="en-GB"/>
              </w:rPr>
            </w:pPr>
            <w:r w:rsidRPr="001660F7">
              <w:rPr>
                <w:rFonts w:eastAsia="Times New Roman" w:cs="Calibri"/>
                <w:color w:val="auto"/>
                <w:sz w:val="18"/>
                <w:szCs w:val="18"/>
                <w:lang w:eastAsia="en-GB"/>
              </w:rPr>
              <w:t>Any other items for which the cash effects are investing or financing cash flows</w:t>
            </w:r>
          </w:p>
        </w:tc>
        <w:tc>
          <w:tcPr>
            <w:tcW w:w="877" w:type="pct"/>
            <w:tcBorders>
              <w:top w:val="nil"/>
              <w:left w:val="nil"/>
              <w:bottom w:val="nil"/>
              <w:right w:val="nil"/>
            </w:tcBorders>
            <w:shd w:val="clear" w:color="000000" w:fill="CCECFF"/>
            <w:vAlign w:val="center"/>
            <w:hideMark/>
          </w:tcPr>
          <w:p w14:paraId="2ADEF13A" w14:textId="77777777" w:rsidR="001660F7" w:rsidRPr="001660F7" w:rsidRDefault="001660F7" w:rsidP="00DE14DE">
            <w:pPr>
              <w:spacing w:after="0" w:line="240" w:lineRule="auto"/>
              <w:jc w:val="right"/>
              <w:rPr>
                <w:rFonts w:eastAsia="Times New Roman" w:cs="Calibri"/>
                <w:color w:val="auto"/>
                <w:sz w:val="18"/>
                <w:szCs w:val="18"/>
                <w:lang w:eastAsia="en-GB"/>
              </w:rPr>
            </w:pPr>
            <w:r w:rsidRPr="001660F7">
              <w:rPr>
                <w:rFonts w:eastAsia="Times New Roman" w:cs="Calibri"/>
                <w:color w:val="auto"/>
                <w:sz w:val="18"/>
                <w:szCs w:val="18"/>
                <w:lang w:eastAsia="en-GB"/>
              </w:rPr>
              <w:t>-</w:t>
            </w:r>
          </w:p>
        </w:tc>
      </w:tr>
      <w:tr w:rsidR="001660F7" w:rsidRPr="001660F7" w14:paraId="231A8AB3" w14:textId="77777777" w:rsidTr="00DE14DE">
        <w:trPr>
          <w:trHeight w:val="240"/>
        </w:trPr>
        <w:tc>
          <w:tcPr>
            <w:tcW w:w="877" w:type="pct"/>
            <w:tcBorders>
              <w:top w:val="single" w:sz="4" w:space="0" w:color="auto"/>
              <w:left w:val="nil"/>
              <w:bottom w:val="single" w:sz="4" w:space="0" w:color="auto"/>
              <w:right w:val="nil"/>
            </w:tcBorders>
            <w:shd w:val="clear" w:color="000000" w:fill="FFFFFF"/>
            <w:vAlign w:val="center"/>
            <w:hideMark/>
          </w:tcPr>
          <w:p w14:paraId="342F3A8D" w14:textId="77777777" w:rsidR="001660F7" w:rsidRPr="001660F7" w:rsidRDefault="001660F7" w:rsidP="00DE14DE">
            <w:pPr>
              <w:spacing w:after="0" w:line="240" w:lineRule="auto"/>
              <w:jc w:val="right"/>
              <w:rPr>
                <w:rFonts w:eastAsia="Times New Roman" w:cs="Calibri"/>
                <w:b/>
                <w:bCs/>
                <w:color w:val="auto"/>
                <w:sz w:val="18"/>
                <w:szCs w:val="18"/>
                <w:lang w:eastAsia="en-GB"/>
              </w:rPr>
            </w:pPr>
            <w:r w:rsidRPr="001660F7">
              <w:rPr>
                <w:rFonts w:eastAsia="Times New Roman" w:cs="Calibri"/>
                <w:b/>
                <w:bCs/>
                <w:color w:val="auto"/>
                <w:sz w:val="18"/>
                <w:szCs w:val="18"/>
                <w:lang w:eastAsia="en-GB"/>
              </w:rPr>
              <w:t>-</w:t>
            </w:r>
          </w:p>
        </w:tc>
        <w:tc>
          <w:tcPr>
            <w:tcW w:w="3247" w:type="pct"/>
            <w:tcBorders>
              <w:top w:val="single" w:sz="4" w:space="0" w:color="auto"/>
              <w:left w:val="nil"/>
              <w:bottom w:val="single" w:sz="4" w:space="0" w:color="auto"/>
              <w:right w:val="nil"/>
            </w:tcBorders>
            <w:shd w:val="clear" w:color="000000" w:fill="FFFFFF"/>
            <w:vAlign w:val="center"/>
            <w:hideMark/>
          </w:tcPr>
          <w:p w14:paraId="12E6008D" w14:textId="77777777" w:rsidR="001660F7" w:rsidRPr="001660F7" w:rsidRDefault="001660F7" w:rsidP="00DE14DE">
            <w:pPr>
              <w:spacing w:after="0" w:line="240" w:lineRule="auto"/>
              <w:jc w:val="left"/>
              <w:rPr>
                <w:rFonts w:eastAsia="Times New Roman" w:cs="Calibri"/>
                <w:b/>
                <w:bCs/>
                <w:color w:val="auto"/>
                <w:sz w:val="18"/>
                <w:szCs w:val="18"/>
                <w:lang w:eastAsia="en-GB"/>
              </w:rPr>
            </w:pPr>
            <w:r w:rsidRPr="001660F7">
              <w:rPr>
                <w:rFonts w:eastAsia="Times New Roman" w:cs="Calibri"/>
                <w:b/>
                <w:bCs/>
                <w:color w:val="auto"/>
                <w:sz w:val="18"/>
                <w:szCs w:val="18"/>
                <w:lang w:eastAsia="en-GB"/>
              </w:rPr>
              <w:t>Total</w:t>
            </w:r>
          </w:p>
        </w:tc>
        <w:tc>
          <w:tcPr>
            <w:tcW w:w="877" w:type="pct"/>
            <w:tcBorders>
              <w:top w:val="single" w:sz="4" w:space="0" w:color="auto"/>
              <w:left w:val="nil"/>
              <w:bottom w:val="single" w:sz="4" w:space="0" w:color="auto"/>
              <w:right w:val="nil"/>
            </w:tcBorders>
            <w:shd w:val="clear" w:color="000000" w:fill="CCECFF"/>
            <w:vAlign w:val="center"/>
            <w:hideMark/>
          </w:tcPr>
          <w:p w14:paraId="1CAFE616" w14:textId="77777777" w:rsidR="001660F7" w:rsidRPr="001660F7" w:rsidRDefault="001660F7" w:rsidP="00DE14DE">
            <w:pPr>
              <w:spacing w:after="0" w:line="240" w:lineRule="auto"/>
              <w:jc w:val="right"/>
              <w:rPr>
                <w:rFonts w:eastAsia="Times New Roman" w:cs="Calibri"/>
                <w:b/>
                <w:bCs/>
                <w:color w:val="auto"/>
                <w:sz w:val="18"/>
                <w:szCs w:val="18"/>
                <w:lang w:eastAsia="en-GB"/>
              </w:rPr>
            </w:pPr>
            <w:r w:rsidRPr="001660F7">
              <w:rPr>
                <w:rFonts w:eastAsia="Times New Roman" w:cs="Calibri"/>
                <w:b/>
                <w:bCs/>
                <w:color w:val="auto"/>
                <w:sz w:val="18"/>
                <w:szCs w:val="18"/>
                <w:lang w:eastAsia="en-GB"/>
              </w:rPr>
              <w:t>-</w:t>
            </w:r>
          </w:p>
        </w:tc>
      </w:tr>
    </w:tbl>
    <w:p w14:paraId="33F8B70D" w14:textId="2BE2714C" w:rsidR="005F3926" w:rsidRDefault="005F3926" w:rsidP="003356AE">
      <w:pPr>
        <w:spacing w:line="240" w:lineRule="auto"/>
        <w:jc w:val="left"/>
        <w:rPr>
          <w:rFonts w:asciiTheme="minorHAnsi" w:eastAsia="Times New Roman" w:hAnsiTheme="minorHAnsi" w:cs="Times New Roman"/>
          <w:b/>
          <w:bCs/>
          <w:color w:val="25316C"/>
          <w:sz w:val="24"/>
          <w:u w:val="single"/>
          <w:lang w:val="pt-BR"/>
        </w:rPr>
      </w:pPr>
    </w:p>
    <w:p w14:paraId="36367F75" w14:textId="09440F74" w:rsidR="002522D4" w:rsidRPr="00653D20" w:rsidRDefault="002522D4" w:rsidP="003356AE">
      <w:pPr>
        <w:pStyle w:val="NoteHeader"/>
        <w:spacing w:line="240" w:lineRule="auto"/>
        <w:rPr>
          <w:lang w:val="pt-BR"/>
        </w:rPr>
      </w:pPr>
      <w:bookmarkStart w:id="209" w:name="_Toc230858590"/>
      <w:r w:rsidRPr="00653D20">
        <w:rPr>
          <w:lang w:val="pt-BR"/>
        </w:rPr>
        <w:t>Note 35 - Cash Flow from Investing Activities</w:t>
      </w:r>
      <w:bookmarkEnd w:id="205"/>
      <w:bookmarkEnd w:id="206"/>
      <w:bookmarkEnd w:id="207"/>
      <w:bookmarkEnd w:id="208"/>
      <w:bookmarkEnd w:id="209"/>
    </w:p>
    <w:p w14:paraId="63C479CD" w14:textId="77777777" w:rsidR="005433C7" w:rsidRPr="00653D20" w:rsidRDefault="005433C7" w:rsidP="003356AE">
      <w:pPr>
        <w:spacing w:line="240" w:lineRule="auto"/>
        <w:rPr>
          <w:noProof/>
          <w:szCs w:val="20"/>
          <w:lang w:eastAsia="en-GB"/>
        </w:rPr>
      </w:pPr>
    </w:p>
    <w:p w14:paraId="3CAA78A8" w14:textId="7EB18990" w:rsidR="00A805A9" w:rsidRPr="00A805A9" w:rsidRDefault="00A805A9" w:rsidP="003356AE">
      <w:pPr>
        <w:spacing w:line="240" w:lineRule="auto"/>
        <w:rPr>
          <w:noProof/>
          <w:szCs w:val="20"/>
          <w:lang w:eastAsia="en-GB"/>
        </w:rPr>
      </w:pPr>
      <w:bookmarkStart w:id="210" w:name="_Toc517077312"/>
      <w:bookmarkStart w:id="211" w:name="_Toc9272537"/>
      <w:bookmarkStart w:id="212" w:name="_Toc9592081"/>
      <w:bookmarkStart w:id="213" w:name="_Toc109632235"/>
      <w:r w:rsidRPr="00A805A9">
        <w:rPr>
          <w:noProof/>
          <w:szCs w:val="20"/>
          <w:lang w:eastAsia="en-GB"/>
        </w:rPr>
        <w:t xml:space="preserve">The Chief Constable holds no balance in respect of these items. For information, please refer to Note </w:t>
      </w:r>
      <w:r>
        <w:rPr>
          <w:noProof/>
          <w:szCs w:val="20"/>
          <w:lang w:eastAsia="en-GB"/>
        </w:rPr>
        <w:t>35</w:t>
      </w:r>
      <w:r w:rsidRPr="00A805A9">
        <w:rPr>
          <w:noProof/>
          <w:szCs w:val="20"/>
          <w:lang w:eastAsia="en-GB"/>
        </w:rPr>
        <w:t xml:space="preserve"> of the Office of the Police, Fire &amp; Crime Commissioner (OPFCC) Statement of Accounts.</w:t>
      </w:r>
    </w:p>
    <w:p w14:paraId="755EAC5B" w14:textId="77777777" w:rsidR="007F7459" w:rsidRDefault="007F7459" w:rsidP="003356AE">
      <w:pPr>
        <w:spacing w:line="240" w:lineRule="auto"/>
      </w:pPr>
    </w:p>
    <w:p w14:paraId="7883C7E1" w14:textId="595B155F" w:rsidR="002522D4" w:rsidRPr="00653D20" w:rsidRDefault="002522D4" w:rsidP="003356AE">
      <w:pPr>
        <w:pStyle w:val="NoteHeader"/>
        <w:spacing w:line="240" w:lineRule="auto"/>
      </w:pPr>
      <w:bookmarkStart w:id="214" w:name="_Toc230858591"/>
      <w:r w:rsidRPr="00653D20">
        <w:t>Note 36 - Termination Benefits</w:t>
      </w:r>
      <w:bookmarkEnd w:id="210"/>
      <w:bookmarkEnd w:id="211"/>
      <w:bookmarkEnd w:id="212"/>
      <w:bookmarkEnd w:id="213"/>
      <w:bookmarkEnd w:id="214"/>
      <w:r w:rsidRPr="00653D20">
        <w:t xml:space="preserve"> </w:t>
      </w:r>
    </w:p>
    <w:p w14:paraId="7297F60D" w14:textId="77777777" w:rsidR="00D810FB" w:rsidRPr="00653D20" w:rsidRDefault="00D810FB" w:rsidP="003356AE">
      <w:pPr>
        <w:spacing w:line="240" w:lineRule="auto"/>
      </w:pPr>
    </w:p>
    <w:p w14:paraId="4AC73F8B" w14:textId="77777777" w:rsidR="00D810FB" w:rsidRPr="00653D20" w:rsidRDefault="00D810FB" w:rsidP="003356AE">
      <w:pPr>
        <w:spacing w:line="240" w:lineRule="auto"/>
      </w:pPr>
      <w:r w:rsidRPr="00653D20">
        <w:t xml:space="preserve">The </w:t>
      </w:r>
      <w:r w:rsidR="001D2D0F">
        <w:t>O</w:t>
      </w:r>
      <w:r w:rsidRPr="00653D20">
        <w:t xml:space="preserve">CC has taken account of termination benefits in accordance </w:t>
      </w:r>
      <w:proofErr w:type="gramStart"/>
      <w:r w:rsidRPr="00653D20">
        <w:t>of</w:t>
      </w:r>
      <w:proofErr w:type="gramEnd"/>
      <w:r w:rsidRPr="00653D20">
        <w:t xml:space="preserve"> IAS 19.  The termination benefits are dealt with separately from other employee benefits because the event which gives rise to an obligation is the termination rather than employee service.</w:t>
      </w:r>
    </w:p>
    <w:p w14:paraId="58DD83D9" w14:textId="77777777" w:rsidR="00D810FB" w:rsidRPr="00653D20" w:rsidRDefault="00D810FB" w:rsidP="003356AE">
      <w:pPr>
        <w:spacing w:line="240" w:lineRule="auto"/>
      </w:pPr>
    </w:p>
    <w:p w14:paraId="4517F931" w14:textId="77777777" w:rsidR="00D810FB" w:rsidRPr="00323C68" w:rsidRDefault="00D810FB" w:rsidP="003356AE">
      <w:pPr>
        <w:spacing w:line="240" w:lineRule="auto"/>
      </w:pPr>
      <w:r w:rsidRPr="00653D20">
        <w:lastRenderedPageBreak/>
        <w:t xml:space="preserve">The </w:t>
      </w:r>
      <w:r w:rsidR="001D2D0F">
        <w:t>O</w:t>
      </w:r>
      <w:r w:rsidRPr="00653D20">
        <w:t xml:space="preserve">CC would have incurred costs if the termination was either a decision to terminate an employee's employment prior to their retirement date, or an employee's decision to accept voluntary redundancy in </w:t>
      </w:r>
      <w:r w:rsidRPr="00323C68">
        <w:t>exchange for those benefits.</w:t>
      </w:r>
    </w:p>
    <w:p w14:paraId="43BFB314" w14:textId="77777777" w:rsidR="00D810FB" w:rsidRPr="00323C68" w:rsidRDefault="00D810FB" w:rsidP="003356AE">
      <w:pPr>
        <w:spacing w:line="240" w:lineRule="auto"/>
      </w:pPr>
    </w:p>
    <w:p w14:paraId="0F5A217E" w14:textId="2FAB3966" w:rsidR="00653D20" w:rsidRDefault="00653D20" w:rsidP="003356AE">
      <w:pPr>
        <w:spacing w:line="240" w:lineRule="auto"/>
      </w:pPr>
      <w:r w:rsidRPr="00323C68">
        <w:t xml:space="preserve">The </w:t>
      </w:r>
      <w:r w:rsidR="001D2D0F" w:rsidRPr="00323C68">
        <w:t>O</w:t>
      </w:r>
      <w:r w:rsidRPr="00323C68">
        <w:t xml:space="preserve">CC terminated the contract </w:t>
      </w:r>
      <w:r w:rsidR="008C3689" w:rsidRPr="00323C68">
        <w:t xml:space="preserve">of </w:t>
      </w:r>
      <w:r w:rsidR="00EE0FDA">
        <w:t>four</w:t>
      </w:r>
      <w:r w:rsidR="008C3689" w:rsidRPr="00323C68">
        <w:t xml:space="preserve"> employee</w:t>
      </w:r>
      <w:r w:rsidR="00EC4882">
        <w:t>s</w:t>
      </w:r>
      <w:r w:rsidR="008C3689" w:rsidRPr="00323C68">
        <w:t xml:space="preserve"> in 202</w:t>
      </w:r>
      <w:r w:rsidR="00AB07D9">
        <w:t>5</w:t>
      </w:r>
      <w:r w:rsidR="008C3689" w:rsidRPr="00323C68">
        <w:t>/2</w:t>
      </w:r>
      <w:r w:rsidR="00AB07D9">
        <w:t>6</w:t>
      </w:r>
      <w:r w:rsidRPr="00323C68">
        <w:t>, summarised below:</w:t>
      </w:r>
      <w:bookmarkStart w:id="215" w:name="_Toc517077313"/>
      <w:bookmarkStart w:id="216" w:name="_Toc9272538"/>
      <w:bookmarkStart w:id="217" w:name="_Toc9592082"/>
    </w:p>
    <w:p w14:paraId="07021709" w14:textId="1A8C92BC" w:rsidR="00F7003C" w:rsidRDefault="00F7003C"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2073"/>
        <w:gridCol w:w="874"/>
        <w:gridCol w:w="875"/>
        <w:gridCol w:w="875"/>
        <w:gridCol w:w="875"/>
        <w:gridCol w:w="875"/>
        <w:gridCol w:w="875"/>
        <w:gridCol w:w="875"/>
        <w:gridCol w:w="875"/>
      </w:tblGrid>
      <w:tr w:rsidR="00337970" w:rsidRPr="00337970" w14:paraId="5D0125DD" w14:textId="77777777" w:rsidTr="001C1E5A">
        <w:trPr>
          <w:trHeight w:val="720"/>
        </w:trPr>
        <w:tc>
          <w:tcPr>
            <w:tcW w:w="1143" w:type="pct"/>
            <w:tcBorders>
              <w:top w:val="nil"/>
              <w:left w:val="nil"/>
              <w:bottom w:val="nil"/>
              <w:right w:val="nil"/>
            </w:tcBorders>
            <w:shd w:val="clear" w:color="000000" w:fill="000099"/>
            <w:vAlign w:val="center"/>
            <w:hideMark/>
          </w:tcPr>
          <w:p w14:paraId="7AB26C1C" w14:textId="77777777" w:rsidR="00337970" w:rsidRPr="00337970" w:rsidRDefault="00337970" w:rsidP="00337970">
            <w:pPr>
              <w:spacing w:after="0" w:line="240" w:lineRule="auto"/>
              <w:jc w:val="left"/>
              <w:rPr>
                <w:rFonts w:eastAsia="Times New Roman" w:cs="Calibri"/>
                <w:b/>
                <w:bCs/>
                <w:color w:val="FFFFFF"/>
                <w:sz w:val="18"/>
                <w:szCs w:val="18"/>
                <w:lang w:eastAsia="en-GB"/>
              </w:rPr>
            </w:pPr>
            <w:r w:rsidRPr="00337970">
              <w:rPr>
                <w:rFonts w:eastAsia="Times New Roman" w:cs="Calibri"/>
                <w:b/>
                <w:bCs/>
                <w:color w:val="FFFFFF"/>
                <w:sz w:val="18"/>
                <w:szCs w:val="18"/>
                <w:lang w:eastAsia="en-GB"/>
              </w:rPr>
              <w:t>Exit Package Cost Band</w:t>
            </w:r>
            <w:r w:rsidRPr="00337970">
              <w:rPr>
                <w:rFonts w:eastAsia="Times New Roman" w:cs="Calibri"/>
                <w:b/>
                <w:bCs/>
                <w:color w:val="FFFFFF"/>
                <w:sz w:val="18"/>
                <w:szCs w:val="18"/>
                <w:lang w:eastAsia="en-GB"/>
              </w:rPr>
              <w:br/>
              <w:t>(Including Special Payments)</w:t>
            </w:r>
          </w:p>
        </w:tc>
        <w:tc>
          <w:tcPr>
            <w:tcW w:w="964" w:type="pct"/>
            <w:gridSpan w:val="2"/>
            <w:tcBorders>
              <w:top w:val="nil"/>
              <w:left w:val="nil"/>
              <w:bottom w:val="nil"/>
              <w:right w:val="nil"/>
            </w:tcBorders>
            <w:shd w:val="clear" w:color="000000" w:fill="000099"/>
            <w:hideMark/>
          </w:tcPr>
          <w:p w14:paraId="29EA7798"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Number of Compulsory</w:t>
            </w:r>
            <w:r w:rsidRPr="00337970">
              <w:rPr>
                <w:rFonts w:eastAsia="Times New Roman" w:cs="Calibri"/>
                <w:b/>
                <w:bCs/>
                <w:color w:val="FFFFFF"/>
                <w:sz w:val="18"/>
                <w:szCs w:val="18"/>
                <w:lang w:eastAsia="en-GB"/>
              </w:rPr>
              <w:br/>
              <w:t>Redundancies</w:t>
            </w:r>
          </w:p>
        </w:tc>
        <w:tc>
          <w:tcPr>
            <w:tcW w:w="964" w:type="pct"/>
            <w:gridSpan w:val="2"/>
            <w:tcBorders>
              <w:top w:val="nil"/>
              <w:left w:val="nil"/>
              <w:bottom w:val="nil"/>
              <w:right w:val="nil"/>
            </w:tcBorders>
            <w:shd w:val="clear" w:color="000000" w:fill="000099"/>
            <w:hideMark/>
          </w:tcPr>
          <w:p w14:paraId="22FABACB"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 xml:space="preserve">Number of Other </w:t>
            </w:r>
            <w:r w:rsidRPr="00337970">
              <w:rPr>
                <w:rFonts w:eastAsia="Times New Roman" w:cs="Calibri"/>
                <w:b/>
                <w:bCs/>
                <w:color w:val="FFFFFF"/>
                <w:sz w:val="18"/>
                <w:szCs w:val="18"/>
                <w:lang w:eastAsia="en-GB"/>
              </w:rPr>
              <w:br/>
              <w:t>Departures Agreed</w:t>
            </w:r>
          </w:p>
        </w:tc>
        <w:tc>
          <w:tcPr>
            <w:tcW w:w="964" w:type="pct"/>
            <w:gridSpan w:val="2"/>
            <w:tcBorders>
              <w:top w:val="nil"/>
              <w:left w:val="nil"/>
              <w:bottom w:val="nil"/>
              <w:right w:val="nil"/>
            </w:tcBorders>
            <w:shd w:val="clear" w:color="000000" w:fill="000099"/>
            <w:hideMark/>
          </w:tcPr>
          <w:p w14:paraId="07DCB68C"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 xml:space="preserve">Total Number of Exit </w:t>
            </w:r>
            <w:r w:rsidRPr="00337970">
              <w:rPr>
                <w:rFonts w:eastAsia="Times New Roman" w:cs="Calibri"/>
                <w:b/>
                <w:bCs/>
                <w:color w:val="FFFFFF"/>
                <w:sz w:val="18"/>
                <w:szCs w:val="18"/>
                <w:lang w:eastAsia="en-GB"/>
              </w:rPr>
              <w:br/>
              <w:t xml:space="preserve">Packages by Cost Band </w:t>
            </w:r>
          </w:p>
        </w:tc>
        <w:tc>
          <w:tcPr>
            <w:tcW w:w="964" w:type="pct"/>
            <w:gridSpan w:val="2"/>
            <w:tcBorders>
              <w:top w:val="nil"/>
              <w:left w:val="nil"/>
              <w:bottom w:val="nil"/>
              <w:right w:val="nil"/>
            </w:tcBorders>
            <w:shd w:val="clear" w:color="000000" w:fill="000099"/>
            <w:hideMark/>
          </w:tcPr>
          <w:p w14:paraId="3953C033"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Total cost of Exit Packages</w:t>
            </w:r>
            <w:r w:rsidRPr="00337970">
              <w:rPr>
                <w:rFonts w:eastAsia="Times New Roman" w:cs="Calibri"/>
                <w:b/>
                <w:bCs/>
                <w:color w:val="FFFFFF"/>
                <w:sz w:val="18"/>
                <w:szCs w:val="18"/>
                <w:lang w:eastAsia="en-GB"/>
              </w:rPr>
              <w:br/>
              <w:t>in each Band</w:t>
            </w:r>
          </w:p>
        </w:tc>
      </w:tr>
      <w:tr w:rsidR="00337970" w:rsidRPr="00337970" w14:paraId="57926862" w14:textId="77777777" w:rsidTr="001C1E5A">
        <w:trPr>
          <w:trHeight w:val="240"/>
        </w:trPr>
        <w:tc>
          <w:tcPr>
            <w:tcW w:w="1143" w:type="pct"/>
            <w:tcBorders>
              <w:top w:val="nil"/>
              <w:left w:val="nil"/>
              <w:bottom w:val="nil"/>
              <w:right w:val="nil"/>
            </w:tcBorders>
            <w:shd w:val="clear" w:color="000000" w:fill="000099"/>
            <w:noWrap/>
            <w:vAlign w:val="bottom"/>
            <w:hideMark/>
          </w:tcPr>
          <w:p w14:paraId="1016781D" w14:textId="77777777" w:rsidR="00337970" w:rsidRPr="00337970" w:rsidRDefault="00337970" w:rsidP="00337970">
            <w:pPr>
              <w:spacing w:after="0" w:line="240" w:lineRule="auto"/>
              <w:jc w:val="left"/>
              <w:rPr>
                <w:rFonts w:eastAsia="Times New Roman" w:cs="Calibri"/>
                <w:b/>
                <w:bCs/>
                <w:color w:val="FFFFFF"/>
                <w:sz w:val="18"/>
                <w:szCs w:val="18"/>
                <w:lang w:eastAsia="en-GB"/>
              </w:rPr>
            </w:pPr>
            <w:r w:rsidRPr="00337970">
              <w:rPr>
                <w:rFonts w:eastAsia="Times New Roman" w:cs="Calibri"/>
                <w:b/>
                <w:bCs/>
                <w:color w:val="FFFFFF"/>
                <w:sz w:val="18"/>
                <w:szCs w:val="18"/>
                <w:lang w:eastAsia="en-GB"/>
              </w:rPr>
              <w:t> </w:t>
            </w:r>
          </w:p>
        </w:tc>
        <w:tc>
          <w:tcPr>
            <w:tcW w:w="482" w:type="pct"/>
            <w:tcBorders>
              <w:top w:val="nil"/>
              <w:left w:val="nil"/>
              <w:bottom w:val="nil"/>
              <w:right w:val="nil"/>
            </w:tcBorders>
            <w:shd w:val="clear" w:color="000000" w:fill="000099"/>
            <w:vAlign w:val="bottom"/>
            <w:hideMark/>
          </w:tcPr>
          <w:p w14:paraId="490AA86E"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2024/25</w:t>
            </w:r>
          </w:p>
        </w:tc>
        <w:tc>
          <w:tcPr>
            <w:tcW w:w="482" w:type="pct"/>
            <w:tcBorders>
              <w:top w:val="nil"/>
              <w:left w:val="nil"/>
              <w:bottom w:val="nil"/>
              <w:right w:val="nil"/>
            </w:tcBorders>
            <w:shd w:val="clear" w:color="000000" w:fill="000099"/>
            <w:vAlign w:val="bottom"/>
            <w:hideMark/>
          </w:tcPr>
          <w:p w14:paraId="38EC7122"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2025/26</w:t>
            </w:r>
          </w:p>
        </w:tc>
        <w:tc>
          <w:tcPr>
            <w:tcW w:w="482" w:type="pct"/>
            <w:tcBorders>
              <w:top w:val="nil"/>
              <w:left w:val="nil"/>
              <w:bottom w:val="nil"/>
              <w:right w:val="nil"/>
            </w:tcBorders>
            <w:shd w:val="clear" w:color="000000" w:fill="000099"/>
            <w:vAlign w:val="bottom"/>
            <w:hideMark/>
          </w:tcPr>
          <w:p w14:paraId="61BCF1C7"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2024/25</w:t>
            </w:r>
          </w:p>
        </w:tc>
        <w:tc>
          <w:tcPr>
            <w:tcW w:w="482" w:type="pct"/>
            <w:tcBorders>
              <w:top w:val="nil"/>
              <w:left w:val="nil"/>
              <w:bottom w:val="nil"/>
              <w:right w:val="nil"/>
            </w:tcBorders>
            <w:shd w:val="clear" w:color="000000" w:fill="000099"/>
            <w:vAlign w:val="bottom"/>
            <w:hideMark/>
          </w:tcPr>
          <w:p w14:paraId="289443A0"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2025/26</w:t>
            </w:r>
          </w:p>
        </w:tc>
        <w:tc>
          <w:tcPr>
            <w:tcW w:w="482" w:type="pct"/>
            <w:tcBorders>
              <w:top w:val="nil"/>
              <w:left w:val="nil"/>
              <w:bottom w:val="nil"/>
              <w:right w:val="nil"/>
            </w:tcBorders>
            <w:shd w:val="clear" w:color="000000" w:fill="000099"/>
            <w:vAlign w:val="bottom"/>
            <w:hideMark/>
          </w:tcPr>
          <w:p w14:paraId="5AF30CEB"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2024/25</w:t>
            </w:r>
          </w:p>
        </w:tc>
        <w:tc>
          <w:tcPr>
            <w:tcW w:w="482" w:type="pct"/>
            <w:tcBorders>
              <w:top w:val="nil"/>
              <w:left w:val="nil"/>
              <w:bottom w:val="nil"/>
              <w:right w:val="nil"/>
            </w:tcBorders>
            <w:shd w:val="clear" w:color="000000" w:fill="000099"/>
            <w:vAlign w:val="bottom"/>
            <w:hideMark/>
          </w:tcPr>
          <w:p w14:paraId="39436B43"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2025/26</w:t>
            </w:r>
          </w:p>
        </w:tc>
        <w:tc>
          <w:tcPr>
            <w:tcW w:w="482" w:type="pct"/>
            <w:tcBorders>
              <w:top w:val="nil"/>
              <w:left w:val="nil"/>
              <w:bottom w:val="nil"/>
              <w:right w:val="nil"/>
            </w:tcBorders>
            <w:shd w:val="clear" w:color="000000" w:fill="000099"/>
            <w:vAlign w:val="bottom"/>
            <w:hideMark/>
          </w:tcPr>
          <w:p w14:paraId="6A76C5A6"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2024/25</w:t>
            </w:r>
          </w:p>
        </w:tc>
        <w:tc>
          <w:tcPr>
            <w:tcW w:w="482" w:type="pct"/>
            <w:tcBorders>
              <w:top w:val="nil"/>
              <w:left w:val="nil"/>
              <w:bottom w:val="nil"/>
              <w:right w:val="nil"/>
            </w:tcBorders>
            <w:shd w:val="clear" w:color="000000" w:fill="000099"/>
            <w:vAlign w:val="bottom"/>
            <w:hideMark/>
          </w:tcPr>
          <w:p w14:paraId="6989691D"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2025/26</w:t>
            </w:r>
          </w:p>
        </w:tc>
      </w:tr>
      <w:tr w:rsidR="00337970" w:rsidRPr="00337970" w14:paraId="7C779C7F" w14:textId="77777777" w:rsidTr="001C1E5A">
        <w:trPr>
          <w:trHeight w:val="420"/>
        </w:trPr>
        <w:tc>
          <w:tcPr>
            <w:tcW w:w="1143" w:type="pct"/>
            <w:tcBorders>
              <w:top w:val="nil"/>
              <w:left w:val="nil"/>
              <w:bottom w:val="nil"/>
              <w:right w:val="nil"/>
            </w:tcBorders>
            <w:shd w:val="clear" w:color="000000" w:fill="000099"/>
            <w:noWrap/>
            <w:vAlign w:val="bottom"/>
            <w:hideMark/>
          </w:tcPr>
          <w:p w14:paraId="26BB5231" w14:textId="77777777" w:rsidR="00337970" w:rsidRPr="00337970" w:rsidRDefault="00337970" w:rsidP="00337970">
            <w:pPr>
              <w:spacing w:after="0" w:line="240" w:lineRule="auto"/>
              <w:jc w:val="left"/>
              <w:rPr>
                <w:rFonts w:eastAsia="Times New Roman" w:cs="Calibri"/>
                <w:b/>
                <w:bCs/>
                <w:color w:val="FFFFFF"/>
                <w:sz w:val="18"/>
                <w:szCs w:val="18"/>
                <w:lang w:eastAsia="en-GB"/>
              </w:rPr>
            </w:pPr>
            <w:r w:rsidRPr="00337970">
              <w:rPr>
                <w:rFonts w:eastAsia="Times New Roman" w:cs="Calibri"/>
                <w:b/>
                <w:bCs/>
                <w:color w:val="FFFFFF"/>
                <w:sz w:val="18"/>
                <w:szCs w:val="18"/>
                <w:lang w:eastAsia="en-GB"/>
              </w:rPr>
              <w:t> </w:t>
            </w:r>
          </w:p>
        </w:tc>
        <w:tc>
          <w:tcPr>
            <w:tcW w:w="482" w:type="pct"/>
            <w:tcBorders>
              <w:top w:val="nil"/>
              <w:left w:val="nil"/>
              <w:bottom w:val="nil"/>
              <w:right w:val="nil"/>
            </w:tcBorders>
            <w:shd w:val="clear" w:color="000000" w:fill="000099"/>
            <w:noWrap/>
            <w:vAlign w:val="bottom"/>
            <w:hideMark/>
          </w:tcPr>
          <w:p w14:paraId="7B4CEC6D"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FTE</w:t>
            </w:r>
          </w:p>
        </w:tc>
        <w:tc>
          <w:tcPr>
            <w:tcW w:w="482" w:type="pct"/>
            <w:tcBorders>
              <w:top w:val="nil"/>
              <w:left w:val="nil"/>
              <w:bottom w:val="nil"/>
              <w:right w:val="nil"/>
            </w:tcBorders>
            <w:shd w:val="clear" w:color="000000" w:fill="000099"/>
            <w:noWrap/>
            <w:vAlign w:val="bottom"/>
            <w:hideMark/>
          </w:tcPr>
          <w:p w14:paraId="51170E81"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FTE</w:t>
            </w:r>
          </w:p>
        </w:tc>
        <w:tc>
          <w:tcPr>
            <w:tcW w:w="482" w:type="pct"/>
            <w:tcBorders>
              <w:top w:val="nil"/>
              <w:left w:val="nil"/>
              <w:bottom w:val="nil"/>
              <w:right w:val="nil"/>
            </w:tcBorders>
            <w:shd w:val="clear" w:color="000000" w:fill="000099"/>
            <w:noWrap/>
            <w:vAlign w:val="bottom"/>
            <w:hideMark/>
          </w:tcPr>
          <w:p w14:paraId="7C943CE8"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FTE</w:t>
            </w:r>
          </w:p>
        </w:tc>
        <w:tc>
          <w:tcPr>
            <w:tcW w:w="482" w:type="pct"/>
            <w:tcBorders>
              <w:top w:val="nil"/>
              <w:left w:val="nil"/>
              <w:bottom w:val="nil"/>
              <w:right w:val="nil"/>
            </w:tcBorders>
            <w:shd w:val="clear" w:color="000000" w:fill="000099"/>
            <w:noWrap/>
            <w:vAlign w:val="bottom"/>
            <w:hideMark/>
          </w:tcPr>
          <w:p w14:paraId="5DF18C83"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FTE</w:t>
            </w:r>
          </w:p>
        </w:tc>
        <w:tc>
          <w:tcPr>
            <w:tcW w:w="482" w:type="pct"/>
            <w:tcBorders>
              <w:top w:val="nil"/>
              <w:left w:val="nil"/>
              <w:bottom w:val="nil"/>
              <w:right w:val="nil"/>
            </w:tcBorders>
            <w:shd w:val="clear" w:color="000000" w:fill="000099"/>
            <w:noWrap/>
            <w:vAlign w:val="bottom"/>
            <w:hideMark/>
          </w:tcPr>
          <w:p w14:paraId="16A85DBA"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FTE</w:t>
            </w:r>
          </w:p>
        </w:tc>
        <w:tc>
          <w:tcPr>
            <w:tcW w:w="482" w:type="pct"/>
            <w:tcBorders>
              <w:top w:val="nil"/>
              <w:left w:val="nil"/>
              <w:bottom w:val="nil"/>
              <w:right w:val="nil"/>
            </w:tcBorders>
            <w:shd w:val="clear" w:color="000000" w:fill="000099"/>
            <w:noWrap/>
            <w:vAlign w:val="bottom"/>
            <w:hideMark/>
          </w:tcPr>
          <w:p w14:paraId="54205DC5"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FTE</w:t>
            </w:r>
          </w:p>
        </w:tc>
        <w:tc>
          <w:tcPr>
            <w:tcW w:w="482" w:type="pct"/>
            <w:tcBorders>
              <w:top w:val="nil"/>
              <w:left w:val="nil"/>
              <w:bottom w:val="nil"/>
              <w:right w:val="nil"/>
            </w:tcBorders>
            <w:shd w:val="clear" w:color="000000" w:fill="000099"/>
            <w:vAlign w:val="bottom"/>
            <w:hideMark/>
          </w:tcPr>
          <w:p w14:paraId="78BA270E"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£000</w:t>
            </w:r>
          </w:p>
        </w:tc>
        <w:tc>
          <w:tcPr>
            <w:tcW w:w="482" w:type="pct"/>
            <w:tcBorders>
              <w:top w:val="nil"/>
              <w:left w:val="nil"/>
              <w:bottom w:val="nil"/>
              <w:right w:val="nil"/>
            </w:tcBorders>
            <w:shd w:val="clear" w:color="000000" w:fill="000099"/>
            <w:vAlign w:val="bottom"/>
            <w:hideMark/>
          </w:tcPr>
          <w:p w14:paraId="187931C9" w14:textId="77777777" w:rsidR="00337970" w:rsidRPr="00337970" w:rsidRDefault="00337970" w:rsidP="00337970">
            <w:pPr>
              <w:spacing w:after="0" w:line="240" w:lineRule="auto"/>
              <w:jc w:val="center"/>
              <w:rPr>
                <w:rFonts w:eastAsia="Times New Roman" w:cs="Calibri"/>
                <w:b/>
                <w:bCs/>
                <w:color w:val="FFFFFF"/>
                <w:sz w:val="18"/>
                <w:szCs w:val="18"/>
                <w:lang w:eastAsia="en-GB"/>
              </w:rPr>
            </w:pPr>
            <w:r w:rsidRPr="00337970">
              <w:rPr>
                <w:rFonts w:eastAsia="Times New Roman" w:cs="Calibri"/>
                <w:b/>
                <w:bCs/>
                <w:color w:val="FFFFFF"/>
                <w:sz w:val="18"/>
                <w:szCs w:val="18"/>
                <w:lang w:eastAsia="en-GB"/>
              </w:rPr>
              <w:t>£000</w:t>
            </w:r>
          </w:p>
        </w:tc>
      </w:tr>
      <w:tr w:rsidR="00337970" w:rsidRPr="00337970" w14:paraId="03352648" w14:textId="77777777" w:rsidTr="005E002E">
        <w:trPr>
          <w:trHeight w:val="240"/>
        </w:trPr>
        <w:tc>
          <w:tcPr>
            <w:tcW w:w="1143" w:type="pct"/>
            <w:tcBorders>
              <w:top w:val="nil"/>
              <w:left w:val="nil"/>
              <w:bottom w:val="nil"/>
              <w:right w:val="nil"/>
            </w:tcBorders>
            <w:shd w:val="clear" w:color="000000" w:fill="FFFFFF"/>
            <w:vAlign w:val="center"/>
            <w:hideMark/>
          </w:tcPr>
          <w:p w14:paraId="13BBA1FC" w14:textId="77777777" w:rsidR="00337970" w:rsidRPr="00337970" w:rsidRDefault="00337970" w:rsidP="005E002E">
            <w:pPr>
              <w:spacing w:after="0" w:line="240" w:lineRule="auto"/>
              <w:jc w:val="left"/>
              <w:rPr>
                <w:rFonts w:eastAsia="Times New Roman" w:cs="Calibri"/>
                <w:color w:val="auto"/>
                <w:sz w:val="18"/>
                <w:szCs w:val="18"/>
                <w:lang w:eastAsia="en-GB"/>
              </w:rPr>
            </w:pPr>
            <w:r w:rsidRPr="00337970">
              <w:rPr>
                <w:rFonts w:eastAsia="Times New Roman" w:cs="Calibri"/>
                <w:color w:val="auto"/>
                <w:sz w:val="18"/>
                <w:szCs w:val="18"/>
                <w:lang w:eastAsia="en-GB"/>
              </w:rPr>
              <w:t>£0 - £20,000</w:t>
            </w:r>
          </w:p>
        </w:tc>
        <w:tc>
          <w:tcPr>
            <w:tcW w:w="482" w:type="pct"/>
            <w:tcBorders>
              <w:top w:val="nil"/>
              <w:left w:val="nil"/>
              <w:bottom w:val="nil"/>
              <w:right w:val="nil"/>
            </w:tcBorders>
            <w:shd w:val="clear" w:color="000000" w:fill="FFFFFF"/>
            <w:vAlign w:val="center"/>
            <w:hideMark/>
          </w:tcPr>
          <w:p w14:paraId="2041FF1D"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w:t>
            </w:r>
          </w:p>
        </w:tc>
        <w:tc>
          <w:tcPr>
            <w:tcW w:w="482" w:type="pct"/>
            <w:tcBorders>
              <w:top w:val="nil"/>
              <w:left w:val="nil"/>
              <w:bottom w:val="nil"/>
              <w:right w:val="nil"/>
            </w:tcBorders>
            <w:shd w:val="clear" w:color="000000" w:fill="CCECFF"/>
            <w:vAlign w:val="center"/>
            <w:hideMark/>
          </w:tcPr>
          <w:p w14:paraId="1EE4C8B7"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w:t>
            </w:r>
          </w:p>
        </w:tc>
        <w:tc>
          <w:tcPr>
            <w:tcW w:w="482" w:type="pct"/>
            <w:tcBorders>
              <w:top w:val="nil"/>
              <w:left w:val="nil"/>
              <w:bottom w:val="nil"/>
              <w:right w:val="nil"/>
            </w:tcBorders>
            <w:shd w:val="clear" w:color="000000" w:fill="FFFFFF"/>
            <w:vAlign w:val="center"/>
            <w:hideMark/>
          </w:tcPr>
          <w:p w14:paraId="49F4CB67"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3</w:t>
            </w:r>
          </w:p>
        </w:tc>
        <w:tc>
          <w:tcPr>
            <w:tcW w:w="482" w:type="pct"/>
            <w:tcBorders>
              <w:top w:val="nil"/>
              <w:left w:val="nil"/>
              <w:bottom w:val="nil"/>
              <w:right w:val="nil"/>
            </w:tcBorders>
            <w:shd w:val="clear" w:color="000000" w:fill="CCECFF"/>
            <w:vAlign w:val="center"/>
            <w:hideMark/>
          </w:tcPr>
          <w:p w14:paraId="4F2C0DBA"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1</w:t>
            </w:r>
          </w:p>
        </w:tc>
        <w:tc>
          <w:tcPr>
            <w:tcW w:w="482" w:type="pct"/>
            <w:tcBorders>
              <w:top w:val="nil"/>
              <w:left w:val="nil"/>
              <w:bottom w:val="nil"/>
              <w:right w:val="nil"/>
            </w:tcBorders>
            <w:shd w:val="clear" w:color="000000" w:fill="FFFFFF"/>
            <w:vAlign w:val="center"/>
            <w:hideMark/>
          </w:tcPr>
          <w:p w14:paraId="68177435"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3</w:t>
            </w:r>
          </w:p>
        </w:tc>
        <w:tc>
          <w:tcPr>
            <w:tcW w:w="482" w:type="pct"/>
            <w:tcBorders>
              <w:top w:val="nil"/>
              <w:left w:val="nil"/>
              <w:bottom w:val="nil"/>
              <w:right w:val="nil"/>
            </w:tcBorders>
            <w:shd w:val="clear" w:color="000000" w:fill="CCECFF"/>
            <w:vAlign w:val="center"/>
            <w:hideMark/>
          </w:tcPr>
          <w:p w14:paraId="66D1F4B6"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1</w:t>
            </w:r>
          </w:p>
        </w:tc>
        <w:tc>
          <w:tcPr>
            <w:tcW w:w="482" w:type="pct"/>
            <w:tcBorders>
              <w:top w:val="nil"/>
              <w:left w:val="nil"/>
              <w:bottom w:val="nil"/>
              <w:right w:val="nil"/>
            </w:tcBorders>
            <w:shd w:val="clear" w:color="000000" w:fill="FFFFFF"/>
            <w:vAlign w:val="center"/>
            <w:hideMark/>
          </w:tcPr>
          <w:p w14:paraId="1FA5D3B2"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19</w:t>
            </w:r>
          </w:p>
        </w:tc>
        <w:tc>
          <w:tcPr>
            <w:tcW w:w="482" w:type="pct"/>
            <w:tcBorders>
              <w:top w:val="nil"/>
              <w:left w:val="nil"/>
              <w:bottom w:val="nil"/>
              <w:right w:val="nil"/>
            </w:tcBorders>
            <w:shd w:val="clear" w:color="000000" w:fill="CCECFF"/>
            <w:vAlign w:val="center"/>
            <w:hideMark/>
          </w:tcPr>
          <w:p w14:paraId="37B70485"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2</w:t>
            </w:r>
          </w:p>
        </w:tc>
      </w:tr>
      <w:tr w:rsidR="00337970" w:rsidRPr="00337970" w14:paraId="592EA036" w14:textId="77777777" w:rsidTr="005E002E">
        <w:trPr>
          <w:trHeight w:val="240"/>
        </w:trPr>
        <w:tc>
          <w:tcPr>
            <w:tcW w:w="1143" w:type="pct"/>
            <w:tcBorders>
              <w:top w:val="nil"/>
              <w:left w:val="nil"/>
              <w:bottom w:val="nil"/>
              <w:right w:val="nil"/>
            </w:tcBorders>
            <w:shd w:val="clear" w:color="000000" w:fill="FFFFFF"/>
            <w:noWrap/>
            <w:vAlign w:val="center"/>
            <w:hideMark/>
          </w:tcPr>
          <w:p w14:paraId="290A41F8" w14:textId="77777777" w:rsidR="00337970" w:rsidRPr="00337970" w:rsidRDefault="00337970" w:rsidP="005E002E">
            <w:pPr>
              <w:spacing w:after="0" w:line="240" w:lineRule="auto"/>
              <w:jc w:val="lef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09918836"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2F23442E"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76FB53E7"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22CEB1CA"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6E87695F"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5BE25D4B"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1621E2C9"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2D05F903"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r>
      <w:tr w:rsidR="00337970" w:rsidRPr="00337970" w14:paraId="6B496180" w14:textId="77777777" w:rsidTr="005E002E">
        <w:trPr>
          <w:trHeight w:val="240"/>
        </w:trPr>
        <w:tc>
          <w:tcPr>
            <w:tcW w:w="1143" w:type="pct"/>
            <w:tcBorders>
              <w:top w:val="nil"/>
              <w:left w:val="nil"/>
              <w:bottom w:val="nil"/>
              <w:right w:val="nil"/>
            </w:tcBorders>
            <w:shd w:val="clear" w:color="000000" w:fill="FFFFFF"/>
            <w:noWrap/>
            <w:vAlign w:val="center"/>
            <w:hideMark/>
          </w:tcPr>
          <w:p w14:paraId="6CC51354" w14:textId="77777777" w:rsidR="00337970" w:rsidRPr="00337970" w:rsidRDefault="00337970" w:rsidP="005E002E">
            <w:pPr>
              <w:spacing w:after="0" w:line="240" w:lineRule="auto"/>
              <w:jc w:val="left"/>
              <w:rPr>
                <w:rFonts w:eastAsia="Times New Roman" w:cs="Calibri"/>
                <w:color w:val="auto"/>
                <w:sz w:val="18"/>
                <w:szCs w:val="18"/>
                <w:lang w:eastAsia="en-GB"/>
              </w:rPr>
            </w:pPr>
            <w:r w:rsidRPr="00337970">
              <w:rPr>
                <w:rFonts w:eastAsia="Times New Roman" w:cs="Calibri"/>
                <w:color w:val="auto"/>
                <w:sz w:val="18"/>
                <w:szCs w:val="18"/>
                <w:lang w:eastAsia="en-GB"/>
              </w:rPr>
              <w:t>£20,001 - £40,000</w:t>
            </w:r>
          </w:p>
        </w:tc>
        <w:tc>
          <w:tcPr>
            <w:tcW w:w="482" w:type="pct"/>
            <w:tcBorders>
              <w:top w:val="nil"/>
              <w:left w:val="nil"/>
              <w:bottom w:val="nil"/>
              <w:right w:val="nil"/>
            </w:tcBorders>
            <w:shd w:val="clear" w:color="000000" w:fill="FFFFFF"/>
            <w:vAlign w:val="center"/>
            <w:hideMark/>
          </w:tcPr>
          <w:p w14:paraId="5F8363F1"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w:t>
            </w:r>
          </w:p>
        </w:tc>
        <w:tc>
          <w:tcPr>
            <w:tcW w:w="482" w:type="pct"/>
            <w:tcBorders>
              <w:top w:val="nil"/>
              <w:left w:val="nil"/>
              <w:bottom w:val="nil"/>
              <w:right w:val="nil"/>
            </w:tcBorders>
            <w:shd w:val="clear" w:color="000000" w:fill="CCECFF"/>
            <w:vAlign w:val="center"/>
            <w:hideMark/>
          </w:tcPr>
          <w:p w14:paraId="4E9DFA14"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w:t>
            </w:r>
          </w:p>
        </w:tc>
        <w:tc>
          <w:tcPr>
            <w:tcW w:w="482" w:type="pct"/>
            <w:tcBorders>
              <w:top w:val="nil"/>
              <w:left w:val="nil"/>
              <w:bottom w:val="nil"/>
              <w:right w:val="nil"/>
            </w:tcBorders>
            <w:shd w:val="clear" w:color="000000" w:fill="FFFFFF"/>
            <w:vAlign w:val="center"/>
            <w:hideMark/>
          </w:tcPr>
          <w:p w14:paraId="1D8FAFD4"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1</w:t>
            </w:r>
          </w:p>
        </w:tc>
        <w:tc>
          <w:tcPr>
            <w:tcW w:w="482" w:type="pct"/>
            <w:tcBorders>
              <w:top w:val="nil"/>
              <w:left w:val="nil"/>
              <w:bottom w:val="nil"/>
              <w:right w:val="nil"/>
            </w:tcBorders>
            <w:shd w:val="clear" w:color="000000" w:fill="CCECFF"/>
            <w:vAlign w:val="center"/>
            <w:hideMark/>
          </w:tcPr>
          <w:p w14:paraId="2C591456"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w:t>
            </w:r>
          </w:p>
        </w:tc>
        <w:tc>
          <w:tcPr>
            <w:tcW w:w="482" w:type="pct"/>
            <w:tcBorders>
              <w:top w:val="nil"/>
              <w:left w:val="nil"/>
              <w:bottom w:val="nil"/>
              <w:right w:val="nil"/>
            </w:tcBorders>
            <w:shd w:val="clear" w:color="000000" w:fill="FFFFFF"/>
            <w:vAlign w:val="center"/>
            <w:hideMark/>
          </w:tcPr>
          <w:p w14:paraId="706DE32F"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1</w:t>
            </w:r>
          </w:p>
        </w:tc>
        <w:tc>
          <w:tcPr>
            <w:tcW w:w="482" w:type="pct"/>
            <w:tcBorders>
              <w:top w:val="nil"/>
              <w:left w:val="nil"/>
              <w:bottom w:val="nil"/>
              <w:right w:val="nil"/>
            </w:tcBorders>
            <w:shd w:val="clear" w:color="000000" w:fill="CCECFF"/>
            <w:vAlign w:val="center"/>
            <w:hideMark/>
          </w:tcPr>
          <w:p w14:paraId="42B167E7"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w:t>
            </w:r>
          </w:p>
        </w:tc>
        <w:tc>
          <w:tcPr>
            <w:tcW w:w="482" w:type="pct"/>
            <w:tcBorders>
              <w:top w:val="nil"/>
              <w:left w:val="nil"/>
              <w:bottom w:val="nil"/>
              <w:right w:val="nil"/>
            </w:tcBorders>
            <w:shd w:val="clear" w:color="000000" w:fill="FFFFFF"/>
            <w:vAlign w:val="center"/>
            <w:hideMark/>
          </w:tcPr>
          <w:p w14:paraId="2AEBDD10"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30</w:t>
            </w:r>
          </w:p>
        </w:tc>
        <w:tc>
          <w:tcPr>
            <w:tcW w:w="482" w:type="pct"/>
            <w:tcBorders>
              <w:top w:val="nil"/>
              <w:left w:val="nil"/>
              <w:bottom w:val="nil"/>
              <w:right w:val="nil"/>
            </w:tcBorders>
            <w:shd w:val="clear" w:color="000000" w:fill="CCECFF"/>
            <w:vAlign w:val="center"/>
            <w:hideMark/>
          </w:tcPr>
          <w:p w14:paraId="358C87FA"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w:t>
            </w:r>
          </w:p>
        </w:tc>
      </w:tr>
      <w:tr w:rsidR="00337970" w:rsidRPr="00337970" w14:paraId="77C8198D" w14:textId="77777777" w:rsidTr="005E002E">
        <w:trPr>
          <w:trHeight w:val="240"/>
        </w:trPr>
        <w:tc>
          <w:tcPr>
            <w:tcW w:w="1143" w:type="pct"/>
            <w:tcBorders>
              <w:top w:val="nil"/>
              <w:left w:val="nil"/>
              <w:bottom w:val="nil"/>
              <w:right w:val="nil"/>
            </w:tcBorders>
            <w:shd w:val="clear" w:color="000000" w:fill="FFFFFF"/>
            <w:noWrap/>
            <w:vAlign w:val="center"/>
            <w:hideMark/>
          </w:tcPr>
          <w:p w14:paraId="792E69FA" w14:textId="77777777" w:rsidR="00337970" w:rsidRPr="00337970" w:rsidRDefault="00337970" w:rsidP="005E002E">
            <w:pPr>
              <w:spacing w:after="0" w:line="240" w:lineRule="auto"/>
              <w:jc w:val="lef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04A48D0A"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37C37DCB"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61BDA152"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42E2B90E"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0EE22801"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152560A5"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FFFFFF"/>
            <w:vAlign w:val="center"/>
            <w:hideMark/>
          </w:tcPr>
          <w:p w14:paraId="55F948D8"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c>
          <w:tcPr>
            <w:tcW w:w="482" w:type="pct"/>
            <w:tcBorders>
              <w:top w:val="nil"/>
              <w:left w:val="nil"/>
              <w:bottom w:val="nil"/>
              <w:right w:val="nil"/>
            </w:tcBorders>
            <w:shd w:val="clear" w:color="000000" w:fill="CCECFF"/>
            <w:vAlign w:val="center"/>
            <w:hideMark/>
          </w:tcPr>
          <w:p w14:paraId="576C7B6E" w14:textId="77777777" w:rsidR="00337970" w:rsidRPr="00337970" w:rsidRDefault="00337970" w:rsidP="005E002E">
            <w:pPr>
              <w:spacing w:after="0" w:line="240" w:lineRule="auto"/>
              <w:jc w:val="right"/>
              <w:rPr>
                <w:rFonts w:eastAsia="Times New Roman" w:cs="Calibri"/>
                <w:color w:val="auto"/>
                <w:sz w:val="18"/>
                <w:szCs w:val="18"/>
                <w:lang w:eastAsia="en-GB"/>
              </w:rPr>
            </w:pPr>
            <w:r w:rsidRPr="00337970">
              <w:rPr>
                <w:rFonts w:eastAsia="Times New Roman" w:cs="Calibri"/>
                <w:color w:val="auto"/>
                <w:sz w:val="18"/>
                <w:szCs w:val="18"/>
                <w:lang w:eastAsia="en-GB"/>
              </w:rPr>
              <w:t> </w:t>
            </w:r>
          </w:p>
        </w:tc>
      </w:tr>
      <w:tr w:rsidR="00337970" w:rsidRPr="00337970" w14:paraId="38098EBA" w14:textId="77777777" w:rsidTr="005E002E">
        <w:trPr>
          <w:trHeight w:val="240"/>
        </w:trPr>
        <w:tc>
          <w:tcPr>
            <w:tcW w:w="1143" w:type="pct"/>
            <w:tcBorders>
              <w:top w:val="single" w:sz="4" w:space="0" w:color="auto"/>
              <w:left w:val="nil"/>
              <w:bottom w:val="single" w:sz="4" w:space="0" w:color="auto"/>
              <w:right w:val="nil"/>
            </w:tcBorders>
            <w:shd w:val="clear" w:color="000000" w:fill="FFFFFF"/>
            <w:noWrap/>
            <w:vAlign w:val="center"/>
            <w:hideMark/>
          </w:tcPr>
          <w:p w14:paraId="52893A52" w14:textId="77777777" w:rsidR="00337970" w:rsidRPr="00337970" w:rsidRDefault="00337970" w:rsidP="005E002E">
            <w:pPr>
              <w:spacing w:after="0" w:line="240" w:lineRule="auto"/>
              <w:jc w:val="left"/>
              <w:rPr>
                <w:rFonts w:eastAsia="Times New Roman" w:cs="Calibri"/>
                <w:b/>
                <w:bCs/>
                <w:color w:val="auto"/>
                <w:sz w:val="18"/>
                <w:szCs w:val="18"/>
                <w:lang w:eastAsia="en-GB"/>
              </w:rPr>
            </w:pPr>
            <w:r w:rsidRPr="00337970">
              <w:rPr>
                <w:rFonts w:eastAsia="Times New Roman" w:cs="Calibri"/>
                <w:b/>
                <w:bCs/>
                <w:color w:val="auto"/>
                <w:sz w:val="18"/>
                <w:szCs w:val="18"/>
                <w:lang w:eastAsia="en-GB"/>
              </w:rPr>
              <w:t>Total</w:t>
            </w:r>
          </w:p>
        </w:tc>
        <w:tc>
          <w:tcPr>
            <w:tcW w:w="482" w:type="pct"/>
            <w:tcBorders>
              <w:top w:val="single" w:sz="4" w:space="0" w:color="auto"/>
              <w:left w:val="nil"/>
              <w:bottom w:val="single" w:sz="4" w:space="0" w:color="auto"/>
              <w:right w:val="nil"/>
            </w:tcBorders>
            <w:shd w:val="clear" w:color="000000" w:fill="FFFFFF"/>
            <w:vAlign w:val="center"/>
            <w:hideMark/>
          </w:tcPr>
          <w:p w14:paraId="758F3E9E"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w:t>
            </w:r>
          </w:p>
        </w:tc>
        <w:tc>
          <w:tcPr>
            <w:tcW w:w="482" w:type="pct"/>
            <w:tcBorders>
              <w:top w:val="single" w:sz="4" w:space="0" w:color="auto"/>
              <w:left w:val="nil"/>
              <w:bottom w:val="single" w:sz="4" w:space="0" w:color="auto"/>
              <w:right w:val="nil"/>
            </w:tcBorders>
            <w:shd w:val="clear" w:color="000000" w:fill="CCECFF"/>
            <w:vAlign w:val="center"/>
            <w:hideMark/>
          </w:tcPr>
          <w:p w14:paraId="136223A5"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w:t>
            </w:r>
          </w:p>
        </w:tc>
        <w:tc>
          <w:tcPr>
            <w:tcW w:w="482" w:type="pct"/>
            <w:tcBorders>
              <w:top w:val="single" w:sz="4" w:space="0" w:color="auto"/>
              <w:left w:val="nil"/>
              <w:bottom w:val="single" w:sz="4" w:space="0" w:color="auto"/>
              <w:right w:val="nil"/>
            </w:tcBorders>
            <w:shd w:val="clear" w:color="000000" w:fill="FFFFFF"/>
            <w:vAlign w:val="center"/>
            <w:hideMark/>
          </w:tcPr>
          <w:p w14:paraId="36FE2850"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4</w:t>
            </w:r>
          </w:p>
        </w:tc>
        <w:tc>
          <w:tcPr>
            <w:tcW w:w="482" w:type="pct"/>
            <w:tcBorders>
              <w:top w:val="single" w:sz="4" w:space="0" w:color="auto"/>
              <w:left w:val="nil"/>
              <w:bottom w:val="single" w:sz="4" w:space="0" w:color="auto"/>
              <w:right w:val="nil"/>
            </w:tcBorders>
            <w:shd w:val="clear" w:color="000000" w:fill="CCECFF"/>
            <w:vAlign w:val="center"/>
            <w:hideMark/>
          </w:tcPr>
          <w:p w14:paraId="4F5D67D1"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1</w:t>
            </w:r>
          </w:p>
        </w:tc>
        <w:tc>
          <w:tcPr>
            <w:tcW w:w="482" w:type="pct"/>
            <w:tcBorders>
              <w:top w:val="single" w:sz="4" w:space="0" w:color="auto"/>
              <w:left w:val="nil"/>
              <w:bottom w:val="single" w:sz="4" w:space="0" w:color="auto"/>
              <w:right w:val="nil"/>
            </w:tcBorders>
            <w:shd w:val="clear" w:color="000000" w:fill="FFFFFF"/>
            <w:vAlign w:val="center"/>
            <w:hideMark/>
          </w:tcPr>
          <w:p w14:paraId="4D64A633"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4</w:t>
            </w:r>
          </w:p>
        </w:tc>
        <w:tc>
          <w:tcPr>
            <w:tcW w:w="482" w:type="pct"/>
            <w:tcBorders>
              <w:top w:val="single" w:sz="4" w:space="0" w:color="auto"/>
              <w:left w:val="nil"/>
              <w:bottom w:val="single" w:sz="4" w:space="0" w:color="auto"/>
              <w:right w:val="nil"/>
            </w:tcBorders>
            <w:shd w:val="clear" w:color="000000" w:fill="CCECFF"/>
            <w:vAlign w:val="center"/>
            <w:hideMark/>
          </w:tcPr>
          <w:p w14:paraId="2948D43C"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1</w:t>
            </w:r>
          </w:p>
        </w:tc>
        <w:tc>
          <w:tcPr>
            <w:tcW w:w="482" w:type="pct"/>
            <w:tcBorders>
              <w:top w:val="single" w:sz="4" w:space="0" w:color="auto"/>
              <w:left w:val="nil"/>
              <w:bottom w:val="single" w:sz="4" w:space="0" w:color="auto"/>
              <w:right w:val="nil"/>
            </w:tcBorders>
            <w:shd w:val="clear" w:color="000000" w:fill="FFFFFF"/>
            <w:vAlign w:val="center"/>
            <w:hideMark/>
          </w:tcPr>
          <w:p w14:paraId="6A02D63D"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49</w:t>
            </w:r>
          </w:p>
        </w:tc>
        <w:tc>
          <w:tcPr>
            <w:tcW w:w="482" w:type="pct"/>
            <w:tcBorders>
              <w:top w:val="single" w:sz="4" w:space="0" w:color="auto"/>
              <w:left w:val="nil"/>
              <w:bottom w:val="single" w:sz="4" w:space="0" w:color="auto"/>
              <w:right w:val="nil"/>
            </w:tcBorders>
            <w:shd w:val="clear" w:color="000000" w:fill="CCECFF"/>
            <w:vAlign w:val="center"/>
            <w:hideMark/>
          </w:tcPr>
          <w:p w14:paraId="09E1D734" w14:textId="77777777" w:rsidR="00337970" w:rsidRPr="00337970" w:rsidRDefault="00337970" w:rsidP="005E002E">
            <w:pPr>
              <w:spacing w:after="0" w:line="240" w:lineRule="auto"/>
              <w:jc w:val="right"/>
              <w:rPr>
                <w:rFonts w:eastAsia="Times New Roman" w:cs="Calibri"/>
                <w:b/>
                <w:bCs/>
                <w:color w:val="auto"/>
                <w:sz w:val="18"/>
                <w:szCs w:val="18"/>
                <w:lang w:eastAsia="en-GB"/>
              </w:rPr>
            </w:pPr>
            <w:r w:rsidRPr="00337970">
              <w:rPr>
                <w:rFonts w:eastAsia="Times New Roman" w:cs="Calibri"/>
                <w:b/>
                <w:bCs/>
                <w:color w:val="auto"/>
                <w:sz w:val="18"/>
                <w:szCs w:val="18"/>
                <w:lang w:eastAsia="en-GB"/>
              </w:rPr>
              <w:t>2</w:t>
            </w:r>
          </w:p>
        </w:tc>
      </w:tr>
    </w:tbl>
    <w:p w14:paraId="4C937E66" w14:textId="77777777" w:rsidR="00337970" w:rsidRDefault="00337970" w:rsidP="003356AE">
      <w:pPr>
        <w:spacing w:line="240" w:lineRule="auto"/>
        <w:rPr>
          <w:rFonts w:asciiTheme="minorHAnsi" w:hAnsiTheme="minorHAnsi"/>
          <w:color w:val="auto"/>
          <w:sz w:val="24"/>
          <w:lang w:val="en-US"/>
        </w:rPr>
      </w:pPr>
    </w:p>
    <w:p w14:paraId="5EA2FDD7" w14:textId="2CBAEFC1" w:rsidR="002575CB" w:rsidRPr="00F23985" w:rsidRDefault="002575CB" w:rsidP="003356AE">
      <w:pPr>
        <w:spacing w:line="240" w:lineRule="auto"/>
        <w:rPr>
          <w:sz w:val="10"/>
          <w:szCs w:val="14"/>
        </w:rPr>
      </w:pPr>
    </w:p>
    <w:p w14:paraId="7B1F6DEB" w14:textId="77777777" w:rsidR="00CF7F22" w:rsidRPr="00336E57" w:rsidRDefault="00CF7F22" w:rsidP="003356AE">
      <w:pPr>
        <w:spacing w:line="240" w:lineRule="auto"/>
      </w:pPr>
    </w:p>
    <w:p w14:paraId="50ECB8E0" w14:textId="77777777" w:rsidR="00207791" w:rsidRDefault="00207791">
      <w:pPr>
        <w:spacing w:after="0" w:line="240" w:lineRule="auto"/>
        <w:jc w:val="left"/>
        <w:rPr>
          <w:rFonts w:asciiTheme="minorHAnsi" w:eastAsia="Times New Roman" w:hAnsiTheme="minorHAnsi" w:cs="Times New Roman"/>
          <w:b/>
          <w:bCs/>
          <w:color w:val="25316C"/>
          <w:sz w:val="24"/>
          <w:u w:val="single"/>
        </w:rPr>
      </w:pPr>
      <w:bookmarkStart w:id="218" w:name="_Toc109632236"/>
      <w:r>
        <w:br w:type="page"/>
      </w:r>
    </w:p>
    <w:p w14:paraId="2DF10D4E" w14:textId="3A0B4556" w:rsidR="002522D4" w:rsidRPr="007C22F8" w:rsidRDefault="002522D4" w:rsidP="003356AE">
      <w:pPr>
        <w:pStyle w:val="NoteHeader"/>
        <w:spacing w:line="240" w:lineRule="auto"/>
      </w:pPr>
      <w:bookmarkStart w:id="219" w:name="_Toc230858592"/>
      <w:r w:rsidRPr="007C22F8">
        <w:lastRenderedPageBreak/>
        <w:t>Note 37 - Pension Schemes Accounted for as Defined Contribution Schemes</w:t>
      </w:r>
      <w:bookmarkEnd w:id="215"/>
      <w:bookmarkEnd w:id="216"/>
      <w:bookmarkEnd w:id="217"/>
      <w:bookmarkEnd w:id="218"/>
      <w:bookmarkEnd w:id="219"/>
      <w:r w:rsidRPr="007C22F8">
        <w:t xml:space="preserve"> </w:t>
      </w:r>
    </w:p>
    <w:p w14:paraId="139827E7" w14:textId="77777777" w:rsidR="003C09E9" w:rsidRPr="00141772" w:rsidRDefault="003C09E9" w:rsidP="003356AE">
      <w:pPr>
        <w:spacing w:line="240" w:lineRule="auto"/>
        <w:rPr>
          <w:b/>
        </w:rPr>
      </w:pPr>
    </w:p>
    <w:p w14:paraId="4F3F9618" w14:textId="77777777" w:rsidR="003C09E9" w:rsidRPr="00141772" w:rsidRDefault="003C09E9" w:rsidP="003356AE">
      <w:pPr>
        <w:pStyle w:val="VAHeadingLevel3"/>
        <w:spacing w:line="240" w:lineRule="auto"/>
        <w:rPr>
          <w:rFonts w:eastAsia="Calibri"/>
        </w:rPr>
      </w:pPr>
      <w:r w:rsidRPr="00141772">
        <w:rPr>
          <w:rFonts w:eastAsia="Calibri"/>
        </w:rPr>
        <w:t>a) Participation in Pension Schemes</w:t>
      </w:r>
    </w:p>
    <w:p w14:paraId="556DF401" w14:textId="77777777" w:rsidR="003C09E9" w:rsidRPr="00141772" w:rsidRDefault="003C09E9" w:rsidP="003356AE">
      <w:pPr>
        <w:spacing w:line="240" w:lineRule="auto"/>
        <w:rPr>
          <w:bCs/>
        </w:rPr>
      </w:pPr>
    </w:p>
    <w:p w14:paraId="44D63F79" w14:textId="1CD9AC87" w:rsidR="00A56345" w:rsidRDefault="00A56345" w:rsidP="00C556F6">
      <w:r>
        <w:t>As part of the terms and conditions of employment of its officers and other employees, the OPFCC</w:t>
      </w:r>
      <w:r w:rsidR="00C357E3">
        <w:t xml:space="preserve"> and OCC</w:t>
      </w:r>
      <w:r>
        <w:t xml:space="preserve"> offer retirement benefits.  Although these benefits will not actually be payable until the employees retire, </w:t>
      </w:r>
      <w:r w:rsidR="00C357E3">
        <w:t>there is</w:t>
      </w:r>
      <w:r>
        <w:t xml:space="preserve"> a commitment to make the payments that need to be disclosed at the time that employees earn their future entitlement.</w:t>
      </w:r>
    </w:p>
    <w:p w14:paraId="6A4DD846" w14:textId="77777777" w:rsidR="00A56345" w:rsidRDefault="00A56345" w:rsidP="003356AE">
      <w:pPr>
        <w:spacing w:line="240" w:lineRule="auto"/>
      </w:pPr>
    </w:p>
    <w:p w14:paraId="476EF508" w14:textId="77777777" w:rsidR="00A56345" w:rsidRDefault="00A56345" w:rsidP="003356AE">
      <w:pPr>
        <w:spacing w:line="240" w:lineRule="auto"/>
      </w:pPr>
      <w:r>
        <w:t>The Group participates in pension schemes for both Police Staff and Police Officers, as follows:</w:t>
      </w:r>
    </w:p>
    <w:p w14:paraId="06BB1A90" w14:textId="77777777" w:rsidR="00A56345" w:rsidRDefault="00A56345" w:rsidP="003356AE">
      <w:pPr>
        <w:spacing w:line="240" w:lineRule="auto"/>
        <w:rPr>
          <w:bCs/>
        </w:rPr>
      </w:pPr>
    </w:p>
    <w:p w14:paraId="5171EDA7" w14:textId="77777777" w:rsidR="007D015F" w:rsidRPr="007D015F" w:rsidRDefault="00803230" w:rsidP="007D015F">
      <w:pPr>
        <w:pStyle w:val="RedBullet"/>
      </w:pPr>
      <w:bookmarkStart w:id="220" w:name="_Hlk135998405"/>
      <w:r w:rsidRPr="007D015F">
        <w:rPr>
          <w:rFonts w:eastAsia="Calibri"/>
          <w:b/>
        </w:rPr>
        <w:t>The Local Government Pension Scheme</w:t>
      </w:r>
      <w:r w:rsidRPr="007D015F">
        <w:rPr>
          <w:rFonts w:eastAsia="Calibri"/>
        </w:rPr>
        <w:t xml:space="preserve"> for Police Staff, administered by West Northamptonshire Council.  This is a funded scheme, meaning that the OPFCC and OCC employees pay contributions into a fund, calculated at a level intended to balance the pension liabilities with investment assets.  These schemes are all pooled under one LGPS pension group.</w:t>
      </w:r>
      <w:r w:rsidR="007D015F">
        <w:rPr>
          <w:rFonts w:eastAsia="Calibri"/>
        </w:rPr>
        <w:t xml:space="preserve">  </w:t>
      </w:r>
    </w:p>
    <w:p w14:paraId="07E24E69" w14:textId="016D1958" w:rsidR="00803230" w:rsidRPr="00D82D02" w:rsidRDefault="00803230" w:rsidP="007D015F">
      <w:pPr>
        <w:pStyle w:val="RedBullet"/>
        <w:numPr>
          <w:ilvl w:val="0"/>
          <w:numId w:val="0"/>
        </w:numPr>
        <w:ind w:left="720"/>
      </w:pPr>
      <w:r w:rsidRPr="007D015F">
        <w:rPr>
          <w:rFonts w:eastAsia="Calibri"/>
        </w:rPr>
        <w:t xml:space="preserve">The Actuary to the Pension Fund is Hymans Robertson LLP.  </w:t>
      </w:r>
      <w:r w:rsidRPr="00E80316">
        <w:rPr>
          <w:bCs/>
        </w:rPr>
        <w:t xml:space="preserve">Contributions payable by the employer are determined by the actuary based on triennial valuations, the most recent of which was </w:t>
      </w:r>
      <w:proofErr w:type="gramStart"/>
      <w:r w:rsidRPr="00E80316">
        <w:rPr>
          <w:bCs/>
        </w:rPr>
        <w:t>at</w:t>
      </w:r>
      <w:proofErr w:type="gramEnd"/>
      <w:r w:rsidRPr="00E80316">
        <w:rPr>
          <w:bCs/>
        </w:rPr>
        <w:t xml:space="preserve"> 31 March 2026 which has changed the level of contributions from 2026/27.  </w:t>
      </w:r>
      <w:r w:rsidR="007D015F">
        <w:t>This does not impact the 2025/26 Accounts but</w:t>
      </w:r>
      <w:r w:rsidR="007D015F" w:rsidRPr="00E80316">
        <w:rPr>
          <w:bCs/>
        </w:rPr>
        <w:t xml:space="preserve"> continues the trend of reducing contributions payable also seen at the previous valuation.</w:t>
      </w:r>
    </w:p>
    <w:p w14:paraId="24CAA454" w14:textId="77777777" w:rsidR="00803230" w:rsidRPr="00141772" w:rsidRDefault="00803230" w:rsidP="00803230">
      <w:pPr>
        <w:pStyle w:val="RedBullet"/>
        <w:numPr>
          <w:ilvl w:val="0"/>
          <w:numId w:val="0"/>
        </w:numPr>
        <w:spacing w:line="240" w:lineRule="auto"/>
        <w:ind w:left="720"/>
        <w:rPr>
          <w:rFonts w:eastAsia="Calibri"/>
        </w:rPr>
      </w:pPr>
    </w:p>
    <w:p w14:paraId="0D0F0269" w14:textId="77777777" w:rsidR="00803230" w:rsidRDefault="00803230" w:rsidP="007D015F">
      <w:pPr>
        <w:pStyle w:val="RedBullet"/>
        <w:rPr>
          <w:rFonts w:eastAsia="Calibri"/>
        </w:rPr>
      </w:pPr>
      <w:r w:rsidRPr="002A750C">
        <w:rPr>
          <w:rFonts w:eastAsia="Calibri"/>
          <w:b/>
          <w:bCs/>
        </w:rPr>
        <w:t>The Police Pension Scheme</w:t>
      </w:r>
      <w:r w:rsidRPr="00141772">
        <w:rPr>
          <w:rFonts w:eastAsia="Calibri"/>
        </w:rPr>
        <w:t xml:space="preserve"> for </w:t>
      </w:r>
      <w:r>
        <w:rPr>
          <w:rFonts w:eastAsia="Calibri"/>
        </w:rPr>
        <w:t>P</w:t>
      </w:r>
      <w:r w:rsidRPr="00141772">
        <w:rPr>
          <w:rFonts w:eastAsia="Calibri"/>
        </w:rPr>
        <w:t xml:space="preserve">olice </w:t>
      </w:r>
      <w:r>
        <w:rPr>
          <w:rFonts w:eastAsia="Calibri"/>
        </w:rPr>
        <w:t>O</w:t>
      </w:r>
      <w:r w:rsidRPr="00141772">
        <w:rPr>
          <w:rFonts w:eastAsia="Calibri"/>
        </w:rPr>
        <w:t>fficers</w:t>
      </w:r>
      <w:r>
        <w:rPr>
          <w:rFonts w:eastAsia="Calibri"/>
        </w:rPr>
        <w:t xml:space="preserve"> </w:t>
      </w:r>
      <w:r w:rsidRPr="00141772">
        <w:rPr>
          <w:rFonts w:eastAsia="Calibri"/>
        </w:rPr>
        <w:t xml:space="preserve">includes </w:t>
      </w:r>
      <w:r>
        <w:rPr>
          <w:rFonts w:eastAsia="Calibri"/>
        </w:rPr>
        <w:t>the following</w:t>
      </w:r>
      <w:r w:rsidRPr="00141772">
        <w:rPr>
          <w:rFonts w:eastAsia="Calibri"/>
        </w:rPr>
        <w:t xml:space="preserve"> pension schemes; the Police Pension Scheme (PPS), the New Police Pension Scheme (NPPS) and Police Pension Scheme 2015 (PPS).  </w:t>
      </w:r>
      <w:r>
        <w:rPr>
          <w:rFonts w:eastAsia="Calibri"/>
        </w:rPr>
        <w:t>All</w:t>
      </w:r>
      <w:r w:rsidRPr="00141772">
        <w:rPr>
          <w:rFonts w:eastAsia="Calibri"/>
        </w:rPr>
        <w:t xml:space="preserve"> schemes are administered by </w:t>
      </w:r>
      <w:r>
        <w:rPr>
          <w:rFonts w:eastAsia="Calibri"/>
        </w:rPr>
        <w:t>XPS</w:t>
      </w:r>
      <w:r w:rsidRPr="00141772">
        <w:rPr>
          <w:rFonts w:eastAsia="Calibri"/>
        </w:rPr>
        <w:t xml:space="preserve"> on behalf of the </w:t>
      </w:r>
      <w:r>
        <w:rPr>
          <w:rFonts w:eastAsia="Calibri"/>
        </w:rPr>
        <w:t>Group.  These are</w:t>
      </w:r>
      <w:r w:rsidRPr="00141772">
        <w:rPr>
          <w:rFonts w:eastAsia="Calibri"/>
        </w:rPr>
        <w:t xml:space="preserve"> unfunded, meaning that there are no investment assets built-up to meet the pension’s liabilities, and cash has to be generated to meet actual pension’s payments as they eventually fall due.  </w:t>
      </w:r>
      <w:r>
        <w:rPr>
          <w:rFonts w:eastAsia="Calibri"/>
        </w:rPr>
        <w:t>These</w:t>
      </w:r>
      <w:r w:rsidRPr="00141772">
        <w:rPr>
          <w:rFonts w:eastAsia="Calibri"/>
        </w:rPr>
        <w:t xml:space="preserve"> are defined benefit schemes (lump sum payments and periodic pension).  New funding arrangements commenced on 1 April 2006 that required a police pension fund account to be created.  This account is credited with employer contributions, and any shortfall over retirements benefits paid is met by a contribution by the OPFCC</w:t>
      </w:r>
      <w:r>
        <w:rPr>
          <w:rFonts w:eastAsia="Calibri"/>
        </w:rPr>
        <w:t xml:space="preserve">, which is in turn </w:t>
      </w:r>
      <w:r w:rsidRPr="00141772">
        <w:rPr>
          <w:rFonts w:eastAsia="Calibri"/>
        </w:rPr>
        <w:t>met by Home Office Pensions Top Up Grant.</w:t>
      </w:r>
      <w:r>
        <w:rPr>
          <w:rFonts w:eastAsia="Calibri"/>
        </w:rPr>
        <w:t xml:space="preserve">  </w:t>
      </w:r>
      <w:r w:rsidRPr="00141772">
        <w:rPr>
          <w:rFonts w:eastAsia="Calibri"/>
        </w:rPr>
        <w:t>If there is a surplus</w:t>
      </w:r>
      <w:r>
        <w:rPr>
          <w:rFonts w:eastAsia="Calibri"/>
        </w:rPr>
        <w:t>,</w:t>
      </w:r>
      <w:r w:rsidRPr="00141772">
        <w:rPr>
          <w:rFonts w:eastAsia="Calibri"/>
        </w:rPr>
        <w:t xml:space="preserve"> it is paid to the OPFCC in the first instance before being recouped by the Home Office.  The level</w:t>
      </w:r>
      <w:r>
        <w:rPr>
          <w:rFonts w:eastAsia="Calibri"/>
        </w:rPr>
        <w:t>s</w:t>
      </w:r>
      <w:r w:rsidRPr="00141772">
        <w:rPr>
          <w:rFonts w:eastAsia="Calibri"/>
        </w:rPr>
        <w:t xml:space="preserve"> of pension contribution rates are set nationally by the Home Office, following review by the Government Actuary’s Department (GAD)</w:t>
      </w:r>
    </w:p>
    <w:bookmarkEnd w:id="220"/>
    <w:p w14:paraId="0D94A41D" w14:textId="61D2F266" w:rsidR="003C09E9" w:rsidRPr="00DF38D3" w:rsidRDefault="003C09E9" w:rsidP="003356AE">
      <w:pPr>
        <w:pStyle w:val="RedBullet"/>
        <w:numPr>
          <w:ilvl w:val="0"/>
          <w:numId w:val="0"/>
        </w:numPr>
        <w:spacing w:line="240" w:lineRule="auto"/>
        <w:rPr>
          <w:bCs/>
        </w:rPr>
      </w:pPr>
    </w:p>
    <w:p w14:paraId="1A68B30C" w14:textId="77777777" w:rsidR="003C09E9" w:rsidRPr="00141772" w:rsidRDefault="003C09E9" w:rsidP="003356AE">
      <w:pPr>
        <w:pStyle w:val="VAHeadingLevel3"/>
        <w:spacing w:line="240" w:lineRule="auto"/>
        <w:rPr>
          <w:rFonts w:eastAsia="Calibri"/>
        </w:rPr>
      </w:pPr>
      <w:r w:rsidRPr="00141772">
        <w:rPr>
          <w:rFonts w:eastAsia="Calibri"/>
        </w:rPr>
        <w:t>(b) Transactions Relating to Retirement Benefits</w:t>
      </w:r>
    </w:p>
    <w:p w14:paraId="3DA983EA" w14:textId="77777777" w:rsidR="003C09E9" w:rsidRPr="00141772" w:rsidRDefault="003C09E9" w:rsidP="003356AE">
      <w:pPr>
        <w:spacing w:line="240" w:lineRule="auto"/>
        <w:rPr>
          <w:bCs/>
        </w:rPr>
      </w:pPr>
    </w:p>
    <w:p w14:paraId="2B367676" w14:textId="0AD33ECF" w:rsidR="003C09E9" w:rsidRPr="003C09E9" w:rsidRDefault="003C09E9" w:rsidP="00C556F6">
      <w:pPr>
        <w:rPr>
          <w:highlight w:val="yellow"/>
        </w:rPr>
      </w:pPr>
      <w:r w:rsidRPr="00141772">
        <w:t>Under IAS</w:t>
      </w:r>
      <w:r w:rsidR="008268B9">
        <w:t xml:space="preserve"> </w:t>
      </w:r>
      <w:r w:rsidRPr="00141772">
        <w:t>19</w:t>
      </w:r>
      <w:r>
        <w:t>,</w:t>
      </w:r>
      <w:r w:rsidRPr="00141772">
        <w:t xml:space="preserve"> the cost of retirement benefits is recognised in the </w:t>
      </w:r>
      <w:r>
        <w:t xml:space="preserve">Comprehensive </w:t>
      </w:r>
      <w:r w:rsidRPr="00141772">
        <w:t xml:space="preserve">Income and Expenditure Account when employees earn them, rather than when the benefits are actually paid as pensions. </w:t>
      </w:r>
      <w:r>
        <w:t xml:space="preserve"> </w:t>
      </w:r>
      <w:r w:rsidRPr="00141772">
        <w:t xml:space="preserve">However, the charge that is required to be made against the precept is based on the cash payable in the year, by reversing the real cost of retirement </w:t>
      </w:r>
      <w:r w:rsidRPr="003C09E9">
        <w:t>benefits out of the Statement of Movement in Reserves in the General</w:t>
      </w:r>
      <w:r w:rsidRPr="00141772">
        <w:t xml:space="preserve"> Fund Balance. </w:t>
      </w:r>
    </w:p>
    <w:p w14:paraId="636B4729" w14:textId="77777777" w:rsidR="003C09E9" w:rsidRPr="00141772" w:rsidRDefault="003C09E9" w:rsidP="003356AE">
      <w:pPr>
        <w:spacing w:line="240" w:lineRule="auto"/>
        <w:rPr>
          <w:bCs/>
        </w:rPr>
      </w:pPr>
    </w:p>
    <w:p w14:paraId="2595D5E0" w14:textId="77777777" w:rsidR="003C09E9" w:rsidRPr="00141772" w:rsidRDefault="003C09E9" w:rsidP="003356AE">
      <w:pPr>
        <w:pStyle w:val="VAHeadingLevel3"/>
        <w:spacing w:line="240" w:lineRule="auto"/>
        <w:rPr>
          <w:rFonts w:eastAsia="Calibri"/>
        </w:rPr>
      </w:pPr>
      <w:r w:rsidRPr="00141772">
        <w:rPr>
          <w:rFonts w:eastAsia="Calibri"/>
        </w:rPr>
        <w:t>Pensions liabilities and future considerations</w:t>
      </w:r>
    </w:p>
    <w:p w14:paraId="003AAE06" w14:textId="77777777" w:rsidR="003C09E9" w:rsidRPr="00141772" w:rsidRDefault="003C09E9" w:rsidP="003356AE">
      <w:pPr>
        <w:spacing w:line="240" w:lineRule="auto"/>
        <w:rPr>
          <w:bCs/>
          <w:iCs/>
        </w:rPr>
      </w:pPr>
    </w:p>
    <w:p w14:paraId="6632BFC5" w14:textId="0FDC48F0" w:rsidR="003C09E9" w:rsidRPr="00141772" w:rsidRDefault="003C09E9" w:rsidP="00C556F6">
      <w:r w:rsidRPr="00141772">
        <w:t xml:space="preserve">The current service costs contained in the table below are </w:t>
      </w:r>
      <w:r w:rsidR="009657AF">
        <w:t>part of</w:t>
      </w:r>
      <w:r w:rsidRPr="00141772">
        <w:t xml:space="preserve"> the following values contained within the Comprehensive Income and Expenditure Statement. </w:t>
      </w:r>
    </w:p>
    <w:p w14:paraId="43F3CD1F" w14:textId="77777777" w:rsidR="003C09E9" w:rsidRPr="00141772" w:rsidRDefault="003C09E9" w:rsidP="003356AE">
      <w:pPr>
        <w:spacing w:line="240" w:lineRule="auto"/>
        <w:rPr>
          <w:bCs/>
          <w:iCs/>
        </w:rPr>
      </w:pPr>
    </w:p>
    <w:p w14:paraId="7B10FD58" w14:textId="1DEB666B" w:rsidR="003C09E9" w:rsidRPr="00C556F6" w:rsidRDefault="003C09E9" w:rsidP="00C556F6">
      <w:pPr>
        <w:pStyle w:val="RedBullet"/>
      </w:pPr>
      <w:r w:rsidRPr="00C556F6">
        <w:t xml:space="preserve">Local Government Pension </w:t>
      </w:r>
      <w:r w:rsidR="007002A7" w:rsidRPr="00C556F6">
        <w:t>Scheme:</w:t>
      </w:r>
      <w:r w:rsidRPr="00C556F6">
        <w:t xml:space="preserve"> within Police Staff Pay and Allowances</w:t>
      </w:r>
    </w:p>
    <w:p w14:paraId="55D40610" w14:textId="6AC4CA0C" w:rsidR="003C09E9" w:rsidRPr="00C556F6" w:rsidRDefault="003C09E9" w:rsidP="00C556F6">
      <w:pPr>
        <w:pStyle w:val="RedBullet"/>
      </w:pPr>
      <w:r w:rsidRPr="00C556F6">
        <w:t xml:space="preserve">Police Pension </w:t>
      </w:r>
      <w:r w:rsidR="007002A7" w:rsidRPr="00C556F6">
        <w:t>Scheme:</w:t>
      </w:r>
      <w:r w:rsidRPr="00C556F6">
        <w:t xml:space="preserve"> within Police Officer Pay and Allowances</w:t>
      </w:r>
    </w:p>
    <w:p w14:paraId="3E2FEBF4" w14:textId="0284F87A" w:rsidR="009E53F6" w:rsidRDefault="009E53F6" w:rsidP="003356AE">
      <w:pPr>
        <w:spacing w:line="240" w:lineRule="auto"/>
        <w:jc w:val="left"/>
        <w:rPr>
          <w:rFonts w:asciiTheme="minorHAnsi" w:eastAsia="Calibri" w:hAnsiTheme="minorHAnsi" w:cs="Times New Roman"/>
          <w:bCs/>
          <w:color w:val="25316C"/>
          <w:sz w:val="24"/>
        </w:rPr>
      </w:pPr>
    </w:p>
    <w:p w14:paraId="3EA0F9C0" w14:textId="4C494F53" w:rsidR="00A56345" w:rsidRDefault="00A56345" w:rsidP="003356AE">
      <w:pPr>
        <w:pStyle w:val="VAHeadingLevel2"/>
        <w:spacing w:line="240" w:lineRule="auto"/>
        <w:rPr>
          <w:rFonts w:ascii="Calibri" w:eastAsia="Calibri" w:hAnsi="Calibri"/>
          <w:color w:val="990033"/>
        </w:rPr>
      </w:pPr>
      <w:r>
        <w:rPr>
          <w:rFonts w:eastAsia="Calibri"/>
        </w:rPr>
        <w:lastRenderedPageBreak/>
        <w:t>Group Pensions Revenue Items</w:t>
      </w:r>
      <w:r w:rsidR="009D3D44" w:rsidRPr="009D3D44">
        <w:rPr>
          <w:highlight w:val="yellow"/>
          <w:lang w:val="pt-BR"/>
        </w:rPr>
        <w:t xml:space="preserve"> </w:t>
      </w:r>
    </w:p>
    <w:p w14:paraId="246D7D4F" w14:textId="67727337" w:rsidR="00F210FB" w:rsidRPr="00AA1DEB" w:rsidRDefault="00F210FB" w:rsidP="003356AE">
      <w:pPr>
        <w:pStyle w:val="RedBullet"/>
        <w:numPr>
          <w:ilvl w:val="0"/>
          <w:numId w:val="0"/>
        </w:numPr>
        <w:spacing w:line="240" w:lineRule="auto"/>
        <w:rPr>
          <w:rFonts w:eastAsiaTheme="minorHAnsi" w:cstheme="minorBidi"/>
          <w:color w:val="auto"/>
          <w:sz w:val="14"/>
          <w:szCs w:val="14"/>
          <w:lang w:val="en-US"/>
        </w:rPr>
      </w:pPr>
    </w:p>
    <w:tbl>
      <w:tblPr>
        <w:tblW w:w="5147" w:type="pct"/>
        <w:tblLook w:val="04A0" w:firstRow="1" w:lastRow="0" w:firstColumn="1" w:lastColumn="0" w:noHBand="0" w:noVBand="1"/>
      </w:tblPr>
      <w:tblGrid>
        <w:gridCol w:w="4110"/>
        <w:gridCol w:w="810"/>
        <w:gridCol w:w="811"/>
        <w:gridCol w:w="841"/>
        <w:gridCol w:w="811"/>
        <w:gridCol w:w="841"/>
        <w:gridCol w:w="893"/>
        <w:gridCol w:w="222"/>
      </w:tblGrid>
      <w:tr w:rsidR="001A39AD" w:rsidRPr="001A39AD" w14:paraId="4A401045" w14:textId="77777777" w:rsidTr="001A39AD">
        <w:trPr>
          <w:gridAfter w:val="1"/>
          <w:wAfter w:w="119" w:type="pct"/>
          <w:trHeight w:val="300"/>
        </w:trPr>
        <w:tc>
          <w:tcPr>
            <w:tcW w:w="2201" w:type="pct"/>
            <w:vMerge w:val="restart"/>
            <w:tcBorders>
              <w:top w:val="nil"/>
              <w:left w:val="nil"/>
              <w:bottom w:val="nil"/>
              <w:right w:val="nil"/>
            </w:tcBorders>
            <w:shd w:val="clear" w:color="000000" w:fill="000099"/>
            <w:vAlign w:val="center"/>
            <w:hideMark/>
          </w:tcPr>
          <w:p w14:paraId="7718E348" w14:textId="77777777" w:rsidR="001A39AD" w:rsidRPr="001A39AD" w:rsidRDefault="001A39AD" w:rsidP="001A39AD">
            <w:pPr>
              <w:spacing w:after="0" w:line="240" w:lineRule="auto"/>
              <w:jc w:val="left"/>
              <w:rPr>
                <w:rFonts w:eastAsia="Times New Roman" w:cs="Calibri"/>
                <w:color w:val="FFFFFF"/>
                <w:sz w:val="16"/>
                <w:szCs w:val="16"/>
                <w:lang w:eastAsia="en-GB"/>
              </w:rPr>
            </w:pPr>
            <w:r w:rsidRPr="001A39AD">
              <w:rPr>
                <w:rFonts w:eastAsia="Times New Roman" w:cs="Calibri"/>
                <w:color w:val="FFFFFF"/>
                <w:sz w:val="16"/>
                <w:szCs w:val="16"/>
                <w:lang w:eastAsia="en-GB"/>
              </w:rPr>
              <w:t> </w:t>
            </w:r>
          </w:p>
        </w:tc>
        <w:tc>
          <w:tcPr>
            <w:tcW w:w="868" w:type="pct"/>
            <w:gridSpan w:val="2"/>
            <w:vMerge w:val="restart"/>
            <w:tcBorders>
              <w:top w:val="nil"/>
              <w:left w:val="nil"/>
              <w:bottom w:val="nil"/>
              <w:right w:val="nil"/>
            </w:tcBorders>
            <w:shd w:val="clear" w:color="000000" w:fill="000099"/>
            <w:vAlign w:val="center"/>
            <w:hideMark/>
          </w:tcPr>
          <w:p w14:paraId="10D42B2F"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Local Government</w:t>
            </w:r>
            <w:r w:rsidRPr="001A39AD">
              <w:rPr>
                <w:rFonts w:eastAsia="Times New Roman" w:cs="Calibri"/>
                <w:b/>
                <w:bCs/>
                <w:color w:val="FFFFFF"/>
                <w:sz w:val="16"/>
                <w:szCs w:val="16"/>
                <w:lang w:eastAsia="en-GB"/>
              </w:rPr>
              <w:br/>
              <w:t>Pension Scheme</w:t>
            </w:r>
          </w:p>
        </w:tc>
        <w:tc>
          <w:tcPr>
            <w:tcW w:w="884" w:type="pct"/>
            <w:gridSpan w:val="2"/>
            <w:vMerge w:val="restart"/>
            <w:tcBorders>
              <w:top w:val="nil"/>
              <w:left w:val="nil"/>
              <w:bottom w:val="nil"/>
              <w:right w:val="nil"/>
            </w:tcBorders>
            <w:shd w:val="clear" w:color="000000" w:fill="000099"/>
            <w:vAlign w:val="center"/>
            <w:hideMark/>
          </w:tcPr>
          <w:p w14:paraId="36895E73"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Police Pension Scheme</w:t>
            </w:r>
          </w:p>
        </w:tc>
        <w:tc>
          <w:tcPr>
            <w:tcW w:w="928" w:type="pct"/>
            <w:gridSpan w:val="2"/>
            <w:vMerge w:val="restart"/>
            <w:tcBorders>
              <w:top w:val="nil"/>
              <w:left w:val="nil"/>
              <w:bottom w:val="nil"/>
              <w:right w:val="nil"/>
            </w:tcBorders>
            <w:shd w:val="clear" w:color="000000" w:fill="000099"/>
            <w:vAlign w:val="center"/>
            <w:hideMark/>
          </w:tcPr>
          <w:p w14:paraId="4EF93A58"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TOTAL</w:t>
            </w:r>
          </w:p>
        </w:tc>
      </w:tr>
      <w:tr w:rsidR="001A39AD" w:rsidRPr="001A39AD" w14:paraId="3B4A4275" w14:textId="77777777" w:rsidTr="001A39AD">
        <w:trPr>
          <w:trHeight w:val="210"/>
        </w:trPr>
        <w:tc>
          <w:tcPr>
            <w:tcW w:w="2201" w:type="pct"/>
            <w:vMerge/>
            <w:tcBorders>
              <w:top w:val="nil"/>
              <w:left w:val="nil"/>
              <w:bottom w:val="nil"/>
              <w:right w:val="nil"/>
            </w:tcBorders>
            <w:vAlign w:val="center"/>
            <w:hideMark/>
          </w:tcPr>
          <w:p w14:paraId="16BCF9CA" w14:textId="77777777" w:rsidR="001A39AD" w:rsidRPr="001A39AD" w:rsidRDefault="001A39AD" w:rsidP="001A39AD">
            <w:pPr>
              <w:spacing w:after="0" w:line="240" w:lineRule="auto"/>
              <w:jc w:val="left"/>
              <w:rPr>
                <w:rFonts w:eastAsia="Times New Roman" w:cs="Calibri"/>
                <w:color w:val="FFFFFF"/>
                <w:sz w:val="16"/>
                <w:szCs w:val="16"/>
                <w:lang w:eastAsia="en-GB"/>
              </w:rPr>
            </w:pPr>
          </w:p>
        </w:tc>
        <w:tc>
          <w:tcPr>
            <w:tcW w:w="868" w:type="pct"/>
            <w:gridSpan w:val="2"/>
            <w:vMerge/>
            <w:tcBorders>
              <w:top w:val="nil"/>
              <w:left w:val="nil"/>
              <w:bottom w:val="nil"/>
              <w:right w:val="nil"/>
            </w:tcBorders>
            <w:vAlign w:val="center"/>
            <w:hideMark/>
          </w:tcPr>
          <w:p w14:paraId="6AC7823D" w14:textId="77777777" w:rsidR="001A39AD" w:rsidRPr="001A39AD" w:rsidRDefault="001A39AD" w:rsidP="001A39AD">
            <w:pPr>
              <w:spacing w:after="0" w:line="240" w:lineRule="auto"/>
              <w:jc w:val="left"/>
              <w:rPr>
                <w:rFonts w:eastAsia="Times New Roman" w:cs="Calibri"/>
                <w:b/>
                <w:bCs/>
                <w:color w:val="FFFFFF"/>
                <w:sz w:val="16"/>
                <w:szCs w:val="16"/>
                <w:lang w:eastAsia="en-GB"/>
              </w:rPr>
            </w:pPr>
          </w:p>
        </w:tc>
        <w:tc>
          <w:tcPr>
            <w:tcW w:w="884" w:type="pct"/>
            <w:gridSpan w:val="2"/>
            <w:vMerge/>
            <w:tcBorders>
              <w:top w:val="nil"/>
              <w:left w:val="nil"/>
              <w:bottom w:val="nil"/>
              <w:right w:val="nil"/>
            </w:tcBorders>
            <w:vAlign w:val="center"/>
            <w:hideMark/>
          </w:tcPr>
          <w:p w14:paraId="02DC3F6C" w14:textId="77777777" w:rsidR="001A39AD" w:rsidRPr="001A39AD" w:rsidRDefault="001A39AD" w:rsidP="001A39AD">
            <w:pPr>
              <w:spacing w:after="0" w:line="240" w:lineRule="auto"/>
              <w:jc w:val="left"/>
              <w:rPr>
                <w:rFonts w:eastAsia="Times New Roman" w:cs="Calibri"/>
                <w:b/>
                <w:bCs/>
                <w:color w:val="FFFFFF"/>
                <w:sz w:val="16"/>
                <w:szCs w:val="16"/>
                <w:lang w:eastAsia="en-GB"/>
              </w:rPr>
            </w:pPr>
          </w:p>
        </w:tc>
        <w:tc>
          <w:tcPr>
            <w:tcW w:w="928" w:type="pct"/>
            <w:gridSpan w:val="2"/>
            <w:vMerge/>
            <w:tcBorders>
              <w:top w:val="nil"/>
              <w:left w:val="nil"/>
              <w:bottom w:val="nil"/>
              <w:right w:val="nil"/>
            </w:tcBorders>
            <w:vAlign w:val="center"/>
            <w:hideMark/>
          </w:tcPr>
          <w:p w14:paraId="5679BD04" w14:textId="77777777" w:rsidR="001A39AD" w:rsidRPr="001A39AD" w:rsidRDefault="001A39AD" w:rsidP="001A39AD">
            <w:pPr>
              <w:spacing w:after="0" w:line="240" w:lineRule="auto"/>
              <w:jc w:val="left"/>
              <w:rPr>
                <w:rFonts w:eastAsia="Times New Roman" w:cs="Calibri"/>
                <w:b/>
                <w:bCs/>
                <w:color w:val="FFFFFF"/>
                <w:sz w:val="16"/>
                <w:szCs w:val="16"/>
                <w:lang w:eastAsia="en-GB"/>
              </w:rPr>
            </w:pPr>
          </w:p>
        </w:tc>
        <w:tc>
          <w:tcPr>
            <w:tcW w:w="119" w:type="pct"/>
            <w:tcBorders>
              <w:top w:val="nil"/>
              <w:left w:val="nil"/>
              <w:bottom w:val="nil"/>
              <w:right w:val="nil"/>
            </w:tcBorders>
            <w:noWrap/>
            <w:vAlign w:val="bottom"/>
            <w:hideMark/>
          </w:tcPr>
          <w:p w14:paraId="175537CC" w14:textId="77777777" w:rsidR="001A39AD" w:rsidRPr="001A39AD" w:rsidRDefault="001A39AD" w:rsidP="001A39AD">
            <w:pPr>
              <w:spacing w:after="0" w:line="240" w:lineRule="auto"/>
              <w:jc w:val="center"/>
              <w:rPr>
                <w:rFonts w:eastAsia="Times New Roman" w:cs="Calibri"/>
                <w:b/>
                <w:bCs/>
                <w:color w:val="FFFFFF"/>
                <w:sz w:val="16"/>
                <w:szCs w:val="16"/>
                <w:lang w:eastAsia="en-GB"/>
              </w:rPr>
            </w:pPr>
          </w:p>
        </w:tc>
      </w:tr>
      <w:tr w:rsidR="001A39AD" w:rsidRPr="001A39AD" w14:paraId="586E3601" w14:textId="77777777" w:rsidTr="001A39AD">
        <w:trPr>
          <w:trHeight w:val="210"/>
        </w:trPr>
        <w:tc>
          <w:tcPr>
            <w:tcW w:w="2201" w:type="pct"/>
            <w:vMerge w:val="restart"/>
            <w:tcBorders>
              <w:top w:val="nil"/>
              <w:left w:val="nil"/>
              <w:bottom w:val="single" w:sz="4" w:space="0" w:color="000000"/>
              <w:right w:val="nil"/>
            </w:tcBorders>
            <w:shd w:val="clear" w:color="000000" w:fill="000099"/>
            <w:vAlign w:val="center"/>
            <w:hideMark/>
          </w:tcPr>
          <w:p w14:paraId="2AE468EF" w14:textId="77777777" w:rsidR="001A39AD" w:rsidRPr="001A39AD" w:rsidRDefault="001A39AD" w:rsidP="001A39AD">
            <w:pPr>
              <w:spacing w:after="0" w:line="240" w:lineRule="auto"/>
              <w:jc w:val="left"/>
              <w:rPr>
                <w:rFonts w:eastAsia="Times New Roman" w:cs="Calibri"/>
                <w:b/>
                <w:bCs/>
                <w:color w:val="FFFFFF"/>
                <w:sz w:val="16"/>
                <w:szCs w:val="16"/>
                <w:lang w:eastAsia="en-GB"/>
              </w:rPr>
            </w:pPr>
            <w:r w:rsidRPr="001A39AD">
              <w:rPr>
                <w:rFonts w:eastAsia="Times New Roman" w:cs="Calibri"/>
                <w:b/>
                <w:bCs/>
                <w:color w:val="FFFFFF"/>
                <w:sz w:val="16"/>
                <w:szCs w:val="16"/>
                <w:lang w:eastAsia="en-GB"/>
              </w:rPr>
              <w:t>Comprehensive Income and Expenditure</w:t>
            </w:r>
          </w:p>
        </w:tc>
        <w:tc>
          <w:tcPr>
            <w:tcW w:w="434" w:type="pct"/>
            <w:tcBorders>
              <w:top w:val="nil"/>
              <w:left w:val="nil"/>
              <w:bottom w:val="nil"/>
              <w:right w:val="nil"/>
            </w:tcBorders>
            <w:shd w:val="clear" w:color="000000" w:fill="000099"/>
            <w:vAlign w:val="center"/>
            <w:hideMark/>
          </w:tcPr>
          <w:p w14:paraId="179A57EB"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2024/25</w:t>
            </w:r>
          </w:p>
        </w:tc>
        <w:tc>
          <w:tcPr>
            <w:tcW w:w="434" w:type="pct"/>
            <w:tcBorders>
              <w:top w:val="nil"/>
              <w:left w:val="nil"/>
              <w:bottom w:val="nil"/>
              <w:right w:val="nil"/>
            </w:tcBorders>
            <w:shd w:val="clear" w:color="000000" w:fill="000099"/>
            <w:vAlign w:val="center"/>
            <w:hideMark/>
          </w:tcPr>
          <w:p w14:paraId="172B839A"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2025/26</w:t>
            </w:r>
          </w:p>
        </w:tc>
        <w:tc>
          <w:tcPr>
            <w:tcW w:w="450" w:type="pct"/>
            <w:tcBorders>
              <w:top w:val="nil"/>
              <w:left w:val="nil"/>
              <w:bottom w:val="nil"/>
              <w:right w:val="nil"/>
            </w:tcBorders>
            <w:shd w:val="clear" w:color="000000" w:fill="000099"/>
            <w:vAlign w:val="center"/>
            <w:hideMark/>
          </w:tcPr>
          <w:p w14:paraId="7B646B61"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2024/25</w:t>
            </w:r>
          </w:p>
        </w:tc>
        <w:tc>
          <w:tcPr>
            <w:tcW w:w="434" w:type="pct"/>
            <w:tcBorders>
              <w:top w:val="nil"/>
              <w:left w:val="nil"/>
              <w:bottom w:val="nil"/>
              <w:right w:val="nil"/>
            </w:tcBorders>
            <w:shd w:val="clear" w:color="000000" w:fill="000099"/>
            <w:vAlign w:val="center"/>
            <w:hideMark/>
          </w:tcPr>
          <w:p w14:paraId="56787088"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2025/26</w:t>
            </w:r>
          </w:p>
        </w:tc>
        <w:tc>
          <w:tcPr>
            <w:tcW w:w="450" w:type="pct"/>
            <w:tcBorders>
              <w:top w:val="nil"/>
              <w:left w:val="nil"/>
              <w:bottom w:val="nil"/>
              <w:right w:val="nil"/>
            </w:tcBorders>
            <w:shd w:val="clear" w:color="000000" w:fill="000099"/>
            <w:vAlign w:val="center"/>
            <w:hideMark/>
          </w:tcPr>
          <w:p w14:paraId="6581FAD4"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2024/25</w:t>
            </w:r>
          </w:p>
        </w:tc>
        <w:tc>
          <w:tcPr>
            <w:tcW w:w="478" w:type="pct"/>
            <w:tcBorders>
              <w:top w:val="nil"/>
              <w:left w:val="nil"/>
              <w:bottom w:val="nil"/>
              <w:right w:val="nil"/>
            </w:tcBorders>
            <w:shd w:val="clear" w:color="000000" w:fill="000099"/>
            <w:vAlign w:val="center"/>
            <w:hideMark/>
          </w:tcPr>
          <w:p w14:paraId="468086A9"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2025/26</w:t>
            </w:r>
          </w:p>
        </w:tc>
        <w:tc>
          <w:tcPr>
            <w:tcW w:w="119" w:type="pct"/>
            <w:vAlign w:val="center"/>
            <w:hideMark/>
          </w:tcPr>
          <w:p w14:paraId="4BBACD99"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43E6263C" w14:textId="77777777" w:rsidTr="001A39AD">
        <w:trPr>
          <w:trHeight w:val="210"/>
        </w:trPr>
        <w:tc>
          <w:tcPr>
            <w:tcW w:w="2201" w:type="pct"/>
            <w:vMerge/>
            <w:tcBorders>
              <w:top w:val="nil"/>
              <w:left w:val="nil"/>
              <w:bottom w:val="single" w:sz="4" w:space="0" w:color="000000"/>
              <w:right w:val="nil"/>
            </w:tcBorders>
            <w:vAlign w:val="center"/>
            <w:hideMark/>
          </w:tcPr>
          <w:p w14:paraId="171AB2E3" w14:textId="77777777" w:rsidR="001A39AD" w:rsidRPr="001A39AD" w:rsidRDefault="001A39AD" w:rsidP="001A39AD">
            <w:pPr>
              <w:spacing w:after="0" w:line="240" w:lineRule="auto"/>
              <w:jc w:val="left"/>
              <w:rPr>
                <w:rFonts w:eastAsia="Times New Roman" w:cs="Calibri"/>
                <w:b/>
                <w:bCs/>
                <w:color w:val="FFFFFF"/>
                <w:sz w:val="16"/>
                <w:szCs w:val="16"/>
                <w:lang w:eastAsia="en-GB"/>
              </w:rPr>
            </w:pPr>
          </w:p>
        </w:tc>
        <w:tc>
          <w:tcPr>
            <w:tcW w:w="434" w:type="pct"/>
            <w:tcBorders>
              <w:top w:val="nil"/>
              <w:left w:val="nil"/>
              <w:bottom w:val="nil"/>
              <w:right w:val="nil"/>
            </w:tcBorders>
            <w:shd w:val="clear" w:color="000000" w:fill="000099"/>
            <w:vAlign w:val="center"/>
            <w:hideMark/>
          </w:tcPr>
          <w:p w14:paraId="764D5EDE"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 </w:t>
            </w:r>
          </w:p>
        </w:tc>
        <w:tc>
          <w:tcPr>
            <w:tcW w:w="434" w:type="pct"/>
            <w:tcBorders>
              <w:top w:val="nil"/>
              <w:left w:val="nil"/>
              <w:bottom w:val="nil"/>
              <w:right w:val="nil"/>
            </w:tcBorders>
            <w:shd w:val="clear" w:color="000000" w:fill="000099"/>
            <w:vAlign w:val="center"/>
            <w:hideMark/>
          </w:tcPr>
          <w:p w14:paraId="113D5187"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 </w:t>
            </w:r>
          </w:p>
        </w:tc>
        <w:tc>
          <w:tcPr>
            <w:tcW w:w="450" w:type="pct"/>
            <w:tcBorders>
              <w:top w:val="nil"/>
              <w:left w:val="nil"/>
              <w:bottom w:val="nil"/>
              <w:right w:val="nil"/>
            </w:tcBorders>
            <w:shd w:val="clear" w:color="000000" w:fill="000099"/>
            <w:vAlign w:val="center"/>
            <w:hideMark/>
          </w:tcPr>
          <w:p w14:paraId="786D6AA7"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 </w:t>
            </w:r>
          </w:p>
        </w:tc>
        <w:tc>
          <w:tcPr>
            <w:tcW w:w="434" w:type="pct"/>
            <w:tcBorders>
              <w:top w:val="nil"/>
              <w:left w:val="nil"/>
              <w:bottom w:val="nil"/>
              <w:right w:val="nil"/>
            </w:tcBorders>
            <w:shd w:val="clear" w:color="000000" w:fill="000099"/>
            <w:vAlign w:val="center"/>
            <w:hideMark/>
          </w:tcPr>
          <w:p w14:paraId="18A174DE"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 </w:t>
            </w:r>
          </w:p>
        </w:tc>
        <w:tc>
          <w:tcPr>
            <w:tcW w:w="450" w:type="pct"/>
            <w:tcBorders>
              <w:top w:val="nil"/>
              <w:left w:val="nil"/>
              <w:bottom w:val="nil"/>
              <w:right w:val="nil"/>
            </w:tcBorders>
            <w:shd w:val="clear" w:color="000000" w:fill="000099"/>
            <w:vAlign w:val="center"/>
            <w:hideMark/>
          </w:tcPr>
          <w:p w14:paraId="050D2738"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 </w:t>
            </w:r>
          </w:p>
        </w:tc>
        <w:tc>
          <w:tcPr>
            <w:tcW w:w="478" w:type="pct"/>
            <w:tcBorders>
              <w:top w:val="nil"/>
              <w:left w:val="nil"/>
              <w:bottom w:val="nil"/>
              <w:right w:val="nil"/>
            </w:tcBorders>
            <w:shd w:val="clear" w:color="000000" w:fill="000099"/>
            <w:vAlign w:val="center"/>
            <w:hideMark/>
          </w:tcPr>
          <w:p w14:paraId="64A63628"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 </w:t>
            </w:r>
          </w:p>
        </w:tc>
        <w:tc>
          <w:tcPr>
            <w:tcW w:w="119" w:type="pct"/>
            <w:vAlign w:val="center"/>
            <w:hideMark/>
          </w:tcPr>
          <w:p w14:paraId="577879D1"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48338365" w14:textId="77777777" w:rsidTr="001A39AD">
        <w:trPr>
          <w:trHeight w:val="210"/>
        </w:trPr>
        <w:tc>
          <w:tcPr>
            <w:tcW w:w="2201" w:type="pct"/>
            <w:vMerge/>
            <w:tcBorders>
              <w:top w:val="nil"/>
              <w:left w:val="nil"/>
              <w:bottom w:val="single" w:sz="4" w:space="0" w:color="000000"/>
              <w:right w:val="nil"/>
            </w:tcBorders>
            <w:vAlign w:val="center"/>
            <w:hideMark/>
          </w:tcPr>
          <w:p w14:paraId="6F55A76E" w14:textId="77777777" w:rsidR="001A39AD" w:rsidRPr="001A39AD" w:rsidRDefault="001A39AD" w:rsidP="001A39AD">
            <w:pPr>
              <w:spacing w:after="0" w:line="240" w:lineRule="auto"/>
              <w:jc w:val="left"/>
              <w:rPr>
                <w:rFonts w:eastAsia="Times New Roman" w:cs="Calibri"/>
                <w:b/>
                <w:bCs/>
                <w:color w:val="FFFFFF"/>
                <w:sz w:val="16"/>
                <w:szCs w:val="16"/>
                <w:lang w:eastAsia="en-GB"/>
              </w:rPr>
            </w:pPr>
          </w:p>
        </w:tc>
        <w:tc>
          <w:tcPr>
            <w:tcW w:w="434" w:type="pct"/>
            <w:tcBorders>
              <w:top w:val="nil"/>
              <w:left w:val="nil"/>
              <w:bottom w:val="nil"/>
              <w:right w:val="nil"/>
            </w:tcBorders>
            <w:shd w:val="clear" w:color="000000" w:fill="000099"/>
            <w:noWrap/>
            <w:vAlign w:val="center"/>
            <w:hideMark/>
          </w:tcPr>
          <w:p w14:paraId="44052CC8"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£000</w:t>
            </w:r>
          </w:p>
        </w:tc>
        <w:tc>
          <w:tcPr>
            <w:tcW w:w="434" w:type="pct"/>
            <w:tcBorders>
              <w:top w:val="nil"/>
              <w:left w:val="nil"/>
              <w:bottom w:val="nil"/>
              <w:right w:val="nil"/>
            </w:tcBorders>
            <w:shd w:val="clear" w:color="000000" w:fill="000099"/>
            <w:noWrap/>
            <w:vAlign w:val="center"/>
            <w:hideMark/>
          </w:tcPr>
          <w:p w14:paraId="1593DE62"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£000</w:t>
            </w:r>
          </w:p>
        </w:tc>
        <w:tc>
          <w:tcPr>
            <w:tcW w:w="450" w:type="pct"/>
            <w:tcBorders>
              <w:top w:val="nil"/>
              <w:left w:val="nil"/>
              <w:bottom w:val="nil"/>
              <w:right w:val="nil"/>
            </w:tcBorders>
            <w:shd w:val="clear" w:color="000000" w:fill="000099"/>
            <w:noWrap/>
            <w:vAlign w:val="center"/>
            <w:hideMark/>
          </w:tcPr>
          <w:p w14:paraId="64C71464"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£000</w:t>
            </w:r>
          </w:p>
        </w:tc>
        <w:tc>
          <w:tcPr>
            <w:tcW w:w="434" w:type="pct"/>
            <w:tcBorders>
              <w:top w:val="nil"/>
              <w:left w:val="nil"/>
              <w:bottom w:val="nil"/>
              <w:right w:val="nil"/>
            </w:tcBorders>
            <w:shd w:val="clear" w:color="000000" w:fill="000099"/>
            <w:noWrap/>
            <w:vAlign w:val="center"/>
            <w:hideMark/>
          </w:tcPr>
          <w:p w14:paraId="44662269"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£000</w:t>
            </w:r>
          </w:p>
        </w:tc>
        <w:tc>
          <w:tcPr>
            <w:tcW w:w="450" w:type="pct"/>
            <w:tcBorders>
              <w:top w:val="nil"/>
              <w:left w:val="nil"/>
              <w:bottom w:val="nil"/>
              <w:right w:val="nil"/>
            </w:tcBorders>
            <w:shd w:val="clear" w:color="000000" w:fill="000099"/>
            <w:noWrap/>
            <w:vAlign w:val="center"/>
            <w:hideMark/>
          </w:tcPr>
          <w:p w14:paraId="1D42E712"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£000</w:t>
            </w:r>
          </w:p>
        </w:tc>
        <w:tc>
          <w:tcPr>
            <w:tcW w:w="478" w:type="pct"/>
            <w:tcBorders>
              <w:top w:val="nil"/>
              <w:left w:val="nil"/>
              <w:bottom w:val="nil"/>
              <w:right w:val="nil"/>
            </w:tcBorders>
            <w:shd w:val="clear" w:color="000000" w:fill="000099"/>
            <w:noWrap/>
            <w:vAlign w:val="center"/>
            <w:hideMark/>
          </w:tcPr>
          <w:p w14:paraId="2AA7579C" w14:textId="77777777" w:rsidR="001A39AD" w:rsidRPr="001A39AD" w:rsidRDefault="001A39AD" w:rsidP="001A39AD">
            <w:pPr>
              <w:spacing w:after="0" w:line="240" w:lineRule="auto"/>
              <w:jc w:val="center"/>
              <w:rPr>
                <w:rFonts w:eastAsia="Times New Roman" w:cs="Calibri"/>
                <w:b/>
                <w:bCs/>
                <w:color w:val="FFFFFF"/>
                <w:sz w:val="16"/>
                <w:szCs w:val="16"/>
                <w:lang w:eastAsia="en-GB"/>
              </w:rPr>
            </w:pPr>
            <w:r w:rsidRPr="001A39AD">
              <w:rPr>
                <w:rFonts w:eastAsia="Times New Roman" w:cs="Calibri"/>
                <w:b/>
                <w:bCs/>
                <w:color w:val="FFFFFF"/>
                <w:sz w:val="16"/>
                <w:szCs w:val="16"/>
                <w:lang w:eastAsia="en-GB"/>
              </w:rPr>
              <w:t>£000</w:t>
            </w:r>
          </w:p>
        </w:tc>
        <w:tc>
          <w:tcPr>
            <w:tcW w:w="119" w:type="pct"/>
            <w:vAlign w:val="center"/>
            <w:hideMark/>
          </w:tcPr>
          <w:p w14:paraId="70D8CCBE"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10EB6EA6" w14:textId="77777777" w:rsidTr="00EB1C98">
        <w:trPr>
          <w:trHeight w:val="210"/>
        </w:trPr>
        <w:tc>
          <w:tcPr>
            <w:tcW w:w="2201" w:type="pct"/>
            <w:tcBorders>
              <w:top w:val="single" w:sz="4" w:space="0" w:color="auto"/>
              <w:left w:val="nil"/>
              <w:bottom w:val="nil"/>
              <w:right w:val="nil"/>
            </w:tcBorders>
            <w:shd w:val="clear" w:color="000000" w:fill="FFFFFF"/>
            <w:vAlign w:val="center"/>
            <w:hideMark/>
          </w:tcPr>
          <w:p w14:paraId="7B448298" w14:textId="77777777" w:rsidR="001A39AD" w:rsidRPr="001A39AD" w:rsidRDefault="001A39AD" w:rsidP="00EB1C98">
            <w:pPr>
              <w:spacing w:after="0" w:line="240" w:lineRule="auto"/>
              <w:jc w:val="left"/>
              <w:rPr>
                <w:rFonts w:eastAsia="Times New Roman" w:cs="Calibri"/>
                <w:b/>
                <w:bCs/>
                <w:color w:val="auto"/>
                <w:sz w:val="16"/>
                <w:szCs w:val="16"/>
                <w:lang w:eastAsia="en-GB"/>
              </w:rPr>
            </w:pPr>
            <w:r w:rsidRPr="001A39AD">
              <w:rPr>
                <w:rFonts w:eastAsia="Times New Roman" w:cs="Calibri"/>
                <w:b/>
                <w:bCs/>
                <w:color w:val="auto"/>
                <w:sz w:val="16"/>
                <w:szCs w:val="16"/>
                <w:lang w:eastAsia="en-GB"/>
              </w:rPr>
              <w:t> </w:t>
            </w:r>
          </w:p>
        </w:tc>
        <w:tc>
          <w:tcPr>
            <w:tcW w:w="434" w:type="pct"/>
            <w:vMerge w:val="restart"/>
            <w:tcBorders>
              <w:top w:val="single" w:sz="4" w:space="0" w:color="auto"/>
              <w:left w:val="single" w:sz="4" w:space="0" w:color="auto"/>
              <w:bottom w:val="nil"/>
              <w:right w:val="nil"/>
            </w:tcBorders>
            <w:shd w:val="clear" w:color="000000" w:fill="FFFFFF"/>
            <w:vAlign w:val="center"/>
            <w:hideMark/>
          </w:tcPr>
          <w:p w14:paraId="0E52F74F" w14:textId="53D2CC0F"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34" w:type="pct"/>
            <w:vMerge w:val="restart"/>
            <w:tcBorders>
              <w:top w:val="single" w:sz="4" w:space="0" w:color="auto"/>
              <w:left w:val="nil"/>
              <w:bottom w:val="nil"/>
              <w:right w:val="single" w:sz="4" w:space="0" w:color="auto"/>
            </w:tcBorders>
            <w:shd w:val="clear" w:color="000000" w:fill="CCECFF"/>
            <w:vAlign w:val="center"/>
            <w:hideMark/>
          </w:tcPr>
          <w:p w14:paraId="1FE64F5E" w14:textId="58EB4DB7"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50" w:type="pct"/>
            <w:vMerge w:val="restart"/>
            <w:tcBorders>
              <w:top w:val="single" w:sz="4" w:space="0" w:color="auto"/>
              <w:left w:val="nil"/>
              <w:bottom w:val="nil"/>
              <w:right w:val="nil"/>
            </w:tcBorders>
            <w:shd w:val="clear" w:color="000000" w:fill="FFFFFF"/>
            <w:vAlign w:val="center"/>
            <w:hideMark/>
          </w:tcPr>
          <w:p w14:paraId="617F8F6E" w14:textId="56115665"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34" w:type="pct"/>
            <w:vMerge w:val="restart"/>
            <w:tcBorders>
              <w:top w:val="single" w:sz="4" w:space="0" w:color="auto"/>
              <w:left w:val="nil"/>
              <w:bottom w:val="nil"/>
              <w:right w:val="single" w:sz="4" w:space="0" w:color="auto"/>
            </w:tcBorders>
            <w:shd w:val="clear" w:color="000000" w:fill="CCECFF"/>
            <w:vAlign w:val="center"/>
            <w:hideMark/>
          </w:tcPr>
          <w:p w14:paraId="75AE5755" w14:textId="722C56A0"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50" w:type="pct"/>
            <w:tcBorders>
              <w:top w:val="single" w:sz="4" w:space="0" w:color="auto"/>
              <w:left w:val="nil"/>
              <w:bottom w:val="nil"/>
              <w:right w:val="nil"/>
            </w:tcBorders>
            <w:shd w:val="clear" w:color="000000" w:fill="FFFFFF"/>
            <w:vAlign w:val="center"/>
            <w:hideMark/>
          </w:tcPr>
          <w:p w14:paraId="3C59590E" w14:textId="77777777" w:rsidR="001A39AD" w:rsidRPr="001A39AD" w:rsidRDefault="001A39AD" w:rsidP="00EB1C98">
            <w:pPr>
              <w:spacing w:after="0" w:line="240" w:lineRule="auto"/>
              <w:jc w:val="right"/>
              <w:rPr>
                <w:rFonts w:eastAsia="Times New Roman" w:cs="Calibri"/>
                <w:color w:val="FF0000"/>
                <w:sz w:val="16"/>
                <w:szCs w:val="16"/>
                <w:lang w:eastAsia="en-GB"/>
              </w:rPr>
            </w:pPr>
            <w:r w:rsidRPr="001A39AD">
              <w:rPr>
                <w:rFonts w:eastAsia="Times New Roman" w:cs="Calibri"/>
                <w:color w:val="FF0000"/>
                <w:sz w:val="16"/>
                <w:szCs w:val="16"/>
                <w:lang w:eastAsia="en-GB"/>
              </w:rPr>
              <w:t> </w:t>
            </w:r>
          </w:p>
        </w:tc>
        <w:tc>
          <w:tcPr>
            <w:tcW w:w="478" w:type="pct"/>
            <w:tcBorders>
              <w:top w:val="single" w:sz="4" w:space="0" w:color="auto"/>
              <w:left w:val="nil"/>
              <w:bottom w:val="nil"/>
              <w:right w:val="nil"/>
            </w:tcBorders>
            <w:shd w:val="clear" w:color="000000" w:fill="CCECFF"/>
            <w:vAlign w:val="center"/>
            <w:hideMark/>
          </w:tcPr>
          <w:p w14:paraId="4ABA4D9F" w14:textId="77777777" w:rsidR="001A39AD" w:rsidRPr="001A39AD" w:rsidRDefault="001A39AD" w:rsidP="00EB1C98">
            <w:pPr>
              <w:spacing w:after="0" w:line="240" w:lineRule="auto"/>
              <w:jc w:val="right"/>
              <w:rPr>
                <w:rFonts w:eastAsia="Times New Roman" w:cs="Calibri"/>
                <w:color w:val="FF0000"/>
                <w:sz w:val="16"/>
                <w:szCs w:val="16"/>
                <w:lang w:eastAsia="en-GB"/>
              </w:rPr>
            </w:pPr>
            <w:r w:rsidRPr="001A39AD">
              <w:rPr>
                <w:rFonts w:eastAsia="Times New Roman" w:cs="Calibri"/>
                <w:color w:val="FF0000"/>
                <w:sz w:val="16"/>
                <w:szCs w:val="16"/>
                <w:lang w:eastAsia="en-GB"/>
              </w:rPr>
              <w:t> </w:t>
            </w:r>
          </w:p>
        </w:tc>
        <w:tc>
          <w:tcPr>
            <w:tcW w:w="119" w:type="pct"/>
            <w:vAlign w:val="center"/>
            <w:hideMark/>
          </w:tcPr>
          <w:p w14:paraId="684096F0"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7DD023B7" w14:textId="77777777" w:rsidTr="00EB1C98">
        <w:trPr>
          <w:trHeight w:val="210"/>
        </w:trPr>
        <w:tc>
          <w:tcPr>
            <w:tcW w:w="2201" w:type="pct"/>
            <w:tcBorders>
              <w:top w:val="nil"/>
              <w:left w:val="nil"/>
              <w:bottom w:val="nil"/>
              <w:right w:val="nil"/>
            </w:tcBorders>
            <w:shd w:val="clear" w:color="000000" w:fill="FFFFFF"/>
            <w:vAlign w:val="center"/>
            <w:hideMark/>
          </w:tcPr>
          <w:p w14:paraId="33009AA4" w14:textId="77777777" w:rsidR="001A39AD" w:rsidRPr="001A39AD" w:rsidRDefault="001A39AD" w:rsidP="00EB1C98">
            <w:pPr>
              <w:spacing w:after="0" w:line="240" w:lineRule="auto"/>
              <w:jc w:val="left"/>
              <w:rPr>
                <w:rFonts w:eastAsia="Times New Roman" w:cs="Calibri"/>
                <w:b/>
                <w:bCs/>
                <w:color w:val="auto"/>
                <w:sz w:val="16"/>
                <w:szCs w:val="16"/>
                <w:lang w:eastAsia="en-GB"/>
              </w:rPr>
            </w:pPr>
            <w:r w:rsidRPr="001A39AD">
              <w:rPr>
                <w:rFonts w:eastAsia="Times New Roman" w:cs="Calibri"/>
                <w:b/>
                <w:bCs/>
                <w:color w:val="auto"/>
                <w:sz w:val="16"/>
                <w:szCs w:val="16"/>
                <w:lang w:eastAsia="en-GB"/>
              </w:rPr>
              <w:t>Net Cost of Services</w:t>
            </w:r>
          </w:p>
        </w:tc>
        <w:tc>
          <w:tcPr>
            <w:tcW w:w="434" w:type="pct"/>
            <w:vMerge/>
            <w:tcBorders>
              <w:top w:val="single" w:sz="4" w:space="0" w:color="auto"/>
              <w:left w:val="single" w:sz="4" w:space="0" w:color="auto"/>
              <w:bottom w:val="nil"/>
              <w:right w:val="nil"/>
            </w:tcBorders>
            <w:vAlign w:val="center"/>
            <w:hideMark/>
          </w:tcPr>
          <w:p w14:paraId="3939523B" w14:textId="77777777"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34" w:type="pct"/>
            <w:vMerge/>
            <w:tcBorders>
              <w:top w:val="single" w:sz="4" w:space="0" w:color="auto"/>
              <w:left w:val="nil"/>
              <w:bottom w:val="nil"/>
              <w:right w:val="single" w:sz="4" w:space="0" w:color="auto"/>
            </w:tcBorders>
            <w:vAlign w:val="center"/>
            <w:hideMark/>
          </w:tcPr>
          <w:p w14:paraId="6714744D" w14:textId="77777777"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50" w:type="pct"/>
            <w:vMerge/>
            <w:tcBorders>
              <w:top w:val="single" w:sz="4" w:space="0" w:color="auto"/>
              <w:left w:val="nil"/>
              <w:bottom w:val="nil"/>
              <w:right w:val="nil"/>
            </w:tcBorders>
            <w:vAlign w:val="center"/>
            <w:hideMark/>
          </w:tcPr>
          <w:p w14:paraId="16BEAA22" w14:textId="77777777"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34" w:type="pct"/>
            <w:vMerge/>
            <w:tcBorders>
              <w:top w:val="single" w:sz="4" w:space="0" w:color="auto"/>
              <w:left w:val="nil"/>
              <w:bottom w:val="nil"/>
              <w:right w:val="single" w:sz="4" w:space="0" w:color="auto"/>
            </w:tcBorders>
            <w:vAlign w:val="center"/>
            <w:hideMark/>
          </w:tcPr>
          <w:p w14:paraId="2B918D01" w14:textId="77777777" w:rsidR="001A39AD" w:rsidRPr="001A39AD" w:rsidRDefault="001A39AD" w:rsidP="00EB1C98">
            <w:pPr>
              <w:spacing w:after="0" w:line="240" w:lineRule="auto"/>
              <w:jc w:val="right"/>
              <w:rPr>
                <w:rFonts w:eastAsia="Times New Roman" w:cs="Calibri"/>
                <w:color w:val="auto"/>
                <w:sz w:val="16"/>
                <w:szCs w:val="16"/>
                <w:u w:val="single"/>
                <w:lang w:eastAsia="en-GB"/>
              </w:rPr>
            </w:pPr>
          </w:p>
        </w:tc>
        <w:tc>
          <w:tcPr>
            <w:tcW w:w="450" w:type="pct"/>
            <w:tcBorders>
              <w:top w:val="nil"/>
              <w:left w:val="nil"/>
              <w:bottom w:val="nil"/>
              <w:right w:val="nil"/>
            </w:tcBorders>
            <w:shd w:val="clear" w:color="000000" w:fill="FFFFFF"/>
            <w:vAlign w:val="center"/>
            <w:hideMark/>
          </w:tcPr>
          <w:p w14:paraId="09DB311D" w14:textId="77777777" w:rsidR="001A39AD" w:rsidRPr="001A39AD" w:rsidRDefault="001A39AD" w:rsidP="00EB1C98">
            <w:pPr>
              <w:spacing w:after="0" w:line="240" w:lineRule="auto"/>
              <w:jc w:val="right"/>
              <w:rPr>
                <w:rFonts w:eastAsia="Times New Roman" w:cs="Calibri"/>
                <w:color w:val="FF0000"/>
                <w:sz w:val="16"/>
                <w:szCs w:val="16"/>
                <w:lang w:eastAsia="en-GB"/>
              </w:rPr>
            </w:pPr>
            <w:r w:rsidRPr="001A39AD">
              <w:rPr>
                <w:rFonts w:eastAsia="Times New Roman" w:cs="Calibri"/>
                <w:color w:val="FF0000"/>
                <w:sz w:val="16"/>
                <w:szCs w:val="16"/>
                <w:lang w:eastAsia="en-GB"/>
              </w:rPr>
              <w:t> </w:t>
            </w:r>
          </w:p>
        </w:tc>
        <w:tc>
          <w:tcPr>
            <w:tcW w:w="478" w:type="pct"/>
            <w:tcBorders>
              <w:top w:val="nil"/>
              <w:left w:val="nil"/>
              <w:bottom w:val="nil"/>
              <w:right w:val="nil"/>
            </w:tcBorders>
            <w:shd w:val="clear" w:color="000000" w:fill="CCECFF"/>
            <w:vAlign w:val="center"/>
            <w:hideMark/>
          </w:tcPr>
          <w:p w14:paraId="38F7DF88" w14:textId="77777777" w:rsidR="001A39AD" w:rsidRPr="001A39AD" w:rsidRDefault="001A39AD" w:rsidP="00EB1C98">
            <w:pPr>
              <w:spacing w:after="0" w:line="240" w:lineRule="auto"/>
              <w:jc w:val="right"/>
              <w:rPr>
                <w:rFonts w:eastAsia="Times New Roman" w:cs="Calibri"/>
                <w:color w:val="FF0000"/>
                <w:sz w:val="16"/>
                <w:szCs w:val="16"/>
                <w:lang w:eastAsia="en-GB"/>
              </w:rPr>
            </w:pPr>
            <w:r w:rsidRPr="001A39AD">
              <w:rPr>
                <w:rFonts w:eastAsia="Times New Roman" w:cs="Calibri"/>
                <w:color w:val="FF0000"/>
                <w:sz w:val="16"/>
                <w:szCs w:val="16"/>
                <w:lang w:eastAsia="en-GB"/>
              </w:rPr>
              <w:t> </w:t>
            </w:r>
          </w:p>
        </w:tc>
        <w:tc>
          <w:tcPr>
            <w:tcW w:w="119" w:type="pct"/>
            <w:vAlign w:val="center"/>
            <w:hideMark/>
          </w:tcPr>
          <w:p w14:paraId="18472E83"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3242FE1C" w14:textId="77777777" w:rsidTr="00EB1C98">
        <w:trPr>
          <w:trHeight w:val="210"/>
        </w:trPr>
        <w:tc>
          <w:tcPr>
            <w:tcW w:w="2201" w:type="pct"/>
            <w:tcBorders>
              <w:top w:val="nil"/>
              <w:left w:val="nil"/>
              <w:bottom w:val="nil"/>
              <w:right w:val="nil"/>
            </w:tcBorders>
            <w:shd w:val="clear" w:color="000000" w:fill="FFFFFF"/>
            <w:vAlign w:val="center"/>
            <w:hideMark/>
          </w:tcPr>
          <w:p w14:paraId="34F7124D"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 xml:space="preserve">Current service cost </w:t>
            </w:r>
          </w:p>
        </w:tc>
        <w:tc>
          <w:tcPr>
            <w:tcW w:w="434" w:type="pct"/>
            <w:tcBorders>
              <w:top w:val="nil"/>
              <w:left w:val="single" w:sz="4" w:space="0" w:color="auto"/>
              <w:bottom w:val="nil"/>
              <w:right w:val="nil"/>
            </w:tcBorders>
            <w:shd w:val="clear" w:color="000000" w:fill="FFFFFF"/>
            <w:noWrap/>
            <w:vAlign w:val="center"/>
            <w:hideMark/>
          </w:tcPr>
          <w:p w14:paraId="0585E05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(7,281)</w:t>
            </w:r>
          </w:p>
        </w:tc>
        <w:tc>
          <w:tcPr>
            <w:tcW w:w="434" w:type="pct"/>
            <w:tcBorders>
              <w:top w:val="nil"/>
              <w:left w:val="nil"/>
              <w:bottom w:val="nil"/>
              <w:right w:val="single" w:sz="4" w:space="0" w:color="auto"/>
            </w:tcBorders>
            <w:shd w:val="clear" w:color="000000" w:fill="CCECFF"/>
            <w:noWrap/>
            <w:vAlign w:val="center"/>
            <w:hideMark/>
          </w:tcPr>
          <w:p w14:paraId="7BFBAD82"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(5,696)</w:t>
            </w:r>
          </w:p>
        </w:tc>
        <w:tc>
          <w:tcPr>
            <w:tcW w:w="450" w:type="pct"/>
            <w:tcBorders>
              <w:top w:val="nil"/>
              <w:left w:val="nil"/>
              <w:bottom w:val="nil"/>
              <w:right w:val="nil"/>
            </w:tcBorders>
            <w:shd w:val="clear" w:color="000000" w:fill="FFFFFF"/>
            <w:noWrap/>
            <w:vAlign w:val="center"/>
            <w:hideMark/>
          </w:tcPr>
          <w:p w14:paraId="013C60DF"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(9,680)</w:t>
            </w:r>
          </w:p>
        </w:tc>
        <w:tc>
          <w:tcPr>
            <w:tcW w:w="434" w:type="pct"/>
            <w:tcBorders>
              <w:top w:val="nil"/>
              <w:left w:val="nil"/>
              <w:bottom w:val="nil"/>
              <w:right w:val="single" w:sz="4" w:space="0" w:color="auto"/>
            </w:tcBorders>
            <w:shd w:val="clear" w:color="000000" w:fill="CCECFF"/>
            <w:noWrap/>
            <w:vAlign w:val="center"/>
            <w:hideMark/>
          </w:tcPr>
          <w:p w14:paraId="045CFC3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(6,490)</w:t>
            </w:r>
          </w:p>
        </w:tc>
        <w:tc>
          <w:tcPr>
            <w:tcW w:w="450" w:type="pct"/>
            <w:tcBorders>
              <w:top w:val="nil"/>
              <w:left w:val="nil"/>
              <w:bottom w:val="nil"/>
              <w:right w:val="nil"/>
            </w:tcBorders>
            <w:shd w:val="clear" w:color="000000" w:fill="FFFFFF"/>
            <w:vAlign w:val="center"/>
            <w:hideMark/>
          </w:tcPr>
          <w:p w14:paraId="7E4596F6"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(16,961)</w:t>
            </w:r>
          </w:p>
        </w:tc>
        <w:tc>
          <w:tcPr>
            <w:tcW w:w="478" w:type="pct"/>
            <w:tcBorders>
              <w:top w:val="nil"/>
              <w:left w:val="nil"/>
              <w:bottom w:val="nil"/>
              <w:right w:val="nil"/>
            </w:tcBorders>
            <w:shd w:val="clear" w:color="000000" w:fill="CCECFF"/>
            <w:vAlign w:val="center"/>
            <w:hideMark/>
          </w:tcPr>
          <w:p w14:paraId="4EBD48C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(12,186)</w:t>
            </w:r>
          </w:p>
        </w:tc>
        <w:tc>
          <w:tcPr>
            <w:tcW w:w="119" w:type="pct"/>
            <w:vAlign w:val="center"/>
            <w:hideMark/>
          </w:tcPr>
          <w:p w14:paraId="4E9E8437"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0A92EF6C" w14:textId="77777777" w:rsidTr="00EB1C98">
        <w:trPr>
          <w:trHeight w:val="210"/>
        </w:trPr>
        <w:tc>
          <w:tcPr>
            <w:tcW w:w="2201" w:type="pct"/>
            <w:tcBorders>
              <w:top w:val="nil"/>
              <w:left w:val="nil"/>
              <w:bottom w:val="nil"/>
              <w:right w:val="nil"/>
            </w:tcBorders>
            <w:shd w:val="clear" w:color="000000" w:fill="FFFFFF"/>
            <w:vAlign w:val="center"/>
            <w:hideMark/>
          </w:tcPr>
          <w:p w14:paraId="4F1B40A0"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Unfunded</w:t>
            </w:r>
          </w:p>
        </w:tc>
        <w:tc>
          <w:tcPr>
            <w:tcW w:w="434" w:type="pct"/>
            <w:tcBorders>
              <w:top w:val="nil"/>
              <w:left w:val="single" w:sz="4" w:space="0" w:color="auto"/>
              <w:bottom w:val="nil"/>
              <w:right w:val="nil"/>
            </w:tcBorders>
            <w:shd w:val="clear" w:color="000000" w:fill="FFFFFF"/>
            <w:noWrap/>
            <w:vAlign w:val="center"/>
            <w:hideMark/>
          </w:tcPr>
          <w:p w14:paraId="638B2CC3"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noWrap/>
            <w:vAlign w:val="center"/>
            <w:hideMark/>
          </w:tcPr>
          <w:p w14:paraId="6D41319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noWrap/>
            <w:vAlign w:val="center"/>
            <w:hideMark/>
          </w:tcPr>
          <w:p w14:paraId="79187E9D"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noWrap/>
            <w:vAlign w:val="center"/>
            <w:hideMark/>
          </w:tcPr>
          <w:p w14:paraId="3BBE4A8A"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vAlign w:val="center"/>
            <w:hideMark/>
          </w:tcPr>
          <w:p w14:paraId="0E3E739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78" w:type="pct"/>
            <w:tcBorders>
              <w:top w:val="nil"/>
              <w:left w:val="nil"/>
              <w:bottom w:val="nil"/>
              <w:right w:val="nil"/>
            </w:tcBorders>
            <w:shd w:val="clear" w:color="000000" w:fill="CCECFF"/>
            <w:vAlign w:val="center"/>
            <w:hideMark/>
          </w:tcPr>
          <w:p w14:paraId="0CE4369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119" w:type="pct"/>
            <w:vAlign w:val="center"/>
            <w:hideMark/>
          </w:tcPr>
          <w:p w14:paraId="2A0E8862"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6CA5C003" w14:textId="77777777" w:rsidTr="00EB1C98">
        <w:trPr>
          <w:trHeight w:val="210"/>
        </w:trPr>
        <w:tc>
          <w:tcPr>
            <w:tcW w:w="2201" w:type="pct"/>
            <w:tcBorders>
              <w:top w:val="nil"/>
              <w:left w:val="nil"/>
              <w:bottom w:val="nil"/>
              <w:right w:val="nil"/>
            </w:tcBorders>
            <w:shd w:val="clear" w:color="000000" w:fill="FFFFFF"/>
            <w:vAlign w:val="center"/>
            <w:hideMark/>
          </w:tcPr>
          <w:p w14:paraId="41F7B137"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Past service cost/Transfers in</w:t>
            </w:r>
          </w:p>
        </w:tc>
        <w:tc>
          <w:tcPr>
            <w:tcW w:w="434" w:type="pct"/>
            <w:tcBorders>
              <w:top w:val="nil"/>
              <w:left w:val="single" w:sz="4" w:space="0" w:color="auto"/>
              <w:bottom w:val="nil"/>
              <w:right w:val="nil"/>
            </w:tcBorders>
            <w:shd w:val="clear" w:color="000000" w:fill="FFFFFF"/>
            <w:noWrap/>
            <w:vAlign w:val="center"/>
            <w:hideMark/>
          </w:tcPr>
          <w:p w14:paraId="5656608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(126)</w:t>
            </w:r>
          </w:p>
        </w:tc>
        <w:tc>
          <w:tcPr>
            <w:tcW w:w="434" w:type="pct"/>
            <w:tcBorders>
              <w:top w:val="nil"/>
              <w:left w:val="nil"/>
              <w:bottom w:val="nil"/>
              <w:right w:val="single" w:sz="4" w:space="0" w:color="auto"/>
            </w:tcBorders>
            <w:shd w:val="clear" w:color="000000" w:fill="CCECFF"/>
            <w:noWrap/>
            <w:vAlign w:val="center"/>
            <w:hideMark/>
          </w:tcPr>
          <w:p w14:paraId="4AC2C555"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noWrap/>
            <w:vAlign w:val="center"/>
            <w:hideMark/>
          </w:tcPr>
          <w:p w14:paraId="2D192BF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noWrap/>
            <w:vAlign w:val="center"/>
            <w:hideMark/>
          </w:tcPr>
          <w:p w14:paraId="39B96825"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vAlign w:val="center"/>
            <w:hideMark/>
          </w:tcPr>
          <w:p w14:paraId="18DD281D"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(126)</w:t>
            </w:r>
          </w:p>
        </w:tc>
        <w:tc>
          <w:tcPr>
            <w:tcW w:w="478" w:type="pct"/>
            <w:tcBorders>
              <w:top w:val="nil"/>
              <w:left w:val="nil"/>
              <w:bottom w:val="nil"/>
              <w:right w:val="nil"/>
            </w:tcBorders>
            <w:shd w:val="clear" w:color="000000" w:fill="CCECFF"/>
            <w:vAlign w:val="center"/>
            <w:hideMark/>
          </w:tcPr>
          <w:p w14:paraId="77589DC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119" w:type="pct"/>
            <w:vAlign w:val="center"/>
            <w:hideMark/>
          </w:tcPr>
          <w:p w14:paraId="1DA8B7F4"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23C3259E" w14:textId="77777777" w:rsidTr="00EB1C98">
        <w:trPr>
          <w:trHeight w:val="80"/>
        </w:trPr>
        <w:tc>
          <w:tcPr>
            <w:tcW w:w="2201" w:type="pct"/>
            <w:tcBorders>
              <w:top w:val="nil"/>
              <w:left w:val="nil"/>
              <w:bottom w:val="nil"/>
              <w:right w:val="nil"/>
            </w:tcBorders>
            <w:shd w:val="clear" w:color="000000" w:fill="FFFFFF"/>
            <w:vAlign w:val="center"/>
            <w:hideMark/>
          </w:tcPr>
          <w:p w14:paraId="2DC43205"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single" w:sz="4" w:space="0" w:color="auto"/>
              <w:bottom w:val="nil"/>
              <w:right w:val="nil"/>
            </w:tcBorders>
            <w:shd w:val="clear" w:color="000000" w:fill="FFFFFF"/>
            <w:noWrap/>
            <w:vAlign w:val="center"/>
            <w:hideMark/>
          </w:tcPr>
          <w:p w14:paraId="5ABFB84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noWrap/>
            <w:vAlign w:val="center"/>
            <w:hideMark/>
          </w:tcPr>
          <w:p w14:paraId="080CE95D"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noWrap/>
            <w:vAlign w:val="center"/>
            <w:hideMark/>
          </w:tcPr>
          <w:p w14:paraId="72615466"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noWrap/>
            <w:vAlign w:val="center"/>
            <w:hideMark/>
          </w:tcPr>
          <w:p w14:paraId="1AEFAF1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781BC2C3"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noWrap/>
            <w:vAlign w:val="center"/>
            <w:hideMark/>
          </w:tcPr>
          <w:p w14:paraId="5C0BBDC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497B8C53"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7E189330" w14:textId="77777777" w:rsidTr="00EB1C98">
        <w:trPr>
          <w:trHeight w:val="277"/>
        </w:trPr>
        <w:tc>
          <w:tcPr>
            <w:tcW w:w="2201" w:type="pct"/>
            <w:tcBorders>
              <w:top w:val="nil"/>
              <w:left w:val="nil"/>
              <w:bottom w:val="nil"/>
              <w:right w:val="nil"/>
            </w:tcBorders>
            <w:shd w:val="clear" w:color="000000" w:fill="FFFFFF"/>
            <w:vAlign w:val="center"/>
            <w:hideMark/>
          </w:tcPr>
          <w:p w14:paraId="1086F398" w14:textId="77777777" w:rsidR="001A39AD" w:rsidRPr="001A39AD" w:rsidRDefault="001A39AD" w:rsidP="00EB1C98">
            <w:pPr>
              <w:spacing w:after="0" w:line="240" w:lineRule="auto"/>
              <w:jc w:val="left"/>
              <w:rPr>
                <w:rFonts w:eastAsia="Times New Roman" w:cs="Calibri"/>
                <w:b/>
                <w:bCs/>
                <w:color w:val="auto"/>
                <w:sz w:val="16"/>
                <w:szCs w:val="16"/>
                <w:lang w:eastAsia="en-GB"/>
              </w:rPr>
            </w:pPr>
            <w:r w:rsidRPr="001A39AD">
              <w:rPr>
                <w:rFonts w:eastAsia="Times New Roman" w:cs="Calibri"/>
                <w:b/>
                <w:bCs/>
                <w:color w:val="auto"/>
                <w:sz w:val="16"/>
                <w:szCs w:val="16"/>
                <w:lang w:eastAsia="en-GB"/>
              </w:rPr>
              <w:t xml:space="preserve">Net Operating Expenditure </w:t>
            </w:r>
          </w:p>
        </w:tc>
        <w:tc>
          <w:tcPr>
            <w:tcW w:w="434" w:type="pct"/>
            <w:tcBorders>
              <w:top w:val="nil"/>
              <w:left w:val="single" w:sz="4" w:space="0" w:color="auto"/>
              <w:bottom w:val="nil"/>
              <w:right w:val="nil"/>
            </w:tcBorders>
            <w:shd w:val="clear" w:color="000000" w:fill="FFFFFF"/>
            <w:noWrap/>
            <w:vAlign w:val="center"/>
            <w:hideMark/>
          </w:tcPr>
          <w:p w14:paraId="243BD5DA"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noWrap/>
            <w:vAlign w:val="center"/>
            <w:hideMark/>
          </w:tcPr>
          <w:p w14:paraId="2687D88D"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noWrap/>
            <w:vAlign w:val="center"/>
            <w:hideMark/>
          </w:tcPr>
          <w:p w14:paraId="448B503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noWrap/>
            <w:vAlign w:val="center"/>
            <w:hideMark/>
          </w:tcPr>
          <w:p w14:paraId="2F915A9F"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764E5D46"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noWrap/>
            <w:vAlign w:val="center"/>
            <w:hideMark/>
          </w:tcPr>
          <w:p w14:paraId="375D4CA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11517C41"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37EE5E14" w14:textId="77777777" w:rsidTr="00EB1C98">
        <w:trPr>
          <w:trHeight w:val="210"/>
        </w:trPr>
        <w:tc>
          <w:tcPr>
            <w:tcW w:w="2201" w:type="pct"/>
            <w:tcBorders>
              <w:top w:val="nil"/>
              <w:left w:val="nil"/>
              <w:bottom w:val="nil"/>
              <w:right w:val="nil"/>
            </w:tcBorders>
            <w:shd w:val="clear" w:color="000000" w:fill="FFFFFF"/>
            <w:vAlign w:val="center"/>
            <w:hideMark/>
          </w:tcPr>
          <w:p w14:paraId="0FD3A6E1"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Interest Costs**</w:t>
            </w:r>
          </w:p>
        </w:tc>
        <w:tc>
          <w:tcPr>
            <w:tcW w:w="434" w:type="pct"/>
            <w:tcBorders>
              <w:top w:val="nil"/>
              <w:left w:val="single" w:sz="4" w:space="0" w:color="auto"/>
              <w:bottom w:val="nil"/>
              <w:right w:val="nil"/>
            </w:tcBorders>
            <w:shd w:val="clear" w:color="000000" w:fill="FFFFFF"/>
            <w:noWrap/>
            <w:vAlign w:val="center"/>
            <w:hideMark/>
          </w:tcPr>
          <w:p w14:paraId="45B5C4C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(10,258)</w:t>
            </w:r>
          </w:p>
        </w:tc>
        <w:tc>
          <w:tcPr>
            <w:tcW w:w="434" w:type="pct"/>
            <w:tcBorders>
              <w:top w:val="nil"/>
              <w:left w:val="nil"/>
              <w:bottom w:val="nil"/>
              <w:right w:val="single" w:sz="4" w:space="0" w:color="auto"/>
            </w:tcBorders>
            <w:shd w:val="clear" w:color="000000" w:fill="CCECFF"/>
            <w:noWrap/>
            <w:vAlign w:val="center"/>
            <w:hideMark/>
          </w:tcPr>
          <w:p w14:paraId="6949F0B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(10,685)</w:t>
            </w:r>
          </w:p>
        </w:tc>
        <w:tc>
          <w:tcPr>
            <w:tcW w:w="450" w:type="pct"/>
            <w:tcBorders>
              <w:top w:val="nil"/>
              <w:left w:val="nil"/>
              <w:bottom w:val="nil"/>
              <w:right w:val="nil"/>
            </w:tcBorders>
            <w:shd w:val="clear" w:color="000000" w:fill="FFFFFF"/>
            <w:noWrap/>
            <w:vAlign w:val="center"/>
            <w:hideMark/>
          </w:tcPr>
          <w:p w14:paraId="54A5473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(49,450)</w:t>
            </w:r>
          </w:p>
        </w:tc>
        <w:tc>
          <w:tcPr>
            <w:tcW w:w="434" w:type="pct"/>
            <w:tcBorders>
              <w:top w:val="nil"/>
              <w:left w:val="nil"/>
              <w:bottom w:val="nil"/>
              <w:right w:val="single" w:sz="4" w:space="0" w:color="auto"/>
            </w:tcBorders>
            <w:shd w:val="clear" w:color="000000" w:fill="CCECFF"/>
            <w:noWrap/>
            <w:vAlign w:val="center"/>
            <w:hideMark/>
          </w:tcPr>
          <w:p w14:paraId="63AA10E6"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(53,000)</w:t>
            </w:r>
          </w:p>
        </w:tc>
        <w:tc>
          <w:tcPr>
            <w:tcW w:w="450" w:type="pct"/>
            <w:tcBorders>
              <w:top w:val="nil"/>
              <w:left w:val="nil"/>
              <w:bottom w:val="nil"/>
              <w:right w:val="nil"/>
            </w:tcBorders>
            <w:shd w:val="clear" w:color="000000" w:fill="FFFFFF"/>
            <w:vAlign w:val="center"/>
            <w:hideMark/>
          </w:tcPr>
          <w:p w14:paraId="0E57346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(59,708)</w:t>
            </w:r>
          </w:p>
        </w:tc>
        <w:tc>
          <w:tcPr>
            <w:tcW w:w="478" w:type="pct"/>
            <w:tcBorders>
              <w:top w:val="nil"/>
              <w:left w:val="nil"/>
              <w:bottom w:val="nil"/>
              <w:right w:val="nil"/>
            </w:tcBorders>
            <w:shd w:val="clear" w:color="000000" w:fill="CCECFF"/>
            <w:vAlign w:val="center"/>
            <w:hideMark/>
          </w:tcPr>
          <w:p w14:paraId="4283108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(63,685)</w:t>
            </w:r>
          </w:p>
        </w:tc>
        <w:tc>
          <w:tcPr>
            <w:tcW w:w="119" w:type="pct"/>
            <w:vAlign w:val="center"/>
            <w:hideMark/>
          </w:tcPr>
          <w:p w14:paraId="391D6667"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23C8AF0A" w14:textId="77777777" w:rsidTr="00EB1C98">
        <w:trPr>
          <w:trHeight w:val="210"/>
        </w:trPr>
        <w:tc>
          <w:tcPr>
            <w:tcW w:w="2201" w:type="pct"/>
            <w:tcBorders>
              <w:top w:val="nil"/>
              <w:left w:val="nil"/>
              <w:bottom w:val="nil"/>
              <w:right w:val="nil"/>
            </w:tcBorders>
            <w:shd w:val="clear" w:color="000000" w:fill="FFFFFF"/>
            <w:vAlign w:val="center"/>
            <w:hideMark/>
          </w:tcPr>
          <w:p w14:paraId="4E9BE4E1"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 xml:space="preserve">Expected return on </w:t>
            </w:r>
            <w:proofErr w:type="gramStart"/>
            <w:r w:rsidRPr="001A39AD">
              <w:rPr>
                <w:rFonts w:eastAsia="Times New Roman" w:cs="Calibri"/>
                <w:color w:val="auto"/>
                <w:sz w:val="16"/>
                <w:szCs w:val="16"/>
                <w:lang w:eastAsia="en-GB"/>
              </w:rPr>
              <w:t>employers</w:t>
            </w:r>
            <w:proofErr w:type="gramEnd"/>
            <w:r w:rsidRPr="001A39AD">
              <w:rPr>
                <w:rFonts w:eastAsia="Times New Roman" w:cs="Calibri"/>
                <w:color w:val="auto"/>
                <w:sz w:val="16"/>
                <w:szCs w:val="16"/>
                <w:lang w:eastAsia="en-GB"/>
              </w:rPr>
              <w:t xml:space="preserve"> assets**</w:t>
            </w:r>
          </w:p>
        </w:tc>
        <w:tc>
          <w:tcPr>
            <w:tcW w:w="434" w:type="pct"/>
            <w:tcBorders>
              <w:top w:val="nil"/>
              <w:left w:val="single" w:sz="4" w:space="0" w:color="auto"/>
              <w:bottom w:val="nil"/>
              <w:right w:val="nil"/>
            </w:tcBorders>
            <w:shd w:val="clear" w:color="000000" w:fill="FFFFFF"/>
            <w:noWrap/>
            <w:vAlign w:val="center"/>
            <w:hideMark/>
          </w:tcPr>
          <w:p w14:paraId="4DA86DB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11,312</w:t>
            </w:r>
          </w:p>
        </w:tc>
        <w:tc>
          <w:tcPr>
            <w:tcW w:w="434" w:type="pct"/>
            <w:tcBorders>
              <w:top w:val="nil"/>
              <w:left w:val="nil"/>
              <w:bottom w:val="nil"/>
              <w:right w:val="single" w:sz="4" w:space="0" w:color="auto"/>
            </w:tcBorders>
            <w:shd w:val="clear" w:color="000000" w:fill="CCECFF"/>
            <w:noWrap/>
            <w:vAlign w:val="center"/>
            <w:hideMark/>
          </w:tcPr>
          <w:p w14:paraId="51870257"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14,055</w:t>
            </w:r>
          </w:p>
        </w:tc>
        <w:tc>
          <w:tcPr>
            <w:tcW w:w="450" w:type="pct"/>
            <w:tcBorders>
              <w:top w:val="nil"/>
              <w:left w:val="nil"/>
              <w:bottom w:val="nil"/>
              <w:right w:val="nil"/>
            </w:tcBorders>
            <w:shd w:val="clear" w:color="000000" w:fill="FFFFFF"/>
            <w:noWrap/>
            <w:vAlign w:val="center"/>
            <w:hideMark/>
          </w:tcPr>
          <w:p w14:paraId="4371A82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noWrap/>
            <w:vAlign w:val="center"/>
            <w:hideMark/>
          </w:tcPr>
          <w:p w14:paraId="7A4CFD97"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vAlign w:val="center"/>
            <w:hideMark/>
          </w:tcPr>
          <w:p w14:paraId="76A97BB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11,312</w:t>
            </w:r>
          </w:p>
        </w:tc>
        <w:tc>
          <w:tcPr>
            <w:tcW w:w="478" w:type="pct"/>
            <w:tcBorders>
              <w:top w:val="nil"/>
              <w:left w:val="nil"/>
              <w:bottom w:val="nil"/>
              <w:right w:val="nil"/>
            </w:tcBorders>
            <w:shd w:val="clear" w:color="000000" w:fill="CCECFF"/>
            <w:vAlign w:val="center"/>
            <w:hideMark/>
          </w:tcPr>
          <w:p w14:paraId="5EFD2BD2"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14,055</w:t>
            </w:r>
          </w:p>
        </w:tc>
        <w:tc>
          <w:tcPr>
            <w:tcW w:w="119" w:type="pct"/>
            <w:vAlign w:val="center"/>
            <w:hideMark/>
          </w:tcPr>
          <w:p w14:paraId="3187049C"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569CE9F8" w14:textId="77777777" w:rsidTr="00EB1C98">
        <w:trPr>
          <w:trHeight w:val="210"/>
        </w:trPr>
        <w:tc>
          <w:tcPr>
            <w:tcW w:w="2201" w:type="pct"/>
            <w:tcBorders>
              <w:top w:val="nil"/>
              <w:left w:val="nil"/>
              <w:bottom w:val="nil"/>
              <w:right w:val="nil"/>
            </w:tcBorders>
            <w:shd w:val="clear" w:color="000000" w:fill="FFFFFF"/>
            <w:vAlign w:val="center"/>
            <w:hideMark/>
          </w:tcPr>
          <w:p w14:paraId="64EFC85B"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Interest on the effect of the asset ceiling</w:t>
            </w:r>
          </w:p>
        </w:tc>
        <w:tc>
          <w:tcPr>
            <w:tcW w:w="434" w:type="pct"/>
            <w:tcBorders>
              <w:top w:val="nil"/>
              <w:left w:val="single" w:sz="4" w:space="0" w:color="auto"/>
              <w:bottom w:val="nil"/>
              <w:right w:val="nil"/>
            </w:tcBorders>
            <w:shd w:val="clear" w:color="000000" w:fill="FFFFFF"/>
            <w:vAlign w:val="center"/>
            <w:hideMark/>
          </w:tcPr>
          <w:p w14:paraId="5DE62DF6"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vAlign w:val="center"/>
            <w:hideMark/>
          </w:tcPr>
          <w:p w14:paraId="627E2D9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(3,287)</w:t>
            </w:r>
          </w:p>
        </w:tc>
        <w:tc>
          <w:tcPr>
            <w:tcW w:w="450" w:type="pct"/>
            <w:tcBorders>
              <w:top w:val="nil"/>
              <w:left w:val="nil"/>
              <w:bottom w:val="nil"/>
              <w:right w:val="nil"/>
            </w:tcBorders>
            <w:shd w:val="clear" w:color="000000" w:fill="FFFFFF"/>
            <w:vAlign w:val="center"/>
            <w:hideMark/>
          </w:tcPr>
          <w:p w14:paraId="1DA7603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39238CA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single" w:sz="4" w:space="0" w:color="auto"/>
              <w:right w:val="nil"/>
            </w:tcBorders>
            <w:shd w:val="clear" w:color="000000" w:fill="FFFFFF"/>
            <w:vAlign w:val="center"/>
            <w:hideMark/>
          </w:tcPr>
          <w:p w14:paraId="23D6C41F"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vAlign w:val="center"/>
            <w:hideMark/>
          </w:tcPr>
          <w:p w14:paraId="012EA59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(3,287)</w:t>
            </w:r>
          </w:p>
        </w:tc>
        <w:tc>
          <w:tcPr>
            <w:tcW w:w="119" w:type="pct"/>
            <w:vAlign w:val="center"/>
            <w:hideMark/>
          </w:tcPr>
          <w:p w14:paraId="75945565"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132949DF" w14:textId="77777777" w:rsidTr="00EB1C98">
        <w:trPr>
          <w:trHeight w:val="210"/>
        </w:trPr>
        <w:tc>
          <w:tcPr>
            <w:tcW w:w="2201" w:type="pct"/>
            <w:tcBorders>
              <w:top w:val="nil"/>
              <w:left w:val="nil"/>
              <w:bottom w:val="nil"/>
              <w:right w:val="nil"/>
            </w:tcBorders>
            <w:shd w:val="clear" w:color="000000" w:fill="FFFFFF"/>
            <w:vAlign w:val="center"/>
            <w:hideMark/>
          </w:tcPr>
          <w:p w14:paraId="5CC8B239" w14:textId="77777777" w:rsidR="001A39AD" w:rsidRPr="001A39AD" w:rsidRDefault="001A39AD" w:rsidP="00EB1C98">
            <w:pPr>
              <w:spacing w:after="0" w:line="240" w:lineRule="auto"/>
              <w:jc w:val="left"/>
              <w:rPr>
                <w:rFonts w:eastAsia="Times New Roman" w:cs="Calibri"/>
                <w:b/>
                <w:bCs/>
                <w:color w:val="auto"/>
                <w:sz w:val="16"/>
                <w:szCs w:val="16"/>
                <w:lang w:eastAsia="en-GB"/>
              </w:rPr>
            </w:pPr>
            <w:r w:rsidRPr="001A39AD">
              <w:rPr>
                <w:rFonts w:eastAsia="Times New Roman" w:cs="Calibri"/>
                <w:b/>
                <w:bCs/>
                <w:color w:val="auto"/>
                <w:sz w:val="16"/>
                <w:szCs w:val="16"/>
                <w:lang w:eastAsia="en-GB"/>
              </w:rPr>
              <w:t>Net Charge to the Income and Expenditure Account</w:t>
            </w:r>
          </w:p>
        </w:tc>
        <w:tc>
          <w:tcPr>
            <w:tcW w:w="434" w:type="pct"/>
            <w:tcBorders>
              <w:top w:val="single" w:sz="4" w:space="0" w:color="auto"/>
              <w:left w:val="single" w:sz="4" w:space="0" w:color="auto"/>
              <w:bottom w:val="single" w:sz="4" w:space="0" w:color="auto"/>
              <w:right w:val="nil"/>
            </w:tcBorders>
            <w:shd w:val="clear" w:color="000000" w:fill="FFFFFF"/>
            <w:noWrap/>
            <w:vAlign w:val="center"/>
            <w:hideMark/>
          </w:tcPr>
          <w:p w14:paraId="1A6A1A76"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(6,353)</w:t>
            </w:r>
          </w:p>
        </w:tc>
        <w:tc>
          <w:tcPr>
            <w:tcW w:w="434" w:type="pct"/>
            <w:tcBorders>
              <w:top w:val="single" w:sz="4" w:space="0" w:color="auto"/>
              <w:left w:val="nil"/>
              <w:bottom w:val="single" w:sz="4" w:space="0" w:color="auto"/>
              <w:right w:val="single" w:sz="4" w:space="0" w:color="auto"/>
            </w:tcBorders>
            <w:shd w:val="clear" w:color="000000" w:fill="CCECFF"/>
            <w:noWrap/>
            <w:vAlign w:val="center"/>
            <w:hideMark/>
          </w:tcPr>
          <w:p w14:paraId="7385EDF7"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(5,613)</w:t>
            </w:r>
          </w:p>
        </w:tc>
        <w:tc>
          <w:tcPr>
            <w:tcW w:w="450" w:type="pct"/>
            <w:tcBorders>
              <w:top w:val="single" w:sz="4" w:space="0" w:color="auto"/>
              <w:left w:val="nil"/>
              <w:bottom w:val="single" w:sz="4" w:space="0" w:color="auto"/>
              <w:right w:val="nil"/>
            </w:tcBorders>
            <w:shd w:val="clear" w:color="000000" w:fill="FFFFFF"/>
            <w:noWrap/>
            <w:vAlign w:val="center"/>
            <w:hideMark/>
          </w:tcPr>
          <w:p w14:paraId="74071969"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(59,130)</w:t>
            </w:r>
          </w:p>
        </w:tc>
        <w:tc>
          <w:tcPr>
            <w:tcW w:w="434" w:type="pct"/>
            <w:tcBorders>
              <w:top w:val="single" w:sz="4" w:space="0" w:color="auto"/>
              <w:left w:val="nil"/>
              <w:bottom w:val="single" w:sz="4" w:space="0" w:color="auto"/>
              <w:right w:val="single" w:sz="4" w:space="0" w:color="auto"/>
            </w:tcBorders>
            <w:shd w:val="clear" w:color="000000" w:fill="CCECFF"/>
            <w:noWrap/>
            <w:vAlign w:val="center"/>
            <w:hideMark/>
          </w:tcPr>
          <w:p w14:paraId="4F66B493"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(59,490)</w:t>
            </w:r>
          </w:p>
        </w:tc>
        <w:tc>
          <w:tcPr>
            <w:tcW w:w="450" w:type="pct"/>
            <w:tcBorders>
              <w:top w:val="nil"/>
              <w:left w:val="nil"/>
              <w:bottom w:val="single" w:sz="4" w:space="0" w:color="auto"/>
              <w:right w:val="nil"/>
            </w:tcBorders>
            <w:shd w:val="clear" w:color="000000" w:fill="FFFFFF"/>
            <w:noWrap/>
            <w:vAlign w:val="center"/>
            <w:hideMark/>
          </w:tcPr>
          <w:p w14:paraId="322A46BE"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(65,483)</w:t>
            </w:r>
          </w:p>
        </w:tc>
        <w:tc>
          <w:tcPr>
            <w:tcW w:w="478" w:type="pct"/>
            <w:tcBorders>
              <w:top w:val="single" w:sz="4" w:space="0" w:color="auto"/>
              <w:left w:val="nil"/>
              <w:bottom w:val="single" w:sz="4" w:space="0" w:color="auto"/>
              <w:right w:val="nil"/>
            </w:tcBorders>
            <w:shd w:val="clear" w:color="000000" w:fill="CCECFF"/>
            <w:noWrap/>
            <w:vAlign w:val="center"/>
            <w:hideMark/>
          </w:tcPr>
          <w:p w14:paraId="1AE8AA9D"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(65,103)</w:t>
            </w:r>
          </w:p>
        </w:tc>
        <w:tc>
          <w:tcPr>
            <w:tcW w:w="119" w:type="pct"/>
            <w:vAlign w:val="center"/>
            <w:hideMark/>
          </w:tcPr>
          <w:p w14:paraId="6AE5F65D"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0B4A0345" w14:textId="77777777" w:rsidTr="00EB1C98">
        <w:trPr>
          <w:trHeight w:val="210"/>
        </w:trPr>
        <w:tc>
          <w:tcPr>
            <w:tcW w:w="2201" w:type="pct"/>
            <w:tcBorders>
              <w:top w:val="nil"/>
              <w:left w:val="nil"/>
              <w:bottom w:val="nil"/>
              <w:right w:val="nil"/>
            </w:tcBorders>
            <w:shd w:val="clear" w:color="000000" w:fill="FFFFFF"/>
            <w:vAlign w:val="center"/>
            <w:hideMark/>
          </w:tcPr>
          <w:p w14:paraId="32039BB2" w14:textId="77777777" w:rsidR="001A39AD" w:rsidRPr="001A39AD" w:rsidRDefault="001A39AD" w:rsidP="00EB1C98">
            <w:pPr>
              <w:spacing w:after="0" w:line="240" w:lineRule="auto"/>
              <w:jc w:val="left"/>
              <w:rPr>
                <w:rFonts w:eastAsia="Times New Roman" w:cs="Calibri"/>
                <w:b/>
                <w:bCs/>
                <w:color w:val="auto"/>
                <w:sz w:val="16"/>
                <w:szCs w:val="16"/>
                <w:lang w:eastAsia="en-GB"/>
              </w:rPr>
            </w:pPr>
            <w:r w:rsidRPr="001A39AD">
              <w:rPr>
                <w:rFonts w:eastAsia="Times New Roman" w:cs="Calibri"/>
                <w:b/>
                <w:bCs/>
                <w:color w:val="auto"/>
                <w:sz w:val="16"/>
                <w:szCs w:val="16"/>
                <w:lang w:eastAsia="en-GB"/>
              </w:rPr>
              <w:t> </w:t>
            </w:r>
          </w:p>
        </w:tc>
        <w:tc>
          <w:tcPr>
            <w:tcW w:w="434" w:type="pct"/>
            <w:tcBorders>
              <w:top w:val="nil"/>
              <w:left w:val="single" w:sz="4" w:space="0" w:color="auto"/>
              <w:bottom w:val="nil"/>
              <w:right w:val="nil"/>
            </w:tcBorders>
            <w:shd w:val="clear" w:color="000000" w:fill="FFFFFF"/>
            <w:noWrap/>
            <w:vAlign w:val="center"/>
            <w:hideMark/>
          </w:tcPr>
          <w:p w14:paraId="4F78D18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noWrap/>
            <w:vAlign w:val="center"/>
            <w:hideMark/>
          </w:tcPr>
          <w:p w14:paraId="690B2E63"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noWrap/>
            <w:vAlign w:val="center"/>
            <w:hideMark/>
          </w:tcPr>
          <w:p w14:paraId="6CFF7FF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noWrap/>
            <w:vAlign w:val="center"/>
            <w:hideMark/>
          </w:tcPr>
          <w:p w14:paraId="20DC946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noWrap/>
            <w:vAlign w:val="center"/>
            <w:hideMark/>
          </w:tcPr>
          <w:p w14:paraId="4934ED8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noWrap/>
            <w:vAlign w:val="center"/>
            <w:hideMark/>
          </w:tcPr>
          <w:p w14:paraId="0E895F43"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4718538C"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2EF51E1F" w14:textId="77777777" w:rsidTr="00EB1C98">
        <w:trPr>
          <w:trHeight w:val="210"/>
        </w:trPr>
        <w:tc>
          <w:tcPr>
            <w:tcW w:w="2201" w:type="pct"/>
            <w:tcBorders>
              <w:top w:val="nil"/>
              <w:left w:val="nil"/>
              <w:bottom w:val="nil"/>
              <w:right w:val="nil"/>
            </w:tcBorders>
            <w:shd w:val="clear" w:color="000000" w:fill="FFFFFF"/>
            <w:vAlign w:val="center"/>
            <w:hideMark/>
          </w:tcPr>
          <w:p w14:paraId="316C26A3"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Return on plan assets (excluding the amount included in the net interest expense)</w:t>
            </w:r>
          </w:p>
        </w:tc>
        <w:tc>
          <w:tcPr>
            <w:tcW w:w="434" w:type="pct"/>
            <w:tcBorders>
              <w:top w:val="nil"/>
              <w:left w:val="single" w:sz="4" w:space="0" w:color="auto"/>
              <w:bottom w:val="nil"/>
              <w:right w:val="nil"/>
            </w:tcBorders>
            <w:shd w:val="clear" w:color="000000" w:fill="FFFFFF"/>
            <w:noWrap/>
            <w:vAlign w:val="center"/>
            <w:hideMark/>
          </w:tcPr>
          <w:p w14:paraId="1D131A6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(7,214)</w:t>
            </w:r>
          </w:p>
        </w:tc>
        <w:tc>
          <w:tcPr>
            <w:tcW w:w="434" w:type="pct"/>
            <w:tcBorders>
              <w:top w:val="nil"/>
              <w:left w:val="nil"/>
              <w:bottom w:val="nil"/>
              <w:right w:val="single" w:sz="4" w:space="0" w:color="auto"/>
            </w:tcBorders>
            <w:shd w:val="clear" w:color="000000" w:fill="CCECFF"/>
            <w:noWrap/>
            <w:vAlign w:val="center"/>
            <w:hideMark/>
          </w:tcPr>
          <w:p w14:paraId="00E7A29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2,920</w:t>
            </w:r>
          </w:p>
        </w:tc>
        <w:tc>
          <w:tcPr>
            <w:tcW w:w="450" w:type="pct"/>
            <w:tcBorders>
              <w:top w:val="nil"/>
              <w:left w:val="nil"/>
              <w:bottom w:val="nil"/>
              <w:right w:val="nil"/>
            </w:tcBorders>
            <w:shd w:val="clear" w:color="000000" w:fill="FFFFFF"/>
            <w:noWrap/>
            <w:vAlign w:val="center"/>
            <w:hideMark/>
          </w:tcPr>
          <w:p w14:paraId="5154C91A"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noWrap/>
            <w:vAlign w:val="center"/>
            <w:hideMark/>
          </w:tcPr>
          <w:p w14:paraId="3CB3D346"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noWrap/>
            <w:vAlign w:val="center"/>
            <w:hideMark/>
          </w:tcPr>
          <w:p w14:paraId="59BCE7CA"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(7,214)</w:t>
            </w:r>
          </w:p>
        </w:tc>
        <w:tc>
          <w:tcPr>
            <w:tcW w:w="478" w:type="pct"/>
            <w:tcBorders>
              <w:top w:val="nil"/>
              <w:left w:val="nil"/>
              <w:bottom w:val="nil"/>
              <w:right w:val="nil"/>
            </w:tcBorders>
            <w:shd w:val="clear" w:color="000000" w:fill="CCECFF"/>
            <w:noWrap/>
            <w:vAlign w:val="center"/>
            <w:hideMark/>
          </w:tcPr>
          <w:p w14:paraId="3F15158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2,920</w:t>
            </w:r>
          </w:p>
        </w:tc>
        <w:tc>
          <w:tcPr>
            <w:tcW w:w="119" w:type="pct"/>
            <w:vAlign w:val="center"/>
            <w:hideMark/>
          </w:tcPr>
          <w:p w14:paraId="26E80ADA"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74F6AF7E" w14:textId="77777777" w:rsidTr="00EB1C98">
        <w:trPr>
          <w:trHeight w:val="210"/>
        </w:trPr>
        <w:tc>
          <w:tcPr>
            <w:tcW w:w="2201" w:type="pct"/>
            <w:tcBorders>
              <w:top w:val="nil"/>
              <w:left w:val="nil"/>
              <w:bottom w:val="nil"/>
              <w:right w:val="nil"/>
            </w:tcBorders>
            <w:shd w:val="clear" w:color="000000" w:fill="FFFFFF"/>
            <w:vAlign w:val="center"/>
            <w:hideMark/>
          </w:tcPr>
          <w:p w14:paraId="0C914556"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Actuarial gains and losses arising on changes in demographic assumptions</w:t>
            </w:r>
          </w:p>
        </w:tc>
        <w:tc>
          <w:tcPr>
            <w:tcW w:w="434" w:type="pct"/>
            <w:tcBorders>
              <w:top w:val="nil"/>
              <w:left w:val="single" w:sz="4" w:space="0" w:color="auto"/>
              <w:bottom w:val="nil"/>
              <w:right w:val="nil"/>
            </w:tcBorders>
            <w:shd w:val="clear" w:color="000000" w:fill="FFFFFF"/>
            <w:noWrap/>
            <w:vAlign w:val="center"/>
            <w:hideMark/>
          </w:tcPr>
          <w:p w14:paraId="3C1D9EF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367</w:t>
            </w:r>
          </w:p>
        </w:tc>
        <w:tc>
          <w:tcPr>
            <w:tcW w:w="434" w:type="pct"/>
            <w:tcBorders>
              <w:top w:val="nil"/>
              <w:left w:val="nil"/>
              <w:bottom w:val="nil"/>
              <w:right w:val="single" w:sz="4" w:space="0" w:color="auto"/>
            </w:tcBorders>
            <w:shd w:val="clear" w:color="000000" w:fill="CCECFF"/>
            <w:noWrap/>
            <w:vAlign w:val="center"/>
            <w:hideMark/>
          </w:tcPr>
          <w:p w14:paraId="5767BEA5"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2,268</w:t>
            </w:r>
          </w:p>
        </w:tc>
        <w:tc>
          <w:tcPr>
            <w:tcW w:w="450" w:type="pct"/>
            <w:tcBorders>
              <w:top w:val="nil"/>
              <w:left w:val="nil"/>
              <w:bottom w:val="nil"/>
              <w:right w:val="nil"/>
            </w:tcBorders>
            <w:shd w:val="clear" w:color="000000" w:fill="FFFFFF"/>
            <w:noWrap/>
            <w:vAlign w:val="center"/>
            <w:hideMark/>
          </w:tcPr>
          <w:p w14:paraId="4209AF23"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1,580</w:t>
            </w:r>
          </w:p>
        </w:tc>
        <w:tc>
          <w:tcPr>
            <w:tcW w:w="434" w:type="pct"/>
            <w:tcBorders>
              <w:top w:val="nil"/>
              <w:left w:val="nil"/>
              <w:bottom w:val="nil"/>
              <w:right w:val="single" w:sz="4" w:space="0" w:color="auto"/>
            </w:tcBorders>
            <w:shd w:val="clear" w:color="000000" w:fill="CCECFF"/>
            <w:noWrap/>
            <w:vAlign w:val="center"/>
            <w:hideMark/>
          </w:tcPr>
          <w:p w14:paraId="08909A7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noWrap/>
            <w:vAlign w:val="center"/>
            <w:hideMark/>
          </w:tcPr>
          <w:p w14:paraId="2E82D5BF"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1,947</w:t>
            </w:r>
          </w:p>
        </w:tc>
        <w:tc>
          <w:tcPr>
            <w:tcW w:w="478" w:type="pct"/>
            <w:tcBorders>
              <w:top w:val="nil"/>
              <w:left w:val="nil"/>
              <w:bottom w:val="nil"/>
              <w:right w:val="nil"/>
            </w:tcBorders>
            <w:shd w:val="clear" w:color="000000" w:fill="CCECFF"/>
            <w:noWrap/>
            <w:vAlign w:val="center"/>
            <w:hideMark/>
          </w:tcPr>
          <w:p w14:paraId="6C4EC64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2,268</w:t>
            </w:r>
          </w:p>
        </w:tc>
        <w:tc>
          <w:tcPr>
            <w:tcW w:w="119" w:type="pct"/>
            <w:vAlign w:val="center"/>
            <w:hideMark/>
          </w:tcPr>
          <w:p w14:paraId="251A1725"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0562A357" w14:textId="77777777" w:rsidTr="00EB1C98">
        <w:trPr>
          <w:trHeight w:val="210"/>
        </w:trPr>
        <w:tc>
          <w:tcPr>
            <w:tcW w:w="2201" w:type="pct"/>
            <w:tcBorders>
              <w:top w:val="nil"/>
              <w:left w:val="nil"/>
              <w:bottom w:val="nil"/>
              <w:right w:val="nil"/>
            </w:tcBorders>
            <w:shd w:val="clear" w:color="000000" w:fill="FFFFFF"/>
            <w:vAlign w:val="center"/>
            <w:hideMark/>
          </w:tcPr>
          <w:p w14:paraId="36B778CC"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Actuarial gains and losses arising on changes in financial assumptions</w:t>
            </w:r>
          </w:p>
        </w:tc>
        <w:tc>
          <w:tcPr>
            <w:tcW w:w="434" w:type="pct"/>
            <w:tcBorders>
              <w:top w:val="nil"/>
              <w:left w:val="single" w:sz="4" w:space="0" w:color="auto"/>
              <w:bottom w:val="nil"/>
              <w:right w:val="nil"/>
            </w:tcBorders>
            <w:shd w:val="clear" w:color="000000" w:fill="FFFFFF"/>
            <w:noWrap/>
            <w:vAlign w:val="center"/>
            <w:hideMark/>
          </w:tcPr>
          <w:p w14:paraId="37A2060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38,468</w:t>
            </w:r>
          </w:p>
        </w:tc>
        <w:tc>
          <w:tcPr>
            <w:tcW w:w="434" w:type="pct"/>
            <w:tcBorders>
              <w:top w:val="nil"/>
              <w:left w:val="nil"/>
              <w:bottom w:val="nil"/>
              <w:right w:val="single" w:sz="4" w:space="0" w:color="auto"/>
            </w:tcBorders>
            <w:shd w:val="clear" w:color="000000" w:fill="CCECFF"/>
            <w:noWrap/>
            <w:vAlign w:val="center"/>
            <w:hideMark/>
          </w:tcPr>
          <w:p w14:paraId="5DCECF5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8,839</w:t>
            </w:r>
          </w:p>
        </w:tc>
        <w:tc>
          <w:tcPr>
            <w:tcW w:w="450" w:type="pct"/>
            <w:tcBorders>
              <w:top w:val="nil"/>
              <w:left w:val="nil"/>
              <w:bottom w:val="nil"/>
              <w:right w:val="nil"/>
            </w:tcBorders>
            <w:shd w:val="clear" w:color="000000" w:fill="FFFFFF"/>
            <w:noWrap/>
            <w:vAlign w:val="center"/>
            <w:hideMark/>
          </w:tcPr>
          <w:p w14:paraId="61F4A29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121,380</w:t>
            </w:r>
          </w:p>
        </w:tc>
        <w:tc>
          <w:tcPr>
            <w:tcW w:w="434" w:type="pct"/>
            <w:tcBorders>
              <w:top w:val="nil"/>
              <w:left w:val="nil"/>
              <w:bottom w:val="nil"/>
              <w:right w:val="single" w:sz="4" w:space="0" w:color="auto"/>
            </w:tcBorders>
            <w:shd w:val="clear" w:color="000000" w:fill="CCECFF"/>
            <w:noWrap/>
            <w:vAlign w:val="center"/>
            <w:hideMark/>
          </w:tcPr>
          <w:p w14:paraId="010EED07"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31,470</w:t>
            </w:r>
          </w:p>
        </w:tc>
        <w:tc>
          <w:tcPr>
            <w:tcW w:w="450" w:type="pct"/>
            <w:tcBorders>
              <w:top w:val="nil"/>
              <w:left w:val="nil"/>
              <w:bottom w:val="nil"/>
              <w:right w:val="nil"/>
            </w:tcBorders>
            <w:shd w:val="clear" w:color="000000" w:fill="FFFFFF"/>
            <w:noWrap/>
            <w:vAlign w:val="center"/>
            <w:hideMark/>
          </w:tcPr>
          <w:p w14:paraId="34A7DB6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159,848</w:t>
            </w:r>
          </w:p>
        </w:tc>
        <w:tc>
          <w:tcPr>
            <w:tcW w:w="478" w:type="pct"/>
            <w:tcBorders>
              <w:top w:val="nil"/>
              <w:left w:val="nil"/>
              <w:bottom w:val="nil"/>
              <w:right w:val="nil"/>
            </w:tcBorders>
            <w:shd w:val="clear" w:color="000000" w:fill="CCECFF"/>
            <w:noWrap/>
            <w:vAlign w:val="center"/>
            <w:hideMark/>
          </w:tcPr>
          <w:p w14:paraId="2699625A"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40,309</w:t>
            </w:r>
          </w:p>
        </w:tc>
        <w:tc>
          <w:tcPr>
            <w:tcW w:w="119" w:type="pct"/>
            <w:vAlign w:val="center"/>
            <w:hideMark/>
          </w:tcPr>
          <w:p w14:paraId="655EEACD"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1D03F7FA" w14:textId="77777777" w:rsidTr="00EB1C98">
        <w:trPr>
          <w:trHeight w:val="210"/>
        </w:trPr>
        <w:tc>
          <w:tcPr>
            <w:tcW w:w="2201" w:type="pct"/>
            <w:tcBorders>
              <w:top w:val="nil"/>
              <w:left w:val="nil"/>
              <w:bottom w:val="nil"/>
              <w:right w:val="nil"/>
            </w:tcBorders>
            <w:shd w:val="clear" w:color="000000" w:fill="FFFFFF"/>
            <w:vAlign w:val="center"/>
            <w:hideMark/>
          </w:tcPr>
          <w:p w14:paraId="3420E8C5"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Other</w:t>
            </w:r>
          </w:p>
        </w:tc>
        <w:tc>
          <w:tcPr>
            <w:tcW w:w="434" w:type="pct"/>
            <w:tcBorders>
              <w:top w:val="nil"/>
              <w:left w:val="single" w:sz="4" w:space="0" w:color="auto"/>
              <w:bottom w:val="nil"/>
              <w:right w:val="nil"/>
            </w:tcBorders>
            <w:shd w:val="clear" w:color="000000" w:fill="FFFFFF"/>
            <w:noWrap/>
            <w:vAlign w:val="center"/>
            <w:hideMark/>
          </w:tcPr>
          <w:p w14:paraId="6D8E8ED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2,021</w:t>
            </w:r>
          </w:p>
        </w:tc>
        <w:tc>
          <w:tcPr>
            <w:tcW w:w="434" w:type="pct"/>
            <w:tcBorders>
              <w:top w:val="nil"/>
              <w:left w:val="nil"/>
              <w:bottom w:val="nil"/>
              <w:right w:val="single" w:sz="4" w:space="0" w:color="auto"/>
            </w:tcBorders>
            <w:shd w:val="clear" w:color="000000" w:fill="CCECFF"/>
            <w:noWrap/>
            <w:vAlign w:val="center"/>
            <w:hideMark/>
          </w:tcPr>
          <w:p w14:paraId="110A3CE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(16,497)</w:t>
            </w:r>
          </w:p>
        </w:tc>
        <w:tc>
          <w:tcPr>
            <w:tcW w:w="450" w:type="pct"/>
            <w:tcBorders>
              <w:top w:val="nil"/>
              <w:left w:val="nil"/>
              <w:bottom w:val="nil"/>
              <w:right w:val="nil"/>
            </w:tcBorders>
            <w:shd w:val="clear" w:color="000000" w:fill="FFFFFF"/>
            <w:noWrap/>
            <w:vAlign w:val="center"/>
            <w:hideMark/>
          </w:tcPr>
          <w:p w14:paraId="50CE198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(360)</w:t>
            </w:r>
          </w:p>
        </w:tc>
        <w:tc>
          <w:tcPr>
            <w:tcW w:w="434" w:type="pct"/>
            <w:tcBorders>
              <w:top w:val="nil"/>
              <w:left w:val="nil"/>
              <w:bottom w:val="nil"/>
              <w:right w:val="single" w:sz="4" w:space="0" w:color="auto"/>
            </w:tcBorders>
            <w:shd w:val="clear" w:color="000000" w:fill="CCECFF"/>
            <w:noWrap/>
            <w:vAlign w:val="center"/>
            <w:hideMark/>
          </w:tcPr>
          <w:p w14:paraId="0DB6BDD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12,070</w:t>
            </w:r>
          </w:p>
        </w:tc>
        <w:tc>
          <w:tcPr>
            <w:tcW w:w="450" w:type="pct"/>
            <w:tcBorders>
              <w:top w:val="nil"/>
              <w:left w:val="nil"/>
              <w:bottom w:val="nil"/>
              <w:right w:val="nil"/>
            </w:tcBorders>
            <w:shd w:val="clear" w:color="000000" w:fill="FFFFFF"/>
            <w:noWrap/>
            <w:vAlign w:val="center"/>
            <w:hideMark/>
          </w:tcPr>
          <w:p w14:paraId="369EB55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1,661</w:t>
            </w:r>
          </w:p>
        </w:tc>
        <w:tc>
          <w:tcPr>
            <w:tcW w:w="478" w:type="pct"/>
            <w:tcBorders>
              <w:top w:val="nil"/>
              <w:left w:val="nil"/>
              <w:bottom w:val="nil"/>
              <w:right w:val="nil"/>
            </w:tcBorders>
            <w:shd w:val="clear" w:color="000000" w:fill="CCECFF"/>
            <w:noWrap/>
            <w:vAlign w:val="center"/>
            <w:hideMark/>
          </w:tcPr>
          <w:p w14:paraId="01A03762"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(4,427)</w:t>
            </w:r>
          </w:p>
        </w:tc>
        <w:tc>
          <w:tcPr>
            <w:tcW w:w="119" w:type="pct"/>
            <w:vAlign w:val="center"/>
            <w:hideMark/>
          </w:tcPr>
          <w:p w14:paraId="7A795D7A"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2B4594C4" w14:textId="77777777" w:rsidTr="00EB1C98">
        <w:trPr>
          <w:trHeight w:val="210"/>
        </w:trPr>
        <w:tc>
          <w:tcPr>
            <w:tcW w:w="2201" w:type="pct"/>
            <w:tcBorders>
              <w:top w:val="nil"/>
              <w:left w:val="nil"/>
              <w:bottom w:val="nil"/>
              <w:right w:val="nil"/>
            </w:tcBorders>
            <w:shd w:val="clear" w:color="000000" w:fill="FFFFFF"/>
            <w:vAlign w:val="center"/>
            <w:hideMark/>
          </w:tcPr>
          <w:p w14:paraId="3C4CEAFE"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Changes in the effect of the asset ceiling</w:t>
            </w:r>
          </w:p>
        </w:tc>
        <w:tc>
          <w:tcPr>
            <w:tcW w:w="434" w:type="pct"/>
            <w:tcBorders>
              <w:top w:val="nil"/>
              <w:left w:val="single" w:sz="4" w:space="0" w:color="auto"/>
              <w:bottom w:val="nil"/>
              <w:right w:val="nil"/>
            </w:tcBorders>
            <w:shd w:val="clear" w:color="000000" w:fill="FFFFFF"/>
            <w:noWrap/>
            <w:vAlign w:val="center"/>
            <w:hideMark/>
          </w:tcPr>
          <w:p w14:paraId="6DDFDC73"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noWrap/>
            <w:vAlign w:val="center"/>
            <w:hideMark/>
          </w:tcPr>
          <w:p w14:paraId="4019213D"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59,992</w:t>
            </w:r>
          </w:p>
        </w:tc>
        <w:tc>
          <w:tcPr>
            <w:tcW w:w="450" w:type="pct"/>
            <w:tcBorders>
              <w:top w:val="nil"/>
              <w:left w:val="nil"/>
              <w:bottom w:val="nil"/>
              <w:right w:val="nil"/>
            </w:tcBorders>
            <w:shd w:val="clear" w:color="000000" w:fill="FFFFFF"/>
            <w:noWrap/>
            <w:vAlign w:val="center"/>
            <w:hideMark/>
          </w:tcPr>
          <w:p w14:paraId="1F1CE592"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34" w:type="pct"/>
            <w:tcBorders>
              <w:top w:val="nil"/>
              <w:left w:val="nil"/>
              <w:bottom w:val="nil"/>
              <w:right w:val="single" w:sz="4" w:space="0" w:color="auto"/>
            </w:tcBorders>
            <w:shd w:val="clear" w:color="000000" w:fill="CCECFF"/>
            <w:noWrap/>
            <w:vAlign w:val="center"/>
            <w:hideMark/>
          </w:tcPr>
          <w:p w14:paraId="329FE5A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50" w:type="pct"/>
            <w:tcBorders>
              <w:top w:val="nil"/>
              <w:left w:val="nil"/>
              <w:bottom w:val="nil"/>
              <w:right w:val="nil"/>
            </w:tcBorders>
            <w:shd w:val="clear" w:color="000000" w:fill="FFFFFF"/>
            <w:noWrap/>
            <w:vAlign w:val="center"/>
            <w:hideMark/>
          </w:tcPr>
          <w:p w14:paraId="3B3A5325"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w:t>
            </w:r>
          </w:p>
        </w:tc>
        <w:tc>
          <w:tcPr>
            <w:tcW w:w="478" w:type="pct"/>
            <w:tcBorders>
              <w:top w:val="nil"/>
              <w:left w:val="nil"/>
              <w:bottom w:val="nil"/>
              <w:right w:val="nil"/>
            </w:tcBorders>
            <w:shd w:val="clear" w:color="000000" w:fill="CCECFF"/>
            <w:noWrap/>
            <w:vAlign w:val="center"/>
            <w:hideMark/>
          </w:tcPr>
          <w:p w14:paraId="4794889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59,992</w:t>
            </w:r>
          </w:p>
        </w:tc>
        <w:tc>
          <w:tcPr>
            <w:tcW w:w="119" w:type="pct"/>
            <w:vAlign w:val="center"/>
            <w:hideMark/>
          </w:tcPr>
          <w:p w14:paraId="28499E2B"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58463B7C" w14:textId="77777777" w:rsidTr="00EB1C98">
        <w:trPr>
          <w:trHeight w:val="210"/>
        </w:trPr>
        <w:tc>
          <w:tcPr>
            <w:tcW w:w="2201" w:type="pct"/>
            <w:tcBorders>
              <w:top w:val="nil"/>
              <w:left w:val="nil"/>
              <w:bottom w:val="nil"/>
              <w:right w:val="nil"/>
            </w:tcBorders>
            <w:shd w:val="clear" w:color="000000" w:fill="FFFFFF"/>
            <w:vAlign w:val="center"/>
            <w:hideMark/>
          </w:tcPr>
          <w:p w14:paraId="2768DF13" w14:textId="77777777" w:rsidR="001A39AD" w:rsidRPr="001A39AD" w:rsidRDefault="001A39AD" w:rsidP="00EB1C98">
            <w:pPr>
              <w:spacing w:after="0" w:line="240" w:lineRule="auto"/>
              <w:jc w:val="left"/>
              <w:rPr>
                <w:rFonts w:eastAsia="Times New Roman" w:cs="Calibri"/>
                <w:b/>
                <w:bCs/>
                <w:color w:val="auto"/>
                <w:sz w:val="16"/>
                <w:szCs w:val="16"/>
                <w:lang w:eastAsia="en-GB"/>
              </w:rPr>
            </w:pPr>
            <w:r w:rsidRPr="001A39AD">
              <w:rPr>
                <w:rFonts w:eastAsia="Times New Roman" w:cs="Calibri"/>
                <w:b/>
                <w:bCs/>
                <w:color w:val="auto"/>
                <w:sz w:val="16"/>
                <w:szCs w:val="16"/>
                <w:lang w:eastAsia="en-GB"/>
              </w:rPr>
              <w:t>Total remeasurements recognised in Other Comprehensive Income (OCI)</w:t>
            </w:r>
          </w:p>
        </w:tc>
        <w:tc>
          <w:tcPr>
            <w:tcW w:w="434" w:type="pct"/>
            <w:tcBorders>
              <w:top w:val="single" w:sz="4" w:space="0" w:color="auto"/>
              <w:left w:val="single" w:sz="4" w:space="0" w:color="auto"/>
              <w:bottom w:val="single" w:sz="4" w:space="0" w:color="auto"/>
              <w:right w:val="nil"/>
            </w:tcBorders>
            <w:shd w:val="clear" w:color="000000" w:fill="FFFFFF"/>
            <w:noWrap/>
            <w:vAlign w:val="center"/>
            <w:hideMark/>
          </w:tcPr>
          <w:p w14:paraId="7D429465"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33,642</w:t>
            </w:r>
          </w:p>
        </w:tc>
        <w:tc>
          <w:tcPr>
            <w:tcW w:w="434" w:type="pct"/>
            <w:tcBorders>
              <w:top w:val="single" w:sz="4" w:space="0" w:color="auto"/>
              <w:left w:val="nil"/>
              <w:bottom w:val="single" w:sz="4" w:space="0" w:color="auto"/>
              <w:right w:val="single" w:sz="4" w:space="0" w:color="auto"/>
            </w:tcBorders>
            <w:shd w:val="clear" w:color="000000" w:fill="CCECFF"/>
            <w:noWrap/>
            <w:vAlign w:val="center"/>
            <w:hideMark/>
          </w:tcPr>
          <w:p w14:paraId="7E43E53E"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57,522</w:t>
            </w:r>
          </w:p>
        </w:tc>
        <w:tc>
          <w:tcPr>
            <w:tcW w:w="450" w:type="pct"/>
            <w:tcBorders>
              <w:top w:val="single" w:sz="4" w:space="0" w:color="auto"/>
              <w:left w:val="nil"/>
              <w:bottom w:val="single" w:sz="4" w:space="0" w:color="auto"/>
              <w:right w:val="nil"/>
            </w:tcBorders>
            <w:shd w:val="clear" w:color="000000" w:fill="FFFFFF"/>
            <w:noWrap/>
            <w:vAlign w:val="center"/>
            <w:hideMark/>
          </w:tcPr>
          <w:p w14:paraId="0DBE73C9"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122,600</w:t>
            </w:r>
          </w:p>
        </w:tc>
        <w:tc>
          <w:tcPr>
            <w:tcW w:w="434" w:type="pct"/>
            <w:tcBorders>
              <w:top w:val="single" w:sz="4" w:space="0" w:color="auto"/>
              <w:left w:val="nil"/>
              <w:bottom w:val="single" w:sz="4" w:space="0" w:color="auto"/>
              <w:right w:val="single" w:sz="4" w:space="0" w:color="auto"/>
            </w:tcBorders>
            <w:shd w:val="clear" w:color="000000" w:fill="CCECFF"/>
            <w:noWrap/>
            <w:vAlign w:val="center"/>
            <w:hideMark/>
          </w:tcPr>
          <w:p w14:paraId="5E6CAE06"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43,540</w:t>
            </w:r>
          </w:p>
        </w:tc>
        <w:tc>
          <w:tcPr>
            <w:tcW w:w="450" w:type="pct"/>
            <w:tcBorders>
              <w:top w:val="single" w:sz="4" w:space="0" w:color="auto"/>
              <w:left w:val="nil"/>
              <w:bottom w:val="single" w:sz="4" w:space="0" w:color="auto"/>
              <w:right w:val="nil"/>
            </w:tcBorders>
            <w:shd w:val="clear" w:color="000000" w:fill="FFFFFF"/>
            <w:noWrap/>
            <w:vAlign w:val="center"/>
            <w:hideMark/>
          </w:tcPr>
          <w:p w14:paraId="0A5D0B60"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156,242</w:t>
            </w:r>
          </w:p>
        </w:tc>
        <w:tc>
          <w:tcPr>
            <w:tcW w:w="478" w:type="pct"/>
            <w:tcBorders>
              <w:top w:val="single" w:sz="4" w:space="0" w:color="auto"/>
              <w:left w:val="nil"/>
              <w:bottom w:val="single" w:sz="4" w:space="0" w:color="auto"/>
              <w:right w:val="nil"/>
            </w:tcBorders>
            <w:shd w:val="clear" w:color="000000" w:fill="CCECFF"/>
            <w:noWrap/>
            <w:vAlign w:val="center"/>
            <w:hideMark/>
          </w:tcPr>
          <w:p w14:paraId="2E8A2AA2"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101,062</w:t>
            </w:r>
          </w:p>
        </w:tc>
        <w:tc>
          <w:tcPr>
            <w:tcW w:w="119" w:type="pct"/>
            <w:vAlign w:val="center"/>
            <w:hideMark/>
          </w:tcPr>
          <w:p w14:paraId="05924AA4"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12112D77" w14:textId="77777777" w:rsidTr="00EB1C98">
        <w:trPr>
          <w:trHeight w:val="210"/>
        </w:trPr>
        <w:tc>
          <w:tcPr>
            <w:tcW w:w="2201" w:type="pct"/>
            <w:tcBorders>
              <w:top w:val="nil"/>
              <w:left w:val="nil"/>
              <w:bottom w:val="nil"/>
              <w:right w:val="nil"/>
            </w:tcBorders>
            <w:shd w:val="clear" w:color="000000" w:fill="FFFFFF"/>
            <w:vAlign w:val="center"/>
            <w:hideMark/>
          </w:tcPr>
          <w:p w14:paraId="1964EFF2"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single" w:sz="4" w:space="0" w:color="auto"/>
              <w:bottom w:val="nil"/>
              <w:right w:val="nil"/>
            </w:tcBorders>
            <w:shd w:val="clear" w:color="000000" w:fill="FFFFFF"/>
            <w:vAlign w:val="center"/>
            <w:hideMark/>
          </w:tcPr>
          <w:p w14:paraId="5055DFF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noWrap/>
            <w:vAlign w:val="center"/>
            <w:hideMark/>
          </w:tcPr>
          <w:p w14:paraId="097E0AC2"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436F69E7"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243E89F4"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 </w:t>
            </w:r>
          </w:p>
        </w:tc>
        <w:tc>
          <w:tcPr>
            <w:tcW w:w="450" w:type="pct"/>
            <w:tcBorders>
              <w:top w:val="nil"/>
              <w:left w:val="nil"/>
              <w:bottom w:val="nil"/>
              <w:right w:val="nil"/>
            </w:tcBorders>
            <w:shd w:val="clear" w:color="000000" w:fill="FFFFFF"/>
            <w:vAlign w:val="center"/>
            <w:hideMark/>
          </w:tcPr>
          <w:p w14:paraId="0E3F109D"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noWrap/>
            <w:vAlign w:val="center"/>
            <w:hideMark/>
          </w:tcPr>
          <w:p w14:paraId="246D08A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05F13880"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1A76F82A" w14:textId="77777777" w:rsidTr="00EB1C98">
        <w:trPr>
          <w:trHeight w:val="210"/>
        </w:trPr>
        <w:tc>
          <w:tcPr>
            <w:tcW w:w="2201" w:type="pct"/>
            <w:tcBorders>
              <w:top w:val="nil"/>
              <w:left w:val="nil"/>
              <w:bottom w:val="nil"/>
              <w:right w:val="nil"/>
            </w:tcBorders>
            <w:shd w:val="clear" w:color="000000" w:fill="FFFFFF"/>
            <w:vAlign w:val="center"/>
            <w:hideMark/>
          </w:tcPr>
          <w:p w14:paraId="3809F317" w14:textId="77777777" w:rsidR="001A39AD" w:rsidRPr="001A39AD" w:rsidRDefault="001A39AD" w:rsidP="00EB1C98">
            <w:pPr>
              <w:spacing w:after="0" w:line="240" w:lineRule="auto"/>
              <w:jc w:val="left"/>
              <w:rPr>
                <w:rFonts w:eastAsia="Times New Roman" w:cs="Calibri"/>
                <w:b/>
                <w:bCs/>
                <w:color w:val="auto"/>
                <w:sz w:val="16"/>
                <w:szCs w:val="16"/>
                <w:u w:val="single"/>
                <w:lang w:eastAsia="en-GB"/>
              </w:rPr>
            </w:pPr>
            <w:r w:rsidRPr="001A39AD">
              <w:rPr>
                <w:rFonts w:eastAsia="Times New Roman" w:cs="Calibri"/>
                <w:b/>
                <w:bCs/>
                <w:color w:val="auto"/>
                <w:sz w:val="16"/>
                <w:szCs w:val="16"/>
                <w:u w:val="single"/>
                <w:lang w:eastAsia="en-GB"/>
              </w:rPr>
              <w:t>Movement In Reserves</w:t>
            </w:r>
          </w:p>
        </w:tc>
        <w:tc>
          <w:tcPr>
            <w:tcW w:w="434" w:type="pct"/>
            <w:tcBorders>
              <w:top w:val="nil"/>
              <w:left w:val="single" w:sz="4" w:space="0" w:color="auto"/>
              <w:bottom w:val="nil"/>
              <w:right w:val="nil"/>
            </w:tcBorders>
            <w:shd w:val="clear" w:color="000000" w:fill="FFFFFF"/>
            <w:vAlign w:val="center"/>
            <w:hideMark/>
          </w:tcPr>
          <w:p w14:paraId="70BF906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00145BA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280BBB4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651B73F2" w14:textId="77777777" w:rsidR="001A39AD" w:rsidRPr="001A39AD" w:rsidRDefault="001A39AD" w:rsidP="00EB1C98">
            <w:pPr>
              <w:spacing w:after="0" w:line="240" w:lineRule="auto"/>
              <w:jc w:val="right"/>
              <w:rPr>
                <w:rFonts w:eastAsia="Times New Roman" w:cs="Calibri"/>
                <w:b/>
                <w:bCs/>
                <w:color w:val="auto"/>
                <w:sz w:val="16"/>
                <w:szCs w:val="16"/>
                <w:lang w:eastAsia="en-GB"/>
              </w:rPr>
            </w:pPr>
            <w:r w:rsidRPr="001A39AD">
              <w:rPr>
                <w:rFonts w:eastAsia="Times New Roman" w:cs="Calibri"/>
                <w:b/>
                <w:bCs/>
                <w:color w:val="auto"/>
                <w:sz w:val="16"/>
                <w:szCs w:val="16"/>
                <w:lang w:eastAsia="en-GB"/>
              </w:rPr>
              <w:t> </w:t>
            </w:r>
          </w:p>
        </w:tc>
        <w:tc>
          <w:tcPr>
            <w:tcW w:w="450" w:type="pct"/>
            <w:tcBorders>
              <w:top w:val="nil"/>
              <w:left w:val="nil"/>
              <w:bottom w:val="nil"/>
              <w:right w:val="nil"/>
            </w:tcBorders>
            <w:shd w:val="clear" w:color="000000" w:fill="FFFFFF"/>
            <w:vAlign w:val="center"/>
            <w:hideMark/>
          </w:tcPr>
          <w:p w14:paraId="693BEF6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vAlign w:val="center"/>
            <w:hideMark/>
          </w:tcPr>
          <w:p w14:paraId="3B5BBF6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49CB61E2"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25A95ECC" w14:textId="77777777" w:rsidTr="00EB1C98">
        <w:trPr>
          <w:trHeight w:val="210"/>
        </w:trPr>
        <w:tc>
          <w:tcPr>
            <w:tcW w:w="2201" w:type="pct"/>
            <w:tcBorders>
              <w:top w:val="nil"/>
              <w:left w:val="nil"/>
              <w:bottom w:val="nil"/>
              <w:right w:val="nil"/>
            </w:tcBorders>
            <w:shd w:val="clear" w:color="000000" w:fill="FFFFFF"/>
            <w:vAlign w:val="center"/>
            <w:hideMark/>
          </w:tcPr>
          <w:p w14:paraId="611B2DA9"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Movement on Pensions Reserve</w:t>
            </w:r>
          </w:p>
        </w:tc>
        <w:tc>
          <w:tcPr>
            <w:tcW w:w="434" w:type="pct"/>
            <w:tcBorders>
              <w:top w:val="nil"/>
              <w:left w:val="single" w:sz="4" w:space="0" w:color="auto"/>
              <w:bottom w:val="nil"/>
              <w:right w:val="nil"/>
            </w:tcBorders>
            <w:shd w:val="clear" w:color="000000" w:fill="FFFFFF"/>
            <w:vAlign w:val="center"/>
            <w:hideMark/>
          </w:tcPr>
          <w:p w14:paraId="6AB39465"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(35,210)</w:t>
            </w:r>
          </w:p>
        </w:tc>
        <w:tc>
          <w:tcPr>
            <w:tcW w:w="434" w:type="pct"/>
            <w:tcBorders>
              <w:top w:val="nil"/>
              <w:left w:val="nil"/>
              <w:bottom w:val="nil"/>
              <w:right w:val="single" w:sz="4" w:space="0" w:color="auto"/>
            </w:tcBorders>
            <w:shd w:val="clear" w:color="000000" w:fill="CCECFF"/>
            <w:vAlign w:val="center"/>
            <w:hideMark/>
          </w:tcPr>
          <w:p w14:paraId="0650C50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(60,412)</w:t>
            </w:r>
          </w:p>
        </w:tc>
        <w:tc>
          <w:tcPr>
            <w:tcW w:w="450" w:type="pct"/>
            <w:tcBorders>
              <w:top w:val="nil"/>
              <w:left w:val="nil"/>
              <w:bottom w:val="nil"/>
              <w:right w:val="nil"/>
            </w:tcBorders>
            <w:shd w:val="clear" w:color="000000" w:fill="FFFFFF"/>
            <w:vAlign w:val="center"/>
            <w:hideMark/>
          </w:tcPr>
          <w:p w14:paraId="63A36B5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(101,390)</w:t>
            </w:r>
          </w:p>
        </w:tc>
        <w:tc>
          <w:tcPr>
            <w:tcW w:w="434" w:type="pct"/>
            <w:tcBorders>
              <w:top w:val="nil"/>
              <w:left w:val="nil"/>
              <w:bottom w:val="nil"/>
              <w:right w:val="single" w:sz="4" w:space="0" w:color="auto"/>
            </w:tcBorders>
            <w:shd w:val="clear" w:color="000000" w:fill="CCECFF"/>
            <w:vAlign w:val="center"/>
            <w:hideMark/>
          </w:tcPr>
          <w:p w14:paraId="0F58F11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(21,960)</w:t>
            </w:r>
          </w:p>
        </w:tc>
        <w:tc>
          <w:tcPr>
            <w:tcW w:w="450" w:type="pct"/>
            <w:tcBorders>
              <w:top w:val="nil"/>
              <w:left w:val="nil"/>
              <w:bottom w:val="nil"/>
              <w:right w:val="nil"/>
            </w:tcBorders>
            <w:shd w:val="clear" w:color="000000" w:fill="FFFFFF"/>
            <w:vAlign w:val="center"/>
            <w:hideMark/>
          </w:tcPr>
          <w:p w14:paraId="62260A6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(136,600)</w:t>
            </w:r>
          </w:p>
        </w:tc>
        <w:tc>
          <w:tcPr>
            <w:tcW w:w="478" w:type="pct"/>
            <w:tcBorders>
              <w:top w:val="nil"/>
              <w:left w:val="nil"/>
              <w:bottom w:val="nil"/>
              <w:right w:val="nil"/>
            </w:tcBorders>
            <w:shd w:val="clear" w:color="000000" w:fill="CCECFF"/>
            <w:vAlign w:val="center"/>
            <w:hideMark/>
          </w:tcPr>
          <w:p w14:paraId="686AAFD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(82,372)</w:t>
            </w:r>
          </w:p>
        </w:tc>
        <w:tc>
          <w:tcPr>
            <w:tcW w:w="119" w:type="pct"/>
            <w:vAlign w:val="center"/>
            <w:hideMark/>
          </w:tcPr>
          <w:p w14:paraId="5FE9C14C"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0E98BA6E" w14:textId="77777777" w:rsidTr="00EB1C98">
        <w:trPr>
          <w:trHeight w:val="660"/>
        </w:trPr>
        <w:tc>
          <w:tcPr>
            <w:tcW w:w="2201" w:type="pct"/>
            <w:tcBorders>
              <w:top w:val="nil"/>
              <w:left w:val="nil"/>
              <w:bottom w:val="nil"/>
              <w:right w:val="nil"/>
            </w:tcBorders>
            <w:shd w:val="clear" w:color="000000" w:fill="FFFFFF"/>
            <w:vAlign w:val="center"/>
            <w:hideMark/>
          </w:tcPr>
          <w:p w14:paraId="6DA677F2"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(Reversal of net charges made for retirement benefits in accordance with IAS 19)</w:t>
            </w:r>
          </w:p>
        </w:tc>
        <w:tc>
          <w:tcPr>
            <w:tcW w:w="434" w:type="pct"/>
            <w:tcBorders>
              <w:top w:val="nil"/>
              <w:left w:val="single" w:sz="4" w:space="0" w:color="auto"/>
              <w:bottom w:val="nil"/>
              <w:right w:val="nil"/>
            </w:tcBorders>
            <w:shd w:val="clear" w:color="000000" w:fill="FFFFFF"/>
            <w:vAlign w:val="center"/>
            <w:hideMark/>
          </w:tcPr>
          <w:p w14:paraId="265475D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113903AF"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534F16D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1C2CB7F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7A9926A2"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vAlign w:val="center"/>
            <w:hideMark/>
          </w:tcPr>
          <w:p w14:paraId="606C1ABF"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2E4B0201"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240F85A5" w14:textId="77777777" w:rsidTr="00EB1C98">
        <w:trPr>
          <w:trHeight w:val="210"/>
        </w:trPr>
        <w:tc>
          <w:tcPr>
            <w:tcW w:w="2201" w:type="pct"/>
            <w:tcBorders>
              <w:top w:val="nil"/>
              <w:left w:val="nil"/>
              <w:bottom w:val="nil"/>
              <w:right w:val="nil"/>
            </w:tcBorders>
            <w:shd w:val="clear" w:color="000000" w:fill="FFFFFF"/>
            <w:vAlign w:val="center"/>
            <w:hideMark/>
          </w:tcPr>
          <w:p w14:paraId="1434CE2D"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single" w:sz="4" w:space="0" w:color="auto"/>
              <w:bottom w:val="nil"/>
              <w:right w:val="nil"/>
            </w:tcBorders>
            <w:shd w:val="clear" w:color="000000" w:fill="FFFFFF"/>
            <w:vAlign w:val="center"/>
            <w:hideMark/>
          </w:tcPr>
          <w:p w14:paraId="48D6616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63626F3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5251C542"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26094FD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4E49B7C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vAlign w:val="center"/>
            <w:hideMark/>
          </w:tcPr>
          <w:p w14:paraId="7D1C8670"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4A5E7085"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6660A8EE" w14:textId="77777777" w:rsidTr="00EB1C98">
        <w:trPr>
          <w:trHeight w:val="705"/>
        </w:trPr>
        <w:tc>
          <w:tcPr>
            <w:tcW w:w="2201" w:type="pct"/>
            <w:tcBorders>
              <w:top w:val="nil"/>
              <w:left w:val="nil"/>
              <w:bottom w:val="nil"/>
              <w:right w:val="nil"/>
            </w:tcBorders>
            <w:shd w:val="clear" w:color="000000" w:fill="FFFFFF"/>
            <w:vAlign w:val="center"/>
            <w:hideMark/>
          </w:tcPr>
          <w:p w14:paraId="0286D0EE" w14:textId="77777777" w:rsidR="001A39AD" w:rsidRPr="001A39AD" w:rsidRDefault="001A39AD" w:rsidP="00EB1C98">
            <w:pPr>
              <w:spacing w:after="0" w:line="240" w:lineRule="auto"/>
              <w:jc w:val="left"/>
              <w:rPr>
                <w:rFonts w:eastAsia="Times New Roman" w:cs="Calibri"/>
                <w:b/>
                <w:bCs/>
                <w:color w:val="auto"/>
                <w:sz w:val="16"/>
                <w:szCs w:val="16"/>
                <w:u w:val="single"/>
                <w:lang w:eastAsia="en-GB"/>
              </w:rPr>
            </w:pPr>
            <w:r w:rsidRPr="001A39AD">
              <w:rPr>
                <w:rFonts w:eastAsia="Times New Roman" w:cs="Calibri"/>
                <w:b/>
                <w:bCs/>
                <w:color w:val="auto"/>
                <w:sz w:val="16"/>
                <w:szCs w:val="16"/>
                <w:u w:val="single"/>
                <w:lang w:eastAsia="en-GB"/>
              </w:rPr>
              <w:t>Actual amount charged against Council Tax (General Fund Balance) for pensions</w:t>
            </w:r>
          </w:p>
        </w:tc>
        <w:tc>
          <w:tcPr>
            <w:tcW w:w="434" w:type="pct"/>
            <w:tcBorders>
              <w:top w:val="nil"/>
              <w:left w:val="single" w:sz="4" w:space="0" w:color="auto"/>
              <w:bottom w:val="nil"/>
              <w:right w:val="nil"/>
            </w:tcBorders>
            <w:shd w:val="clear" w:color="000000" w:fill="FFFFFF"/>
            <w:vAlign w:val="center"/>
            <w:hideMark/>
          </w:tcPr>
          <w:p w14:paraId="0909E09A"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5AFA38E1"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4C6504C4"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34" w:type="pct"/>
            <w:tcBorders>
              <w:top w:val="nil"/>
              <w:left w:val="nil"/>
              <w:bottom w:val="nil"/>
              <w:right w:val="single" w:sz="4" w:space="0" w:color="auto"/>
            </w:tcBorders>
            <w:shd w:val="clear" w:color="000000" w:fill="CCECFF"/>
            <w:vAlign w:val="center"/>
            <w:hideMark/>
          </w:tcPr>
          <w:p w14:paraId="5A74B97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50" w:type="pct"/>
            <w:tcBorders>
              <w:top w:val="nil"/>
              <w:left w:val="nil"/>
              <w:bottom w:val="nil"/>
              <w:right w:val="nil"/>
            </w:tcBorders>
            <w:shd w:val="clear" w:color="000000" w:fill="FFFFFF"/>
            <w:vAlign w:val="center"/>
            <w:hideMark/>
          </w:tcPr>
          <w:p w14:paraId="4AFC7B33"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478" w:type="pct"/>
            <w:tcBorders>
              <w:top w:val="nil"/>
              <w:left w:val="nil"/>
              <w:bottom w:val="nil"/>
              <w:right w:val="nil"/>
            </w:tcBorders>
            <w:shd w:val="clear" w:color="000000" w:fill="CCECFF"/>
            <w:vAlign w:val="center"/>
            <w:hideMark/>
          </w:tcPr>
          <w:p w14:paraId="530F335C"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 </w:t>
            </w:r>
          </w:p>
        </w:tc>
        <w:tc>
          <w:tcPr>
            <w:tcW w:w="119" w:type="pct"/>
            <w:vAlign w:val="center"/>
            <w:hideMark/>
          </w:tcPr>
          <w:p w14:paraId="0932367A"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r w:rsidR="001A39AD" w:rsidRPr="001A39AD" w14:paraId="32CDE552" w14:textId="77777777" w:rsidTr="00EB1C98">
        <w:trPr>
          <w:trHeight w:val="210"/>
        </w:trPr>
        <w:tc>
          <w:tcPr>
            <w:tcW w:w="2201" w:type="pct"/>
            <w:tcBorders>
              <w:top w:val="nil"/>
              <w:left w:val="nil"/>
              <w:bottom w:val="nil"/>
              <w:right w:val="nil"/>
            </w:tcBorders>
            <w:shd w:val="clear" w:color="000000" w:fill="FFFFFF"/>
            <w:vAlign w:val="center"/>
            <w:hideMark/>
          </w:tcPr>
          <w:p w14:paraId="253D9EA9" w14:textId="77777777" w:rsidR="001A39AD" w:rsidRPr="001A39AD" w:rsidRDefault="001A39AD" w:rsidP="00EB1C98">
            <w:pPr>
              <w:spacing w:after="0" w:line="240" w:lineRule="auto"/>
              <w:jc w:val="left"/>
              <w:rPr>
                <w:rFonts w:eastAsia="Times New Roman" w:cs="Calibri"/>
                <w:color w:val="auto"/>
                <w:sz w:val="16"/>
                <w:szCs w:val="16"/>
                <w:lang w:eastAsia="en-GB"/>
              </w:rPr>
            </w:pPr>
            <w:r w:rsidRPr="001A39AD">
              <w:rPr>
                <w:rFonts w:eastAsia="Times New Roman" w:cs="Calibri"/>
                <w:color w:val="auto"/>
                <w:sz w:val="16"/>
                <w:szCs w:val="16"/>
                <w:lang w:eastAsia="en-GB"/>
              </w:rPr>
              <w:t>Contributions to the Scheme</w:t>
            </w:r>
          </w:p>
        </w:tc>
        <w:tc>
          <w:tcPr>
            <w:tcW w:w="434" w:type="pct"/>
            <w:tcBorders>
              <w:top w:val="nil"/>
              <w:left w:val="single" w:sz="4" w:space="0" w:color="auto"/>
              <w:bottom w:val="nil"/>
              <w:right w:val="nil"/>
            </w:tcBorders>
            <w:shd w:val="clear" w:color="000000" w:fill="FFFFFF"/>
            <w:noWrap/>
            <w:vAlign w:val="center"/>
            <w:hideMark/>
          </w:tcPr>
          <w:p w14:paraId="47FC77F6"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7,921</w:t>
            </w:r>
          </w:p>
        </w:tc>
        <w:tc>
          <w:tcPr>
            <w:tcW w:w="434" w:type="pct"/>
            <w:tcBorders>
              <w:top w:val="nil"/>
              <w:left w:val="nil"/>
              <w:bottom w:val="nil"/>
              <w:right w:val="single" w:sz="4" w:space="0" w:color="auto"/>
            </w:tcBorders>
            <w:shd w:val="clear" w:color="000000" w:fill="CCECFF"/>
            <w:noWrap/>
            <w:vAlign w:val="center"/>
            <w:hideMark/>
          </w:tcPr>
          <w:p w14:paraId="3B92E58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8,503</w:t>
            </w:r>
          </w:p>
        </w:tc>
        <w:tc>
          <w:tcPr>
            <w:tcW w:w="450" w:type="pct"/>
            <w:tcBorders>
              <w:top w:val="nil"/>
              <w:left w:val="nil"/>
              <w:bottom w:val="nil"/>
              <w:right w:val="nil"/>
            </w:tcBorders>
            <w:shd w:val="clear" w:color="000000" w:fill="FFFFFF"/>
            <w:noWrap/>
            <w:vAlign w:val="center"/>
            <w:hideMark/>
          </w:tcPr>
          <w:p w14:paraId="0D7CE2C9"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37,920</w:t>
            </w:r>
          </w:p>
        </w:tc>
        <w:tc>
          <w:tcPr>
            <w:tcW w:w="434" w:type="pct"/>
            <w:tcBorders>
              <w:top w:val="nil"/>
              <w:left w:val="nil"/>
              <w:bottom w:val="nil"/>
              <w:right w:val="single" w:sz="4" w:space="0" w:color="auto"/>
            </w:tcBorders>
            <w:shd w:val="clear" w:color="000000" w:fill="CCECFF"/>
            <w:vAlign w:val="center"/>
            <w:hideMark/>
          </w:tcPr>
          <w:p w14:paraId="0B14F1F8"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37,910</w:t>
            </w:r>
          </w:p>
        </w:tc>
        <w:tc>
          <w:tcPr>
            <w:tcW w:w="450" w:type="pct"/>
            <w:tcBorders>
              <w:top w:val="nil"/>
              <w:left w:val="nil"/>
              <w:bottom w:val="nil"/>
              <w:right w:val="nil"/>
            </w:tcBorders>
            <w:shd w:val="clear" w:color="000000" w:fill="FFFFFF"/>
            <w:vAlign w:val="center"/>
            <w:hideMark/>
          </w:tcPr>
          <w:p w14:paraId="3D936C5E"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45,841</w:t>
            </w:r>
          </w:p>
        </w:tc>
        <w:tc>
          <w:tcPr>
            <w:tcW w:w="478" w:type="pct"/>
            <w:tcBorders>
              <w:top w:val="nil"/>
              <w:left w:val="nil"/>
              <w:bottom w:val="nil"/>
              <w:right w:val="nil"/>
            </w:tcBorders>
            <w:shd w:val="clear" w:color="000000" w:fill="CCECFF"/>
            <w:vAlign w:val="center"/>
            <w:hideMark/>
          </w:tcPr>
          <w:p w14:paraId="5BB1319B" w14:textId="77777777" w:rsidR="001A39AD" w:rsidRPr="001A39AD" w:rsidRDefault="001A39AD" w:rsidP="00EB1C98">
            <w:pPr>
              <w:spacing w:after="0" w:line="240" w:lineRule="auto"/>
              <w:jc w:val="right"/>
              <w:rPr>
                <w:rFonts w:eastAsia="Times New Roman" w:cs="Calibri"/>
                <w:color w:val="auto"/>
                <w:sz w:val="16"/>
                <w:szCs w:val="16"/>
                <w:lang w:eastAsia="en-GB"/>
              </w:rPr>
            </w:pPr>
            <w:r w:rsidRPr="001A39AD">
              <w:rPr>
                <w:rFonts w:eastAsia="Times New Roman" w:cs="Calibri"/>
                <w:color w:val="auto"/>
                <w:sz w:val="16"/>
                <w:szCs w:val="16"/>
                <w:lang w:eastAsia="en-GB"/>
              </w:rPr>
              <w:t>46,413</w:t>
            </w:r>
          </w:p>
        </w:tc>
        <w:tc>
          <w:tcPr>
            <w:tcW w:w="119" w:type="pct"/>
            <w:vAlign w:val="center"/>
            <w:hideMark/>
          </w:tcPr>
          <w:p w14:paraId="37C8F0E2" w14:textId="77777777" w:rsidR="001A39AD" w:rsidRPr="001A39AD" w:rsidRDefault="001A39AD" w:rsidP="001A39AD">
            <w:pPr>
              <w:spacing w:after="0" w:line="240" w:lineRule="auto"/>
              <w:jc w:val="left"/>
              <w:rPr>
                <w:rFonts w:ascii="Times New Roman" w:eastAsia="Times New Roman" w:hAnsi="Times New Roman" w:cs="Times New Roman"/>
                <w:color w:val="auto"/>
                <w:szCs w:val="20"/>
                <w:lang w:eastAsia="en-GB"/>
              </w:rPr>
            </w:pPr>
          </w:p>
        </w:tc>
      </w:tr>
    </w:tbl>
    <w:p w14:paraId="49E70887" w14:textId="43E5F19A" w:rsidR="00904A5D" w:rsidRPr="00A56345" w:rsidRDefault="00904A5D" w:rsidP="003356AE">
      <w:pPr>
        <w:pStyle w:val="RedBullet"/>
        <w:numPr>
          <w:ilvl w:val="0"/>
          <w:numId w:val="0"/>
        </w:numPr>
        <w:spacing w:line="240" w:lineRule="auto"/>
      </w:pPr>
    </w:p>
    <w:p w14:paraId="3F3EED99" w14:textId="1655A781" w:rsidR="003C09E9" w:rsidRPr="00673492" w:rsidRDefault="003C09E9" w:rsidP="003356AE">
      <w:pPr>
        <w:spacing w:line="240" w:lineRule="auto"/>
      </w:pPr>
      <w:r w:rsidRPr="00673492">
        <w:rPr>
          <w:rFonts w:ascii="Verdana" w:hAnsi="Verdana"/>
          <w:sz w:val="16"/>
          <w:szCs w:val="16"/>
        </w:rPr>
        <w:t xml:space="preserve">** </w:t>
      </w:r>
      <w:r w:rsidRPr="00673492">
        <w:t>The net of interest costs and return on assets reconciles to the amount included within financing and investment income and expenditure on the face of the CIES</w:t>
      </w:r>
      <w:r w:rsidR="009657AF">
        <w:t>.</w:t>
      </w:r>
    </w:p>
    <w:p w14:paraId="2CC72336" w14:textId="77777777" w:rsidR="003C09E9" w:rsidRPr="00673492" w:rsidRDefault="003C09E9" w:rsidP="003356AE">
      <w:pPr>
        <w:spacing w:line="240" w:lineRule="auto"/>
      </w:pPr>
    </w:p>
    <w:p w14:paraId="6E9E8B02" w14:textId="77777777" w:rsidR="003C09E9" w:rsidRPr="00673492" w:rsidRDefault="003C09E9" w:rsidP="003356AE">
      <w:pPr>
        <w:spacing w:line="240" w:lineRule="auto"/>
      </w:pPr>
      <w:r w:rsidRPr="00673492">
        <w:t>In accordance with the Code of Practice and the Police Service Expenditure Analysis the items within the table above are credited / debited to the CIES in the following ways:</w:t>
      </w:r>
    </w:p>
    <w:p w14:paraId="5347B500" w14:textId="77777777" w:rsidR="003C09E9" w:rsidRPr="00673492" w:rsidRDefault="003C09E9" w:rsidP="003356AE">
      <w:pPr>
        <w:spacing w:line="240" w:lineRule="auto"/>
      </w:pPr>
    </w:p>
    <w:p w14:paraId="00F7A2C9" w14:textId="2AD6BA38" w:rsidR="003C09E9" w:rsidRPr="008441E1" w:rsidRDefault="003C09E9" w:rsidP="003356AE">
      <w:pPr>
        <w:pStyle w:val="RedBullet"/>
        <w:spacing w:line="240" w:lineRule="auto"/>
      </w:pPr>
      <w:r w:rsidRPr="008441E1">
        <w:t>Current Service Costs &amp; Employers contributions to the scheme and additional contributions to the Police Pensions Fund Account are all apportioned across the Local Policing to National Policing headings by officer numbers</w:t>
      </w:r>
    </w:p>
    <w:p w14:paraId="481EB318" w14:textId="744C9B71" w:rsidR="003C09E9" w:rsidRPr="008441E1" w:rsidRDefault="003C09E9" w:rsidP="003356AE">
      <w:pPr>
        <w:pStyle w:val="RedBullet"/>
        <w:spacing w:line="240" w:lineRule="auto"/>
      </w:pPr>
      <w:r w:rsidRPr="008441E1">
        <w:t xml:space="preserve">Past Service Costs are wholly included within the heading </w:t>
      </w:r>
      <w:r w:rsidR="0012073E" w:rsidRPr="008441E1">
        <w:t>Policing Services</w:t>
      </w:r>
    </w:p>
    <w:p w14:paraId="19311987" w14:textId="1A881606" w:rsidR="007B4191" w:rsidRPr="00B66E5E" w:rsidRDefault="003C09E9" w:rsidP="003356AE">
      <w:pPr>
        <w:pStyle w:val="RedBullet"/>
        <w:spacing w:line="240" w:lineRule="auto"/>
        <w:rPr>
          <w:rFonts w:eastAsia="Calibri"/>
        </w:rPr>
      </w:pPr>
      <w:r w:rsidRPr="008441E1">
        <w:t>Interest Costs and Expected Return on Employers Assets are included within Financing &amp; Investment Income &amp; Expenditure</w:t>
      </w:r>
    </w:p>
    <w:p w14:paraId="2CCD43A3" w14:textId="77777777" w:rsidR="00A27AC9" w:rsidRDefault="00A27AC9" w:rsidP="003356AE">
      <w:pPr>
        <w:pStyle w:val="VAHeadingLevel2"/>
        <w:spacing w:line="240" w:lineRule="auto"/>
      </w:pPr>
    </w:p>
    <w:p w14:paraId="70D475D4" w14:textId="77777777" w:rsidR="006A418A" w:rsidRDefault="006A418A" w:rsidP="003356AE">
      <w:pPr>
        <w:spacing w:line="240" w:lineRule="auto"/>
        <w:jc w:val="left"/>
        <w:rPr>
          <w:rFonts w:asciiTheme="minorHAnsi" w:eastAsia="Times New Roman" w:hAnsiTheme="minorHAnsi" w:cs="Times New Roman"/>
          <w:bCs/>
          <w:color w:val="25316C"/>
          <w:sz w:val="24"/>
        </w:rPr>
      </w:pPr>
      <w:r>
        <w:br w:type="page"/>
      </w:r>
    </w:p>
    <w:p w14:paraId="2DBCB0E5" w14:textId="1EEFCE92" w:rsidR="003C09E9" w:rsidRPr="00673492" w:rsidRDefault="003C09E9" w:rsidP="003356AE">
      <w:pPr>
        <w:pStyle w:val="VAHeadingLevel2"/>
        <w:spacing w:line="240" w:lineRule="auto"/>
      </w:pPr>
      <w:r w:rsidRPr="00673492">
        <w:lastRenderedPageBreak/>
        <w:t>Assets and Liabilities in relation to Retirement Benefits</w:t>
      </w:r>
    </w:p>
    <w:p w14:paraId="3ADB19AF" w14:textId="77777777" w:rsidR="003C09E9" w:rsidRPr="00AA1DEB" w:rsidRDefault="003C09E9" w:rsidP="003356AE">
      <w:pPr>
        <w:spacing w:line="240" w:lineRule="auto"/>
        <w:rPr>
          <w:rFonts w:cs="Arial"/>
          <w:sz w:val="12"/>
          <w:szCs w:val="16"/>
        </w:rPr>
      </w:pPr>
    </w:p>
    <w:p w14:paraId="3DDE802C" w14:textId="004C49F8" w:rsidR="00AD7882" w:rsidRPr="006A418A" w:rsidRDefault="003C09E9" w:rsidP="003356AE">
      <w:pPr>
        <w:pStyle w:val="VAHeadingLevel3"/>
        <w:spacing w:line="240" w:lineRule="auto"/>
      </w:pPr>
      <w:r w:rsidRPr="006A418A">
        <w:rPr>
          <w:rFonts w:eastAsia="Calibri"/>
        </w:rPr>
        <w:t>Reconciliation of the Present Value of the Schemes Liabilities:</w:t>
      </w:r>
    </w:p>
    <w:p w14:paraId="1E68F482" w14:textId="35F99C17" w:rsidR="004C739A" w:rsidRDefault="004C739A"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4991"/>
        <w:gridCol w:w="1007"/>
        <w:gridCol w:w="1009"/>
        <w:gridCol w:w="1060"/>
        <w:gridCol w:w="1005"/>
      </w:tblGrid>
      <w:tr w:rsidR="007D20A1" w:rsidRPr="007D20A1" w14:paraId="7B5D5179" w14:textId="77777777" w:rsidTr="00317A73">
        <w:trPr>
          <w:trHeight w:val="930"/>
        </w:trPr>
        <w:tc>
          <w:tcPr>
            <w:tcW w:w="2751" w:type="pct"/>
            <w:tcBorders>
              <w:top w:val="nil"/>
              <w:left w:val="nil"/>
              <w:bottom w:val="nil"/>
              <w:right w:val="nil"/>
            </w:tcBorders>
            <w:shd w:val="clear" w:color="000000" w:fill="000099"/>
            <w:vAlign w:val="center"/>
            <w:hideMark/>
          </w:tcPr>
          <w:p w14:paraId="350BCF75"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 </w:t>
            </w:r>
          </w:p>
        </w:tc>
        <w:tc>
          <w:tcPr>
            <w:tcW w:w="1111" w:type="pct"/>
            <w:gridSpan w:val="2"/>
            <w:tcBorders>
              <w:top w:val="nil"/>
              <w:left w:val="nil"/>
              <w:bottom w:val="nil"/>
              <w:right w:val="nil"/>
            </w:tcBorders>
            <w:shd w:val="clear" w:color="000000" w:fill="000099"/>
            <w:vAlign w:val="center"/>
            <w:hideMark/>
          </w:tcPr>
          <w:p w14:paraId="21228A08"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Funded Liabilities</w:t>
            </w:r>
            <w:r w:rsidRPr="007D20A1">
              <w:rPr>
                <w:rFonts w:eastAsia="Times New Roman" w:cs="Calibri"/>
                <w:b/>
                <w:bCs/>
                <w:color w:val="FFFFFF"/>
                <w:sz w:val="18"/>
                <w:szCs w:val="18"/>
                <w:lang w:eastAsia="en-GB"/>
              </w:rPr>
              <w:br/>
              <w:t>Local Government Pension Scheme</w:t>
            </w:r>
          </w:p>
        </w:tc>
        <w:tc>
          <w:tcPr>
            <w:tcW w:w="1139" w:type="pct"/>
            <w:gridSpan w:val="2"/>
            <w:tcBorders>
              <w:top w:val="nil"/>
              <w:left w:val="nil"/>
              <w:bottom w:val="nil"/>
              <w:right w:val="nil"/>
            </w:tcBorders>
            <w:shd w:val="clear" w:color="000000" w:fill="000099"/>
            <w:vAlign w:val="center"/>
            <w:hideMark/>
          </w:tcPr>
          <w:p w14:paraId="4516162B"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Unfunded Liabilities</w:t>
            </w:r>
            <w:r w:rsidRPr="007D20A1">
              <w:rPr>
                <w:rFonts w:eastAsia="Times New Roman" w:cs="Calibri"/>
                <w:b/>
                <w:bCs/>
                <w:color w:val="FFFFFF"/>
                <w:sz w:val="18"/>
                <w:szCs w:val="18"/>
                <w:lang w:eastAsia="en-GB"/>
              </w:rPr>
              <w:br/>
              <w:t>Police Pension Scheme</w:t>
            </w:r>
          </w:p>
        </w:tc>
      </w:tr>
      <w:tr w:rsidR="007D20A1" w:rsidRPr="007D20A1" w14:paraId="24340E74" w14:textId="77777777" w:rsidTr="00317A73">
        <w:trPr>
          <w:trHeight w:val="210"/>
        </w:trPr>
        <w:tc>
          <w:tcPr>
            <w:tcW w:w="2751" w:type="pct"/>
            <w:tcBorders>
              <w:top w:val="nil"/>
              <w:left w:val="nil"/>
              <w:bottom w:val="nil"/>
              <w:right w:val="nil"/>
            </w:tcBorders>
            <w:shd w:val="clear" w:color="000000" w:fill="000099"/>
            <w:noWrap/>
            <w:vAlign w:val="center"/>
            <w:hideMark/>
          </w:tcPr>
          <w:p w14:paraId="0B3627C4"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 </w:t>
            </w:r>
          </w:p>
        </w:tc>
        <w:tc>
          <w:tcPr>
            <w:tcW w:w="555" w:type="pct"/>
            <w:tcBorders>
              <w:top w:val="nil"/>
              <w:left w:val="nil"/>
              <w:bottom w:val="nil"/>
              <w:right w:val="nil"/>
            </w:tcBorders>
            <w:shd w:val="clear" w:color="000000" w:fill="000099"/>
            <w:noWrap/>
            <w:vAlign w:val="center"/>
            <w:hideMark/>
          </w:tcPr>
          <w:p w14:paraId="37A05428"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31 Mar 25</w:t>
            </w:r>
          </w:p>
        </w:tc>
        <w:tc>
          <w:tcPr>
            <w:tcW w:w="556" w:type="pct"/>
            <w:tcBorders>
              <w:top w:val="nil"/>
              <w:left w:val="nil"/>
              <w:bottom w:val="nil"/>
              <w:right w:val="nil"/>
            </w:tcBorders>
            <w:shd w:val="clear" w:color="000000" w:fill="000099"/>
            <w:noWrap/>
            <w:vAlign w:val="center"/>
            <w:hideMark/>
          </w:tcPr>
          <w:p w14:paraId="1CC96716"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31 Mar 26</w:t>
            </w:r>
          </w:p>
        </w:tc>
        <w:tc>
          <w:tcPr>
            <w:tcW w:w="584" w:type="pct"/>
            <w:tcBorders>
              <w:top w:val="nil"/>
              <w:left w:val="nil"/>
              <w:bottom w:val="nil"/>
              <w:right w:val="nil"/>
            </w:tcBorders>
            <w:shd w:val="clear" w:color="000000" w:fill="000099"/>
            <w:noWrap/>
            <w:vAlign w:val="center"/>
            <w:hideMark/>
          </w:tcPr>
          <w:p w14:paraId="758487B0"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31 Mar 25</w:t>
            </w:r>
          </w:p>
        </w:tc>
        <w:tc>
          <w:tcPr>
            <w:tcW w:w="554" w:type="pct"/>
            <w:tcBorders>
              <w:top w:val="nil"/>
              <w:left w:val="nil"/>
              <w:bottom w:val="nil"/>
              <w:right w:val="nil"/>
            </w:tcBorders>
            <w:shd w:val="clear" w:color="000000" w:fill="000099"/>
            <w:noWrap/>
            <w:vAlign w:val="center"/>
            <w:hideMark/>
          </w:tcPr>
          <w:p w14:paraId="78565CD3"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31 Mar 26</w:t>
            </w:r>
          </w:p>
        </w:tc>
      </w:tr>
      <w:tr w:rsidR="007D20A1" w:rsidRPr="007D20A1" w14:paraId="0869B21A" w14:textId="77777777" w:rsidTr="00317A73">
        <w:trPr>
          <w:trHeight w:val="210"/>
        </w:trPr>
        <w:tc>
          <w:tcPr>
            <w:tcW w:w="2751" w:type="pct"/>
            <w:tcBorders>
              <w:top w:val="nil"/>
              <w:left w:val="nil"/>
              <w:bottom w:val="nil"/>
              <w:right w:val="nil"/>
            </w:tcBorders>
            <w:shd w:val="clear" w:color="000000" w:fill="000099"/>
            <w:noWrap/>
            <w:vAlign w:val="center"/>
            <w:hideMark/>
          </w:tcPr>
          <w:p w14:paraId="7C1B3F18"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 </w:t>
            </w:r>
          </w:p>
        </w:tc>
        <w:tc>
          <w:tcPr>
            <w:tcW w:w="555" w:type="pct"/>
            <w:tcBorders>
              <w:top w:val="nil"/>
              <w:left w:val="nil"/>
              <w:bottom w:val="nil"/>
              <w:right w:val="nil"/>
            </w:tcBorders>
            <w:shd w:val="clear" w:color="000000" w:fill="000099"/>
            <w:noWrap/>
            <w:vAlign w:val="center"/>
            <w:hideMark/>
          </w:tcPr>
          <w:p w14:paraId="3C507C72"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£000</w:t>
            </w:r>
          </w:p>
        </w:tc>
        <w:tc>
          <w:tcPr>
            <w:tcW w:w="556" w:type="pct"/>
            <w:tcBorders>
              <w:top w:val="nil"/>
              <w:left w:val="nil"/>
              <w:bottom w:val="nil"/>
              <w:right w:val="nil"/>
            </w:tcBorders>
            <w:shd w:val="clear" w:color="000000" w:fill="000099"/>
            <w:noWrap/>
            <w:vAlign w:val="center"/>
            <w:hideMark/>
          </w:tcPr>
          <w:p w14:paraId="76C2FDA6"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£000</w:t>
            </w:r>
          </w:p>
        </w:tc>
        <w:tc>
          <w:tcPr>
            <w:tcW w:w="584" w:type="pct"/>
            <w:tcBorders>
              <w:top w:val="nil"/>
              <w:left w:val="nil"/>
              <w:bottom w:val="nil"/>
              <w:right w:val="nil"/>
            </w:tcBorders>
            <w:shd w:val="clear" w:color="000000" w:fill="000099"/>
            <w:noWrap/>
            <w:vAlign w:val="center"/>
            <w:hideMark/>
          </w:tcPr>
          <w:p w14:paraId="3189BA26"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£000</w:t>
            </w:r>
          </w:p>
        </w:tc>
        <w:tc>
          <w:tcPr>
            <w:tcW w:w="554" w:type="pct"/>
            <w:tcBorders>
              <w:top w:val="nil"/>
              <w:left w:val="nil"/>
              <w:bottom w:val="nil"/>
              <w:right w:val="nil"/>
            </w:tcBorders>
            <w:shd w:val="clear" w:color="000000" w:fill="000099"/>
            <w:noWrap/>
            <w:vAlign w:val="center"/>
            <w:hideMark/>
          </w:tcPr>
          <w:p w14:paraId="0BB70C90" w14:textId="77777777" w:rsidR="007D20A1" w:rsidRPr="007D20A1" w:rsidRDefault="007D20A1" w:rsidP="007D20A1">
            <w:pPr>
              <w:spacing w:after="0" w:line="240" w:lineRule="auto"/>
              <w:jc w:val="center"/>
              <w:rPr>
                <w:rFonts w:eastAsia="Times New Roman" w:cs="Calibri"/>
                <w:b/>
                <w:bCs/>
                <w:color w:val="FFFFFF"/>
                <w:sz w:val="18"/>
                <w:szCs w:val="18"/>
                <w:lang w:eastAsia="en-GB"/>
              </w:rPr>
            </w:pPr>
            <w:r w:rsidRPr="007D20A1">
              <w:rPr>
                <w:rFonts w:eastAsia="Times New Roman" w:cs="Calibri"/>
                <w:b/>
                <w:bCs/>
                <w:color w:val="FFFFFF"/>
                <w:sz w:val="18"/>
                <w:szCs w:val="18"/>
                <w:lang w:eastAsia="en-GB"/>
              </w:rPr>
              <w:t>£000</w:t>
            </w:r>
          </w:p>
        </w:tc>
      </w:tr>
      <w:tr w:rsidR="007D20A1" w:rsidRPr="007D20A1" w14:paraId="37AB4437" w14:textId="77777777" w:rsidTr="00B26130">
        <w:trPr>
          <w:trHeight w:val="340"/>
        </w:trPr>
        <w:tc>
          <w:tcPr>
            <w:tcW w:w="2751" w:type="pct"/>
            <w:tcBorders>
              <w:top w:val="nil"/>
              <w:left w:val="nil"/>
              <w:bottom w:val="nil"/>
              <w:right w:val="nil"/>
            </w:tcBorders>
            <w:shd w:val="clear" w:color="000000" w:fill="FFFFFF"/>
            <w:vAlign w:val="center"/>
            <w:hideMark/>
          </w:tcPr>
          <w:p w14:paraId="59E2555A" w14:textId="2BB36924" w:rsidR="007D20A1" w:rsidRPr="007D20A1" w:rsidRDefault="007D20A1" w:rsidP="007D20A1">
            <w:pPr>
              <w:spacing w:after="0" w:line="240" w:lineRule="auto"/>
              <w:jc w:val="left"/>
              <w:rPr>
                <w:rFonts w:eastAsia="Times New Roman" w:cs="Calibri"/>
                <w:b/>
                <w:bCs/>
                <w:color w:val="auto"/>
                <w:sz w:val="18"/>
                <w:szCs w:val="18"/>
                <w:lang w:eastAsia="en-GB"/>
              </w:rPr>
            </w:pPr>
            <w:r w:rsidRPr="007D20A1">
              <w:rPr>
                <w:rFonts w:eastAsia="Times New Roman" w:cs="Calibri"/>
                <w:b/>
                <w:bCs/>
                <w:color w:val="auto"/>
                <w:sz w:val="18"/>
                <w:szCs w:val="18"/>
                <w:lang w:eastAsia="en-GB"/>
              </w:rPr>
              <w:t>Opening Defined Benefit Obligation 1 April</w:t>
            </w:r>
          </w:p>
        </w:tc>
        <w:tc>
          <w:tcPr>
            <w:tcW w:w="555" w:type="pct"/>
            <w:tcBorders>
              <w:top w:val="nil"/>
              <w:left w:val="single" w:sz="4" w:space="0" w:color="auto"/>
              <w:bottom w:val="nil"/>
              <w:right w:val="nil"/>
            </w:tcBorders>
            <w:shd w:val="clear" w:color="000000" w:fill="FFFFFF"/>
            <w:noWrap/>
            <w:vAlign w:val="center"/>
            <w:hideMark/>
          </w:tcPr>
          <w:p w14:paraId="5AF14997"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(209,707)</w:t>
            </w:r>
          </w:p>
        </w:tc>
        <w:tc>
          <w:tcPr>
            <w:tcW w:w="556" w:type="pct"/>
            <w:tcBorders>
              <w:top w:val="nil"/>
              <w:left w:val="nil"/>
              <w:bottom w:val="nil"/>
              <w:right w:val="nil"/>
            </w:tcBorders>
            <w:shd w:val="clear" w:color="000000" w:fill="CCECFF"/>
            <w:noWrap/>
            <w:vAlign w:val="center"/>
            <w:hideMark/>
          </w:tcPr>
          <w:p w14:paraId="75A11545"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(183,032)</w:t>
            </w:r>
          </w:p>
        </w:tc>
        <w:tc>
          <w:tcPr>
            <w:tcW w:w="584" w:type="pct"/>
            <w:tcBorders>
              <w:top w:val="nil"/>
              <w:left w:val="single" w:sz="4" w:space="0" w:color="auto"/>
              <w:bottom w:val="nil"/>
              <w:right w:val="nil"/>
            </w:tcBorders>
            <w:shd w:val="clear" w:color="000000" w:fill="FFFFFF"/>
            <w:noWrap/>
            <w:vAlign w:val="center"/>
            <w:hideMark/>
          </w:tcPr>
          <w:p w14:paraId="3FB9FC17"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(1,055,020)</w:t>
            </w:r>
          </w:p>
        </w:tc>
        <w:tc>
          <w:tcPr>
            <w:tcW w:w="554" w:type="pct"/>
            <w:tcBorders>
              <w:top w:val="nil"/>
              <w:left w:val="nil"/>
              <w:bottom w:val="nil"/>
              <w:right w:val="nil"/>
            </w:tcBorders>
            <w:shd w:val="clear" w:color="000000" w:fill="CCECFF"/>
            <w:noWrap/>
            <w:vAlign w:val="center"/>
            <w:hideMark/>
          </w:tcPr>
          <w:p w14:paraId="5D08DA4B"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(953,630)</w:t>
            </w:r>
          </w:p>
        </w:tc>
      </w:tr>
      <w:tr w:rsidR="007D20A1" w:rsidRPr="007D20A1" w14:paraId="755EAB3E" w14:textId="77777777" w:rsidTr="00B26130">
        <w:trPr>
          <w:trHeight w:val="340"/>
        </w:trPr>
        <w:tc>
          <w:tcPr>
            <w:tcW w:w="2751" w:type="pct"/>
            <w:tcBorders>
              <w:top w:val="nil"/>
              <w:left w:val="nil"/>
              <w:bottom w:val="nil"/>
              <w:right w:val="nil"/>
            </w:tcBorders>
            <w:shd w:val="clear" w:color="000000" w:fill="FFFFFF"/>
            <w:vAlign w:val="center"/>
            <w:hideMark/>
          </w:tcPr>
          <w:p w14:paraId="4064CB12"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Current Service Cost (net up for employee contributions)</w:t>
            </w:r>
          </w:p>
        </w:tc>
        <w:tc>
          <w:tcPr>
            <w:tcW w:w="555" w:type="pct"/>
            <w:tcBorders>
              <w:top w:val="nil"/>
              <w:left w:val="single" w:sz="4" w:space="0" w:color="auto"/>
              <w:bottom w:val="nil"/>
              <w:right w:val="nil"/>
            </w:tcBorders>
            <w:shd w:val="clear" w:color="000000" w:fill="FFFFFF"/>
            <w:noWrap/>
            <w:vAlign w:val="center"/>
            <w:hideMark/>
          </w:tcPr>
          <w:p w14:paraId="75CF4A40"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(7,281)</w:t>
            </w:r>
          </w:p>
        </w:tc>
        <w:tc>
          <w:tcPr>
            <w:tcW w:w="556" w:type="pct"/>
            <w:tcBorders>
              <w:top w:val="nil"/>
              <w:left w:val="nil"/>
              <w:bottom w:val="nil"/>
              <w:right w:val="nil"/>
            </w:tcBorders>
            <w:shd w:val="clear" w:color="000000" w:fill="CCECFF"/>
            <w:noWrap/>
            <w:vAlign w:val="center"/>
            <w:hideMark/>
          </w:tcPr>
          <w:p w14:paraId="2C607BDA"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(5,696)</w:t>
            </w:r>
          </w:p>
        </w:tc>
        <w:tc>
          <w:tcPr>
            <w:tcW w:w="584" w:type="pct"/>
            <w:tcBorders>
              <w:top w:val="nil"/>
              <w:left w:val="single" w:sz="4" w:space="0" w:color="auto"/>
              <w:bottom w:val="nil"/>
              <w:right w:val="nil"/>
            </w:tcBorders>
            <w:shd w:val="clear" w:color="000000" w:fill="FFFFFF"/>
            <w:noWrap/>
            <w:vAlign w:val="center"/>
            <w:hideMark/>
          </w:tcPr>
          <w:p w14:paraId="0C7C24C1"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(9,680)</w:t>
            </w:r>
          </w:p>
        </w:tc>
        <w:tc>
          <w:tcPr>
            <w:tcW w:w="554" w:type="pct"/>
            <w:tcBorders>
              <w:top w:val="nil"/>
              <w:left w:val="nil"/>
              <w:bottom w:val="nil"/>
              <w:right w:val="nil"/>
            </w:tcBorders>
            <w:shd w:val="clear" w:color="000000" w:fill="CCECFF"/>
            <w:noWrap/>
            <w:vAlign w:val="center"/>
            <w:hideMark/>
          </w:tcPr>
          <w:p w14:paraId="119AA954"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(6,490)</w:t>
            </w:r>
          </w:p>
        </w:tc>
      </w:tr>
      <w:tr w:rsidR="007D20A1" w:rsidRPr="007D20A1" w14:paraId="5828F754" w14:textId="77777777" w:rsidTr="00B26130">
        <w:trPr>
          <w:trHeight w:val="340"/>
        </w:trPr>
        <w:tc>
          <w:tcPr>
            <w:tcW w:w="2751" w:type="pct"/>
            <w:tcBorders>
              <w:top w:val="nil"/>
              <w:left w:val="nil"/>
              <w:bottom w:val="nil"/>
              <w:right w:val="nil"/>
            </w:tcBorders>
            <w:shd w:val="clear" w:color="000000" w:fill="FFFFFF"/>
            <w:noWrap/>
            <w:vAlign w:val="center"/>
            <w:hideMark/>
          </w:tcPr>
          <w:p w14:paraId="4BDC5E69"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 xml:space="preserve">Interest Cost </w:t>
            </w:r>
          </w:p>
        </w:tc>
        <w:tc>
          <w:tcPr>
            <w:tcW w:w="555" w:type="pct"/>
            <w:tcBorders>
              <w:top w:val="nil"/>
              <w:left w:val="single" w:sz="4" w:space="0" w:color="auto"/>
              <w:bottom w:val="nil"/>
              <w:right w:val="nil"/>
            </w:tcBorders>
            <w:shd w:val="clear" w:color="000000" w:fill="FFFFFF"/>
            <w:noWrap/>
            <w:vAlign w:val="center"/>
            <w:hideMark/>
          </w:tcPr>
          <w:p w14:paraId="601EC9C5"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(10,258)</w:t>
            </w:r>
          </w:p>
        </w:tc>
        <w:tc>
          <w:tcPr>
            <w:tcW w:w="556" w:type="pct"/>
            <w:tcBorders>
              <w:top w:val="nil"/>
              <w:left w:val="nil"/>
              <w:bottom w:val="nil"/>
              <w:right w:val="nil"/>
            </w:tcBorders>
            <w:shd w:val="clear" w:color="000000" w:fill="CCECFF"/>
            <w:noWrap/>
            <w:vAlign w:val="center"/>
            <w:hideMark/>
          </w:tcPr>
          <w:p w14:paraId="182F6C6D"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(10,685)</w:t>
            </w:r>
          </w:p>
        </w:tc>
        <w:tc>
          <w:tcPr>
            <w:tcW w:w="584" w:type="pct"/>
            <w:tcBorders>
              <w:top w:val="nil"/>
              <w:left w:val="single" w:sz="4" w:space="0" w:color="auto"/>
              <w:bottom w:val="nil"/>
              <w:right w:val="nil"/>
            </w:tcBorders>
            <w:shd w:val="clear" w:color="000000" w:fill="FFFFFF"/>
            <w:noWrap/>
            <w:vAlign w:val="center"/>
            <w:hideMark/>
          </w:tcPr>
          <w:p w14:paraId="6E5F4D9D"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(49,450)</w:t>
            </w:r>
          </w:p>
        </w:tc>
        <w:tc>
          <w:tcPr>
            <w:tcW w:w="554" w:type="pct"/>
            <w:tcBorders>
              <w:top w:val="nil"/>
              <w:left w:val="nil"/>
              <w:bottom w:val="nil"/>
              <w:right w:val="nil"/>
            </w:tcBorders>
            <w:shd w:val="clear" w:color="000000" w:fill="CCECFF"/>
            <w:noWrap/>
            <w:vAlign w:val="center"/>
            <w:hideMark/>
          </w:tcPr>
          <w:p w14:paraId="59316CD4"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(53,000)</w:t>
            </w:r>
          </w:p>
        </w:tc>
      </w:tr>
      <w:tr w:rsidR="007D20A1" w:rsidRPr="007D20A1" w14:paraId="64369253" w14:textId="77777777" w:rsidTr="00B26130">
        <w:trPr>
          <w:trHeight w:val="340"/>
        </w:trPr>
        <w:tc>
          <w:tcPr>
            <w:tcW w:w="2751" w:type="pct"/>
            <w:tcBorders>
              <w:top w:val="nil"/>
              <w:left w:val="nil"/>
              <w:bottom w:val="nil"/>
              <w:right w:val="nil"/>
            </w:tcBorders>
            <w:shd w:val="clear" w:color="000000" w:fill="FFFFFF"/>
            <w:noWrap/>
            <w:vAlign w:val="center"/>
            <w:hideMark/>
          </w:tcPr>
          <w:p w14:paraId="36A52416"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Contributions by Scheme Participants</w:t>
            </w:r>
          </w:p>
        </w:tc>
        <w:tc>
          <w:tcPr>
            <w:tcW w:w="555" w:type="pct"/>
            <w:tcBorders>
              <w:top w:val="nil"/>
              <w:left w:val="single" w:sz="4" w:space="0" w:color="auto"/>
              <w:bottom w:val="nil"/>
              <w:right w:val="nil"/>
            </w:tcBorders>
            <w:shd w:val="clear" w:color="000000" w:fill="FFFFFF"/>
            <w:noWrap/>
            <w:vAlign w:val="center"/>
            <w:hideMark/>
          </w:tcPr>
          <w:p w14:paraId="78664046"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(2,683)</w:t>
            </w:r>
          </w:p>
        </w:tc>
        <w:tc>
          <w:tcPr>
            <w:tcW w:w="556" w:type="pct"/>
            <w:tcBorders>
              <w:top w:val="nil"/>
              <w:left w:val="nil"/>
              <w:bottom w:val="nil"/>
              <w:right w:val="nil"/>
            </w:tcBorders>
            <w:shd w:val="clear" w:color="000000" w:fill="CCECFF"/>
            <w:noWrap/>
            <w:vAlign w:val="center"/>
            <w:hideMark/>
          </w:tcPr>
          <w:p w14:paraId="05BCA6EF"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(3,003)</w:t>
            </w:r>
          </w:p>
        </w:tc>
        <w:tc>
          <w:tcPr>
            <w:tcW w:w="584" w:type="pct"/>
            <w:tcBorders>
              <w:top w:val="nil"/>
              <w:left w:val="single" w:sz="4" w:space="0" w:color="auto"/>
              <w:bottom w:val="nil"/>
              <w:right w:val="nil"/>
            </w:tcBorders>
            <w:shd w:val="clear" w:color="000000" w:fill="FFFFFF"/>
            <w:noWrap/>
            <w:vAlign w:val="center"/>
            <w:hideMark/>
          </w:tcPr>
          <w:p w14:paraId="315CC8B6"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(7,870)</w:t>
            </w:r>
          </w:p>
        </w:tc>
        <w:tc>
          <w:tcPr>
            <w:tcW w:w="554" w:type="pct"/>
            <w:tcBorders>
              <w:top w:val="nil"/>
              <w:left w:val="nil"/>
              <w:bottom w:val="nil"/>
              <w:right w:val="nil"/>
            </w:tcBorders>
            <w:shd w:val="clear" w:color="000000" w:fill="CCECFF"/>
            <w:noWrap/>
            <w:vAlign w:val="center"/>
            <w:hideMark/>
          </w:tcPr>
          <w:p w14:paraId="4F8CB633"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(8,270)</w:t>
            </w:r>
          </w:p>
        </w:tc>
      </w:tr>
      <w:tr w:rsidR="007D20A1" w:rsidRPr="007D20A1" w14:paraId="0C2E18BB" w14:textId="77777777" w:rsidTr="00B26130">
        <w:trPr>
          <w:trHeight w:val="340"/>
        </w:trPr>
        <w:tc>
          <w:tcPr>
            <w:tcW w:w="2751" w:type="pct"/>
            <w:tcBorders>
              <w:top w:val="nil"/>
              <w:left w:val="nil"/>
              <w:bottom w:val="nil"/>
              <w:right w:val="nil"/>
            </w:tcBorders>
            <w:shd w:val="clear" w:color="000000" w:fill="FFFFFF"/>
            <w:noWrap/>
            <w:vAlign w:val="center"/>
            <w:hideMark/>
          </w:tcPr>
          <w:p w14:paraId="1C986527"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Actuarial (Gains)/ Losses</w:t>
            </w:r>
          </w:p>
        </w:tc>
        <w:tc>
          <w:tcPr>
            <w:tcW w:w="555" w:type="pct"/>
            <w:tcBorders>
              <w:top w:val="nil"/>
              <w:left w:val="single" w:sz="4" w:space="0" w:color="auto"/>
              <w:bottom w:val="nil"/>
              <w:right w:val="nil"/>
            </w:tcBorders>
            <w:shd w:val="clear" w:color="000000" w:fill="FFFFFF"/>
            <w:noWrap/>
            <w:vAlign w:val="center"/>
            <w:hideMark/>
          </w:tcPr>
          <w:p w14:paraId="1D6D4B55"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40,856</w:t>
            </w:r>
          </w:p>
        </w:tc>
        <w:tc>
          <w:tcPr>
            <w:tcW w:w="556" w:type="pct"/>
            <w:tcBorders>
              <w:top w:val="nil"/>
              <w:left w:val="nil"/>
              <w:bottom w:val="nil"/>
              <w:right w:val="nil"/>
            </w:tcBorders>
            <w:shd w:val="clear" w:color="000000" w:fill="CCECFF"/>
            <w:noWrap/>
            <w:vAlign w:val="center"/>
            <w:hideMark/>
          </w:tcPr>
          <w:p w14:paraId="04EFBE45"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(10,321)</w:t>
            </w:r>
          </w:p>
        </w:tc>
        <w:tc>
          <w:tcPr>
            <w:tcW w:w="584" w:type="pct"/>
            <w:tcBorders>
              <w:top w:val="nil"/>
              <w:left w:val="single" w:sz="4" w:space="0" w:color="auto"/>
              <w:bottom w:val="nil"/>
              <w:right w:val="nil"/>
            </w:tcBorders>
            <w:shd w:val="clear" w:color="000000" w:fill="FFFFFF"/>
            <w:noWrap/>
            <w:vAlign w:val="center"/>
            <w:hideMark/>
          </w:tcPr>
          <w:p w14:paraId="7C630DFE"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122,600</w:t>
            </w:r>
          </w:p>
        </w:tc>
        <w:tc>
          <w:tcPr>
            <w:tcW w:w="554" w:type="pct"/>
            <w:tcBorders>
              <w:top w:val="nil"/>
              <w:left w:val="nil"/>
              <w:bottom w:val="nil"/>
              <w:right w:val="nil"/>
            </w:tcBorders>
            <w:shd w:val="clear" w:color="000000" w:fill="CCECFF"/>
            <w:noWrap/>
            <w:vAlign w:val="center"/>
            <w:hideMark/>
          </w:tcPr>
          <w:p w14:paraId="7F1CBA90"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43,540</w:t>
            </w:r>
          </w:p>
        </w:tc>
      </w:tr>
      <w:tr w:rsidR="007D20A1" w:rsidRPr="007D20A1" w14:paraId="5FB0319F" w14:textId="77777777" w:rsidTr="00B26130">
        <w:trPr>
          <w:trHeight w:val="340"/>
        </w:trPr>
        <w:tc>
          <w:tcPr>
            <w:tcW w:w="2751" w:type="pct"/>
            <w:tcBorders>
              <w:top w:val="nil"/>
              <w:left w:val="nil"/>
              <w:bottom w:val="nil"/>
              <w:right w:val="nil"/>
            </w:tcBorders>
            <w:shd w:val="clear" w:color="000000" w:fill="FFFFFF"/>
            <w:noWrap/>
            <w:vAlign w:val="center"/>
            <w:hideMark/>
          </w:tcPr>
          <w:p w14:paraId="5F777F7F"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 xml:space="preserve">Past Service (Costs)/ Gains </w:t>
            </w:r>
          </w:p>
        </w:tc>
        <w:tc>
          <w:tcPr>
            <w:tcW w:w="555" w:type="pct"/>
            <w:tcBorders>
              <w:top w:val="nil"/>
              <w:left w:val="single" w:sz="4" w:space="0" w:color="auto"/>
              <w:bottom w:val="nil"/>
              <w:right w:val="nil"/>
            </w:tcBorders>
            <w:shd w:val="clear" w:color="000000" w:fill="FFFFFF"/>
            <w:noWrap/>
            <w:vAlign w:val="center"/>
            <w:hideMark/>
          </w:tcPr>
          <w:p w14:paraId="06630282"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(126)</w:t>
            </w:r>
          </w:p>
        </w:tc>
        <w:tc>
          <w:tcPr>
            <w:tcW w:w="556" w:type="pct"/>
            <w:tcBorders>
              <w:top w:val="nil"/>
              <w:left w:val="nil"/>
              <w:bottom w:val="nil"/>
              <w:right w:val="nil"/>
            </w:tcBorders>
            <w:shd w:val="clear" w:color="000000" w:fill="CCECFF"/>
            <w:noWrap/>
            <w:vAlign w:val="center"/>
            <w:hideMark/>
          </w:tcPr>
          <w:p w14:paraId="1F63E0C3"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84" w:type="pct"/>
            <w:tcBorders>
              <w:top w:val="nil"/>
              <w:left w:val="single" w:sz="4" w:space="0" w:color="auto"/>
              <w:bottom w:val="nil"/>
              <w:right w:val="nil"/>
            </w:tcBorders>
            <w:shd w:val="clear" w:color="000000" w:fill="FFFFFF"/>
            <w:noWrap/>
            <w:vAlign w:val="center"/>
            <w:hideMark/>
          </w:tcPr>
          <w:p w14:paraId="55B260C5"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4" w:type="pct"/>
            <w:tcBorders>
              <w:top w:val="nil"/>
              <w:left w:val="nil"/>
              <w:bottom w:val="nil"/>
              <w:right w:val="nil"/>
            </w:tcBorders>
            <w:shd w:val="clear" w:color="000000" w:fill="CCECFF"/>
            <w:noWrap/>
            <w:vAlign w:val="center"/>
            <w:hideMark/>
          </w:tcPr>
          <w:p w14:paraId="37374DCB"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r>
      <w:tr w:rsidR="007D20A1" w:rsidRPr="007D20A1" w14:paraId="15CB2A2D" w14:textId="77777777" w:rsidTr="00B26130">
        <w:trPr>
          <w:trHeight w:val="340"/>
        </w:trPr>
        <w:tc>
          <w:tcPr>
            <w:tcW w:w="2751" w:type="pct"/>
            <w:tcBorders>
              <w:top w:val="nil"/>
              <w:left w:val="nil"/>
              <w:bottom w:val="nil"/>
              <w:right w:val="nil"/>
            </w:tcBorders>
            <w:shd w:val="clear" w:color="000000" w:fill="FFFFFF"/>
            <w:noWrap/>
            <w:vAlign w:val="center"/>
            <w:hideMark/>
          </w:tcPr>
          <w:p w14:paraId="056C888B"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(Losses)/ Gains on Curtailments</w:t>
            </w:r>
          </w:p>
        </w:tc>
        <w:tc>
          <w:tcPr>
            <w:tcW w:w="555" w:type="pct"/>
            <w:tcBorders>
              <w:top w:val="nil"/>
              <w:left w:val="single" w:sz="4" w:space="0" w:color="auto"/>
              <w:bottom w:val="nil"/>
              <w:right w:val="nil"/>
            </w:tcBorders>
            <w:shd w:val="clear" w:color="000000" w:fill="FFFFFF"/>
            <w:noWrap/>
            <w:vAlign w:val="center"/>
            <w:hideMark/>
          </w:tcPr>
          <w:p w14:paraId="2FBEDF90"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6" w:type="pct"/>
            <w:tcBorders>
              <w:top w:val="nil"/>
              <w:left w:val="nil"/>
              <w:bottom w:val="nil"/>
              <w:right w:val="nil"/>
            </w:tcBorders>
            <w:shd w:val="clear" w:color="000000" w:fill="CCECFF"/>
            <w:noWrap/>
            <w:vAlign w:val="center"/>
            <w:hideMark/>
          </w:tcPr>
          <w:p w14:paraId="48937173"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84" w:type="pct"/>
            <w:tcBorders>
              <w:top w:val="nil"/>
              <w:left w:val="single" w:sz="4" w:space="0" w:color="auto"/>
              <w:bottom w:val="nil"/>
              <w:right w:val="nil"/>
            </w:tcBorders>
            <w:shd w:val="clear" w:color="000000" w:fill="FFFFFF"/>
            <w:noWrap/>
            <w:vAlign w:val="center"/>
            <w:hideMark/>
          </w:tcPr>
          <w:p w14:paraId="5B743652"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4" w:type="pct"/>
            <w:tcBorders>
              <w:top w:val="nil"/>
              <w:left w:val="nil"/>
              <w:bottom w:val="nil"/>
              <w:right w:val="nil"/>
            </w:tcBorders>
            <w:shd w:val="clear" w:color="000000" w:fill="CCECFF"/>
            <w:noWrap/>
            <w:vAlign w:val="center"/>
            <w:hideMark/>
          </w:tcPr>
          <w:p w14:paraId="1454D710"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r>
      <w:tr w:rsidR="007D20A1" w:rsidRPr="007D20A1" w14:paraId="21A7EE9F" w14:textId="77777777" w:rsidTr="00B26130">
        <w:trPr>
          <w:trHeight w:val="340"/>
        </w:trPr>
        <w:tc>
          <w:tcPr>
            <w:tcW w:w="2751" w:type="pct"/>
            <w:tcBorders>
              <w:top w:val="nil"/>
              <w:left w:val="nil"/>
              <w:bottom w:val="nil"/>
              <w:right w:val="nil"/>
            </w:tcBorders>
            <w:shd w:val="clear" w:color="000000" w:fill="FFFFFF"/>
            <w:noWrap/>
            <w:vAlign w:val="center"/>
            <w:hideMark/>
          </w:tcPr>
          <w:p w14:paraId="2E1DBE04"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Transfers in</w:t>
            </w:r>
          </w:p>
        </w:tc>
        <w:tc>
          <w:tcPr>
            <w:tcW w:w="555" w:type="pct"/>
            <w:tcBorders>
              <w:top w:val="nil"/>
              <w:left w:val="single" w:sz="4" w:space="0" w:color="auto"/>
              <w:bottom w:val="nil"/>
              <w:right w:val="nil"/>
            </w:tcBorders>
            <w:shd w:val="clear" w:color="000000" w:fill="FFFFFF"/>
            <w:noWrap/>
            <w:vAlign w:val="center"/>
            <w:hideMark/>
          </w:tcPr>
          <w:p w14:paraId="460F65BC"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6" w:type="pct"/>
            <w:tcBorders>
              <w:top w:val="nil"/>
              <w:left w:val="nil"/>
              <w:bottom w:val="nil"/>
              <w:right w:val="nil"/>
            </w:tcBorders>
            <w:shd w:val="clear" w:color="000000" w:fill="CCECFF"/>
            <w:noWrap/>
            <w:vAlign w:val="center"/>
            <w:hideMark/>
          </w:tcPr>
          <w:p w14:paraId="57BEC5AC"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84" w:type="pct"/>
            <w:tcBorders>
              <w:top w:val="nil"/>
              <w:left w:val="single" w:sz="4" w:space="0" w:color="auto"/>
              <w:bottom w:val="nil"/>
              <w:right w:val="nil"/>
            </w:tcBorders>
            <w:shd w:val="clear" w:color="000000" w:fill="FFFFFF"/>
            <w:noWrap/>
            <w:vAlign w:val="center"/>
            <w:hideMark/>
          </w:tcPr>
          <w:p w14:paraId="4CB2324C"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4" w:type="pct"/>
            <w:tcBorders>
              <w:top w:val="nil"/>
              <w:left w:val="nil"/>
              <w:bottom w:val="nil"/>
              <w:right w:val="nil"/>
            </w:tcBorders>
            <w:shd w:val="clear" w:color="000000" w:fill="CCECFF"/>
            <w:noWrap/>
            <w:vAlign w:val="center"/>
            <w:hideMark/>
          </w:tcPr>
          <w:p w14:paraId="6B406D24"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r>
      <w:tr w:rsidR="007D20A1" w:rsidRPr="007D20A1" w14:paraId="041902E3" w14:textId="77777777" w:rsidTr="00B26130">
        <w:trPr>
          <w:trHeight w:val="340"/>
        </w:trPr>
        <w:tc>
          <w:tcPr>
            <w:tcW w:w="2751" w:type="pct"/>
            <w:tcBorders>
              <w:top w:val="nil"/>
              <w:left w:val="nil"/>
              <w:bottom w:val="nil"/>
              <w:right w:val="nil"/>
            </w:tcBorders>
            <w:shd w:val="clear" w:color="000000" w:fill="FFFFFF"/>
            <w:noWrap/>
            <w:vAlign w:val="center"/>
            <w:hideMark/>
          </w:tcPr>
          <w:p w14:paraId="427A1D02"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Estimated Unfunded Benefits Paid</w:t>
            </w:r>
          </w:p>
        </w:tc>
        <w:tc>
          <w:tcPr>
            <w:tcW w:w="555" w:type="pct"/>
            <w:tcBorders>
              <w:top w:val="nil"/>
              <w:left w:val="single" w:sz="4" w:space="0" w:color="auto"/>
              <w:bottom w:val="nil"/>
              <w:right w:val="nil"/>
            </w:tcBorders>
            <w:shd w:val="clear" w:color="000000" w:fill="FFFFFF"/>
            <w:noWrap/>
            <w:vAlign w:val="center"/>
            <w:hideMark/>
          </w:tcPr>
          <w:p w14:paraId="61B7A7FF"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3</w:t>
            </w:r>
          </w:p>
        </w:tc>
        <w:tc>
          <w:tcPr>
            <w:tcW w:w="556" w:type="pct"/>
            <w:tcBorders>
              <w:top w:val="nil"/>
              <w:left w:val="nil"/>
              <w:bottom w:val="nil"/>
              <w:right w:val="nil"/>
            </w:tcBorders>
            <w:shd w:val="clear" w:color="000000" w:fill="CCECFF"/>
            <w:noWrap/>
            <w:vAlign w:val="center"/>
            <w:hideMark/>
          </w:tcPr>
          <w:p w14:paraId="5DB4CC68"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3</w:t>
            </w:r>
          </w:p>
        </w:tc>
        <w:tc>
          <w:tcPr>
            <w:tcW w:w="584" w:type="pct"/>
            <w:tcBorders>
              <w:top w:val="nil"/>
              <w:left w:val="single" w:sz="4" w:space="0" w:color="auto"/>
              <w:bottom w:val="nil"/>
              <w:right w:val="nil"/>
            </w:tcBorders>
            <w:shd w:val="clear" w:color="000000" w:fill="FFFFFF"/>
            <w:noWrap/>
            <w:vAlign w:val="center"/>
            <w:hideMark/>
          </w:tcPr>
          <w:p w14:paraId="7C12ABC3"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4" w:type="pct"/>
            <w:tcBorders>
              <w:top w:val="nil"/>
              <w:left w:val="nil"/>
              <w:bottom w:val="nil"/>
              <w:right w:val="nil"/>
            </w:tcBorders>
            <w:shd w:val="clear" w:color="000000" w:fill="CCECFF"/>
            <w:noWrap/>
            <w:vAlign w:val="center"/>
            <w:hideMark/>
          </w:tcPr>
          <w:p w14:paraId="73544CF3"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r>
      <w:tr w:rsidR="007D20A1" w:rsidRPr="007D20A1" w14:paraId="7DF1D5BF" w14:textId="77777777" w:rsidTr="00B26130">
        <w:trPr>
          <w:trHeight w:val="340"/>
        </w:trPr>
        <w:tc>
          <w:tcPr>
            <w:tcW w:w="2751" w:type="pct"/>
            <w:tcBorders>
              <w:top w:val="nil"/>
              <w:left w:val="nil"/>
              <w:bottom w:val="nil"/>
              <w:right w:val="nil"/>
            </w:tcBorders>
            <w:shd w:val="clear" w:color="000000" w:fill="FFFFFF"/>
            <w:noWrap/>
            <w:vAlign w:val="center"/>
            <w:hideMark/>
          </w:tcPr>
          <w:p w14:paraId="4E9074A3"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Estimated Benefits Paid</w:t>
            </w:r>
          </w:p>
        </w:tc>
        <w:tc>
          <w:tcPr>
            <w:tcW w:w="555" w:type="pct"/>
            <w:tcBorders>
              <w:top w:val="nil"/>
              <w:left w:val="single" w:sz="4" w:space="0" w:color="auto"/>
              <w:bottom w:val="nil"/>
              <w:right w:val="nil"/>
            </w:tcBorders>
            <w:shd w:val="clear" w:color="000000" w:fill="FFFFFF"/>
            <w:noWrap/>
            <w:vAlign w:val="center"/>
            <w:hideMark/>
          </w:tcPr>
          <w:p w14:paraId="16D77792"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6,164</w:t>
            </w:r>
          </w:p>
        </w:tc>
        <w:tc>
          <w:tcPr>
            <w:tcW w:w="556" w:type="pct"/>
            <w:tcBorders>
              <w:top w:val="nil"/>
              <w:left w:val="nil"/>
              <w:bottom w:val="nil"/>
              <w:right w:val="nil"/>
            </w:tcBorders>
            <w:shd w:val="clear" w:color="000000" w:fill="CCECFF"/>
            <w:noWrap/>
            <w:vAlign w:val="center"/>
            <w:hideMark/>
          </w:tcPr>
          <w:p w14:paraId="6312D429"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6,275</w:t>
            </w:r>
          </w:p>
        </w:tc>
        <w:tc>
          <w:tcPr>
            <w:tcW w:w="584" w:type="pct"/>
            <w:tcBorders>
              <w:top w:val="nil"/>
              <w:left w:val="single" w:sz="4" w:space="0" w:color="auto"/>
              <w:bottom w:val="nil"/>
              <w:right w:val="nil"/>
            </w:tcBorders>
            <w:shd w:val="clear" w:color="000000" w:fill="FFFFFF"/>
            <w:noWrap/>
            <w:vAlign w:val="center"/>
            <w:hideMark/>
          </w:tcPr>
          <w:p w14:paraId="6462049B"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45,790</w:t>
            </w:r>
          </w:p>
        </w:tc>
        <w:tc>
          <w:tcPr>
            <w:tcW w:w="554" w:type="pct"/>
            <w:tcBorders>
              <w:top w:val="nil"/>
              <w:left w:val="nil"/>
              <w:bottom w:val="nil"/>
              <w:right w:val="nil"/>
            </w:tcBorders>
            <w:shd w:val="clear" w:color="000000" w:fill="CCECFF"/>
            <w:noWrap/>
            <w:vAlign w:val="center"/>
            <w:hideMark/>
          </w:tcPr>
          <w:p w14:paraId="1F5794BD"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46,180</w:t>
            </w:r>
          </w:p>
        </w:tc>
      </w:tr>
      <w:tr w:rsidR="007D20A1" w:rsidRPr="007D20A1" w14:paraId="610F44D8" w14:textId="77777777" w:rsidTr="00B26130">
        <w:trPr>
          <w:trHeight w:val="340"/>
        </w:trPr>
        <w:tc>
          <w:tcPr>
            <w:tcW w:w="2751" w:type="pct"/>
            <w:tcBorders>
              <w:top w:val="nil"/>
              <w:left w:val="nil"/>
              <w:bottom w:val="nil"/>
              <w:right w:val="nil"/>
            </w:tcBorders>
            <w:shd w:val="clear" w:color="000000" w:fill="FFFFFF"/>
            <w:noWrap/>
            <w:vAlign w:val="center"/>
            <w:hideMark/>
          </w:tcPr>
          <w:p w14:paraId="41A1FE57" w14:textId="77777777" w:rsidR="007D20A1" w:rsidRPr="007D20A1" w:rsidRDefault="007D20A1" w:rsidP="007D20A1">
            <w:pPr>
              <w:spacing w:after="0" w:line="240" w:lineRule="auto"/>
              <w:jc w:val="left"/>
              <w:rPr>
                <w:rFonts w:eastAsia="Times New Roman" w:cs="Calibri"/>
                <w:color w:val="auto"/>
                <w:sz w:val="18"/>
                <w:szCs w:val="18"/>
                <w:lang w:eastAsia="en-GB"/>
              </w:rPr>
            </w:pPr>
            <w:r w:rsidRPr="007D20A1">
              <w:rPr>
                <w:rFonts w:eastAsia="Times New Roman" w:cs="Calibri"/>
                <w:color w:val="auto"/>
                <w:sz w:val="18"/>
                <w:szCs w:val="18"/>
                <w:lang w:eastAsia="en-GB"/>
              </w:rPr>
              <w:t>Effect of business combinations and disposals</w:t>
            </w:r>
          </w:p>
        </w:tc>
        <w:tc>
          <w:tcPr>
            <w:tcW w:w="555" w:type="pct"/>
            <w:tcBorders>
              <w:top w:val="nil"/>
              <w:left w:val="single" w:sz="4" w:space="0" w:color="auto"/>
              <w:bottom w:val="nil"/>
              <w:right w:val="nil"/>
            </w:tcBorders>
            <w:shd w:val="clear" w:color="000000" w:fill="FFFFFF"/>
            <w:noWrap/>
            <w:vAlign w:val="center"/>
            <w:hideMark/>
          </w:tcPr>
          <w:p w14:paraId="7EA7367A"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6" w:type="pct"/>
            <w:tcBorders>
              <w:top w:val="nil"/>
              <w:left w:val="nil"/>
              <w:bottom w:val="nil"/>
              <w:right w:val="nil"/>
            </w:tcBorders>
            <w:shd w:val="clear" w:color="000000" w:fill="CCECFF"/>
            <w:noWrap/>
            <w:vAlign w:val="center"/>
            <w:hideMark/>
          </w:tcPr>
          <w:p w14:paraId="6FE1F595"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84" w:type="pct"/>
            <w:tcBorders>
              <w:top w:val="nil"/>
              <w:left w:val="single" w:sz="4" w:space="0" w:color="auto"/>
              <w:bottom w:val="nil"/>
              <w:right w:val="nil"/>
            </w:tcBorders>
            <w:shd w:val="clear" w:color="000000" w:fill="FFFFFF"/>
            <w:noWrap/>
            <w:vAlign w:val="center"/>
            <w:hideMark/>
          </w:tcPr>
          <w:p w14:paraId="4A973A5B"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c>
          <w:tcPr>
            <w:tcW w:w="554" w:type="pct"/>
            <w:tcBorders>
              <w:top w:val="nil"/>
              <w:left w:val="nil"/>
              <w:bottom w:val="nil"/>
              <w:right w:val="nil"/>
            </w:tcBorders>
            <w:shd w:val="clear" w:color="000000" w:fill="CCECFF"/>
            <w:noWrap/>
            <w:vAlign w:val="center"/>
            <w:hideMark/>
          </w:tcPr>
          <w:p w14:paraId="26A69E2F" w14:textId="77777777" w:rsidR="007D20A1" w:rsidRPr="007D20A1" w:rsidRDefault="007D20A1" w:rsidP="007D20A1">
            <w:pPr>
              <w:spacing w:after="0" w:line="240" w:lineRule="auto"/>
              <w:jc w:val="right"/>
              <w:rPr>
                <w:rFonts w:eastAsia="Times New Roman" w:cs="Calibri"/>
                <w:color w:val="auto"/>
                <w:sz w:val="18"/>
                <w:szCs w:val="18"/>
                <w:lang w:eastAsia="en-GB"/>
              </w:rPr>
            </w:pPr>
            <w:r w:rsidRPr="007D20A1">
              <w:rPr>
                <w:rFonts w:eastAsia="Times New Roman" w:cs="Calibri"/>
                <w:color w:val="auto"/>
                <w:sz w:val="18"/>
                <w:szCs w:val="18"/>
                <w:lang w:eastAsia="en-GB"/>
              </w:rPr>
              <w:t>-</w:t>
            </w:r>
          </w:p>
        </w:tc>
      </w:tr>
      <w:tr w:rsidR="007D20A1" w:rsidRPr="007D20A1" w14:paraId="0530AC97" w14:textId="77777777" w:rsidTr="00B26130">
        <w:trPr>
          <w:trHeight w:val="340"/>
        </w:trPr>
        <w:tc>
          <w:tcPr>
            <w:tcW w:w="2751" w:type="pct"/>
            <w:tcBorders>
              <w:top w:val="single" w:sz="4" w:space="0" w:color="auto"/>
              <w:left w:val="nil"/>
              <w:bottom w:val="single" w:sz="4" w:space="0" w:color="auto"/>
              <w:right w:val="nil"/>
            </w:tcBorders>
            <w:shd w:val="clear" w:color="000000" w:fill="FFFFFF"/>
            <w:vAlign w:val="center"/>
            <w:hideMark/>
          </w:tcPr>
          <w:p w14:paraId="21D0EF28" w14:textId="3D2B50CD" w:rsidR="007D20A1" w:rsidRPr="007D20A1" w:rsidRDefault="007D20A1" w:rsidP="007D20A1">
            <w:pPr>
              <w:spacing w:after="0" w:line="240" w:lineRule="auto"/>
              <w:jc w:val="left"/>
              <w:rPr>
                <w:rFonts w:eastAsia="Times New Roman" w:cs="Calibri"/>
                <w:b/>
                <w:bCs/>
                <w:color w:val="auto"/>
                <w:sz w:val="18"/>
                <w:szCs w:val="18"/>
                <w:lang w:eastAsia="en-GB"/>
              </w:rPr>
            </w:pPr>
            <w:r w:rsidRPr="007D20A1">
              <w:rPr>
                <w:rFonts w:eastAsia="Times New Roman" w:cs="Calibri"/>
                <w:b/>
                <w:bCs/>
                <w:color w:val="auto"/>
                <w:sz w:val="18"/>
                <w:szCs w:val="18"/>
                <w:lang w:eastAsia="en-GB"/>
              </w:rPr>
              <w:t>Closing Defined Benefit Obligation 31 March</w:t>
            </w:r>
          </w:p>
        </w:tc>
        <w:tc>
          <w:tcPr>
            <w:tcW w:w="555" w:type="pct"/>
            <w:tcBorders>
              <w:top w:val="single" w:sz="4" w:space="0" w:color="auto"/>
              <w:left w:val="single" w:sz="4" w:space="0" w:color="auto"/>
              <w:bottom w:val="single" w:sz="4" w:space="0" w:color="auto"/>
              <w:right w:val="nil"/>
            </w:tcBorders>
            <w:shd w:val="clear" w:color="000000" w:fill="FFFFFF"/>
            <w:noWrap/>
            <w:vAlign w:val="center"/>
            <w:hideMark/>
          </w:tcPr>
          <w:p w14:paraId="67739F74"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(183,032)</w:t>
            </w:r>
          </w:p>
        </w:tc>
        <w:tc>
          <w:tcPr>
            <w:tcW w:w="556" w:type="pct"/>
            <w:tcBorders>
              <w:top w:val="single" w:sz="4" w:space="0" w:color="auto"/>
              <w:left w:val="nil"/>
              <w:bottom w:val="single" w:sz="4" w:space="0" w:color="auto"/>
              <w:right w:val="nil"/>
            </w:tcBorders>
            <w:shd w:val="clear" w:color="000000" w:fill="CCECFF"/>
            <w:noWrap/>
            <w:vAlign w:val="center"/>
            <w:hideMark/>
          </w:tcPr>
          <w:p w14:paraId="59B921BF"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(206,459)</w:t>
            </w:r>
          </w:p>
        </w:tc>
        <w:tc>
          <w:tcPr>
            <w:tcW w:w="584" w:type="pct"/>
            <w:tcBorders>
              <w:top w:val="single" w:sz="4" w:space="0" w:color="auto"/>
              <w:left w:val="single" w:sz="4" w:space="0" w:color="auto"/>
              <w:bottom w:val="single" w:sz="4" w:space="0" w:color="auto"/>
              <w:right w:val="nil"/>
            </w:tcBorders>
            <w:shd w:val="clear" w:color="000000" w:fill="FFFFFF"/>
            <w:noWrap/>
            <w:vAlign w:val="center"/>
            <w:hideMark/>
          </w:tcPr>
          <w:p w14:paraId="2E5078DA"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(953,630)</w:t>
            </w:r>
          </w:p>
        </w:tc>
        <w:tc>
          <w:tcPr>
            <w:tcW w:w="554" w:type="pct"/>
            <w:tcBorders>
              <w:top w:val="single" w:sz="4" w:space="0" w:color="auto"/>
              <w:left w:val="nil"/>
              <w:bottom w:val="single" w:sz="4" w:space="0" w:color="auto"/>
              <w:right w:val="nil"/>
            </w:tcBorders>
            <w:shd w:val="clear" w:color="000000" w:fill="CCECFF"/>
            <w:noWrap/>
            <w:vAlign w:val="center"/>
            <w:hideMark/>
          </w:tcPr>
          <w:p w14:paraId="6038FC37" w14:textId="77777777" w:rsidR="007D20A1" w:rsidRPr="007D20A1" w:rsidRDefault="007D20A1" w:rsidP="007D20A1">
            <w:pPr>
              <w:spacing w:after="0" w:line="240" w:lineRule="auto"/>
              <w:jc w:val="right"/>
              <w:rPr>
                <w:rFonts w:eastAsia="Times New Roman" w:cs="Calibri"/>
                <w:b/>
                <w:bCs/>
                <w:color w:val="auto"/>
                <w:sz w:val="18"/>
                <w:szCs w:val="18"/>
                <w:lang w:eastAsia="en-GB"/>
              </w:rPr>
            </w:pPr>
            <w:r w:rsidRPr="007D20A1">
              <w:rPr>
                <w:rFonts w:eastAsia="Times New Roman" w:cs="Calibri"/>
                <w:b/>
                <w:bCs/>
                <w:color w:val="auto"/>
                <w:sz w:val="18"/>
                <w:szCs w:val="18"/>
                <w:lang w:eastAsia="en-GB"/>
              </w:rPr>
              <w:t>(931,670)</w:t>
            </w:r>
          </w:p>
        </w:tc>
      </w:tr>
    </w:tbl>
    <w:p w14:paraId="4F56C819" w14:textId="77777777" w:rsidR="00E17F55" w:rsidRDefault="00E17F55" w:rsidP="003356AE">
      <w:pPr>
        <w:spacing w:line="240" w:lineRule="auto"/>
        <w:rPr>
          <w:noProof/>
        </w:rPr>
      </w:pPr>
    </w:p>
    <w:p w14:paraId="44AAF9B3" w14:textId="67B7BE88" w:rsidR="00D810FB" w:rsidRPr="004A3733" w:rsidRDefault="004A3733" w:rsidP="003356AE">
      <w:pPr>
        <w:pStyle w:val="VAHeadingLevel2"/>
        <w:spacing w:line="240" w:lineRule="auto"/>
        <w:rPr>
          <w:rFonts w:eastAsia="Calibri"/>
          <w:color w:val="18235B"/>
        </w:rPr>
      </w:pPr>
      <w:r w:rsidRPr="00EC546C">
        <w:rPr>
          <w:rFonts w:eastAsia="Calibri"/>
        </w:rPr>
        <w:t>Reconciliation of the Fair Value of the Schemes Assets</w:t>
      </w:r>
    </w:p>
    <w:p w14:paraId="6E3A1AAC" w14:textId="77777777" w:rsidR="00D810FB" w:rsidRPr="00BF483A" w:rsidRDefault="00D810FB" w:rsidP="003356AE">
      <w:pPr>
        <w:spacing w:line="240" w:lineRule="auto"/>
        <w:rPr>
          <w:sz w:val="12"/>
          <w:szCs w:val="16"/>
        </w:rPr>
      </w:pPr>
    </w:p>
    <w:p w14:paraId="0CB454D4" w14:textId="3C8CB713" w:rsidR="00D810FB" w:rsidRPr="002D6171" w:rsidRDefault="00D810FB" w:rsidP="003356AE">
      <w:pPr>
        <w:pStyle w:val="VAHeadingLevel3"/>
        <w:spacing w:line="240" w:lineRule="auto"/>
      </w:pPr>
      <w:r w:rsidRPr="00EC546C">
        <w:t>Pension Asset – Local Government Pension Scheme Only</w:t>
      </w:r>
      <w:r w:rsidR="009D3D44" w:rsidRPr="009D3D44">
        <w:rPr>
          <w:highlight w:val="yellow"/>
          <w:lang w:val="pt-BR"/>
        </w:rPr>
        <w:t xml:space="preserve"> </w:t>
      </w:r>
    </w:p>
    <w:p w14:paraId="58A73ABF" w14:textId="4A2EEAF1" w:rsidR="004C739A" w:rsidRDefault="004C739A" w:rsidP="003356AE">
      <w:pPr>
        <w:spacing w:line="240" w:lineRule="auto"/>
        <w:rPr>
          <w:rFonts w:asciiTheme="minorHAnsi" w:hAnsiTheme="minorHAnsi"/>
          <w:color w:val="auto"/>
          <w:sz w:val="24"/>
          <w:lang w:val="en-US"/>
        </w:rPr>
      </w:pPr>
    </w:p>
    <w:tbl>
      <w:tblPr>
        <w:tblW w:w="5000" w:type="pct"/>
        <w:tblLook w:val="04A0" w:firstRow="1" w:lastRow="0" w:firstColumn="1" w:lastColumn="0" w:noHBand="0" w:noVBand="1"/>
      </w:tblPr>
      <w:tblGrid>
        <w:gridCol w:w="6448"/>
        <w:gridCol w:w="1312"/>
        <w:gridCol w:w="1312"/>
      </w:tblGrid>
      <w:tr w:rsidR="002B7729" w:rsidRPr="002B7729" w14:paraId="65993C25" w14:textId="77777777" w:rsidTr="002B7729">
        <w:trPr>
          <w:trHeight w:val="210"/>
        </w:trPr>
        <w:tc>
          <w:tcPr>
            <w:tcW w:w="3554" w:type="pct"/>
            <w:tcBorders>
              <w:top w:val="nil"/>
              <w:left w:val="nil"/>
              <w:bottom w:val="nil"/>
              <w:right w:val="nil"/>
            </w:tcBorders>
            <w:shd w:val="clear" w:color="000000" w:fill="000099"/>
            <w:noWrap/>
            <w:vAlign w:val="center"/>
            <w:hideMark/>
          </w:tcPr>
          <w:p w14:paraId="2E6CB74C" w14:textId="77777777" w:rsidR="006073E7" w:rsidRDefault="006073E7" w:rsidP="002B7729">
            <w:pPr>
              <w:spacing w:after="0" w:line="240" w:lineRule="auto"/>
              <w:jc w:val="left"/>
              <w:rPr>
                <w:rFonts w:eastAsia="Times New Roman" w:cs="Calibri"/>
                <w:b/>
                <w:bCs/>
                <w:color w:val="FFFFFF"/>
                <w:sz w:val="18"/>
                <w:szCs w:val="18"/>
                <w:lang w:eastAsia="en-GB"/>
              </w:rPr>
            </w:pPr>
          </w:p>
          <w:p w14:paraId="3A94E0BA" w14:textId="4AF83096" w:rsidR="002B7729" w:rsidRPr="002B7729" w:rsidRDefault="002B7729" w:rsidP="002B7729">
            <w:pPr>
              <w:spacing w:after="0" w:line="240" w:lineRule="auto"/>
              <w:jc w:val="left"/>
              <w:rPr>
                <w:rFonts w:eastAsia="Times New Roman" w:cs="Calibri"/>
                <w:b/>
                <w:bCs/>
                <w:color w:val="FFFFFF"/>
                <w:sz w:val="18"/>
                <w:szCs w:val="18"/>
                <w:lang w:eastAsia="en-GB"/>
              </w:rPr>
            </w:pPr>
            <w:r w:rsidRPr="002B7729">
              <w:rPr>
                <w:rFonts w:eastAsia="Times New Roman" w:cs="Calibri"/>
                <w:b/>
                <w:bCs/>
                <w:color w:val="FFFFFF"/>
                <w:sz w:val="18"/>
                <w:szCs w:val="18"/>
                <w:lang w:eastAsia="en-GB"/>
              </w:rPr>
              <w:t> </w:t>
            </w:r>
          </w:p>
        </w:tc>
        <w:tc>
          <w:tcPr>
            <w:tcW w:w="723" w:type="pct"/>
            <w:tcBorders>
              <w:top w:val="nil"/>
              <w:left w:val="nil"/>
              <w:bottom w:val="nil"/>
              <w:right w:val="nil"/>
            </w:tcBorders>
            <w:shd w:val="clear" w:color="000000" w:fill="000099"/>
            <w:noWrap/>
            <w:vAlign w:val="center"/>
            <w:hideMark/>
          </w:tcPr>
          <w:p w14:paraId="7C7E05B3" w14:textId="77777777" w:rsidR="002B7729" w:rsidRPr="002B7729" w:rsidRDefault="002B7729" w:rsidP="002B7729">
            <w:pPr>
              <w:spacing w:after="0" w:line="240" w:lineRule="auto"/>
              <w:jc w:val="center"/>
              <w:rPr>
                <w:rFonts w:eastAsia="Times New Roman" w:cs="Calibri"/>
                <w:b/>
                <w:bCs/>
                <w:color w:val="FFFFFF"/>
                <w:sz w:val="18"/>
                <w:szCs w:val="18"/>
                <w:lang w:eastAsia="en-GB"/>
              </w:rPr>
            </w:pPr>
            <w:r w:rsidRPr="002B7729">
              <w:rPr>
                <w:rFonts w:eastAsia="Times New Roman" w:cs="Calibri"/>
                <w:b/>
                <w:bCs/>
                <w:color w:val="FFFFFF"/>
                <w:sz w:val="18"/>
                <w:szCs w:val="18"/>
                <w:lang w:eastAsia="en-GB"/>
              </w:rPr>
              <w:t>31 Mar 25</w:t>
            </w:r>
          </w:p>
        </w:tc>
        <w:tc>
          <w:tcPr>
            <w:tcW w:w="723" w:type="pct"/>
            <w:tcBorders>
              <w:top w:val="nil"/>
              <w:left w:val="nil"/>
              <w:bottom w:val="nil"/>
              <w:right w:val="nil"/>
            </w:tcBorders>
            <w:shd w:val="clear" w:color="000000" w:fill="000099"/>
            <w:noWrap/>
            <w:vAlign w:val="center"/>
            <w:hideMark/>
          </w:tcPr>
          <w:p w14:paraId="09ADA4D5" w14:textId="77777777" w:rsidR="002B7729" w:rsidRPr="002B7729" w:rsidRDefault="002B7729" w:rsidP="002B7729">
            <w:pPr>
              <w:spacing w:after="0" w:line="240" w:lineRule="auto"/>
              <w:jc w:val="center"/>
              <w:rPr>
                <w:rFonts w:eastAsia="Times New Roman" w:cs="Calibri"/>
                <w:b/>
                <w:bCs/>
                <w:color w:val="FFFFFF"/>
                <w:sz w:val="18"/>
                <w:szCs w:val="18"/>
                <w:lang w:eastAsia="en-GB"/>
              </w:rPr>
            </w:pPr>
            <w:r w:rsidRPr="002B7729">
              <w:rPr>
                <w:rFonts w:eastAsia="Times New Roman" w:cs="Calibri"/>
                <w:b/>
                <w:bCs/>
                <w:color w:val="FFFFFF"/>
                <w:sz w:val="18"/>
                <w:szCs w:val="18"/>
                <w:lang w:eastAsia="en-GB"/>
              </w:rPr>
              <w:t>31 Mar 26</w:t>
            </w:r>
          </w:p>
        </w:tc>
      </w:tr>
      <w:tr w:rsidR="002B7729" w:rsidRPr="002B7729" w14:paraId="3CA5423F" w14:textId="77777777" w:rsidTr="006073E7">
        <w:trPr>
          <w:trHeight w:val="197"/>
        </w:trPr>
        <w:tc>
          <w:tcPr>
            <w:tcW w:w="3554" w:type="pct"/>
            <w:tcBorders>
              <w:top w:val="nil"/>
              <w:left w:val="nil"/>
              <w:bottom w:val="nil"/>
              <w:right w:val="nil"/>
            </w:tcBorders>
            <w:shd w:val="clear" w:color="000000" w:fill="000099"/>
            <w:noWrap/>
            <w:vAlign w:val="center"/>
            <w:hideMark/>
          </w:tcPr>
          <w:p w14:paraId="42A53D32" w14:textId="77777777" w:rsidR="002B7729" w:rsidRPr="002B7729" w:rsidRDefault="002B7729" w:rsidP="002B7729">
            <w:pPr>
              <w:spacing w:after="0" w:line="240" w:lineRule="auto"/>
              <w:jc w:val="left"/>
              <w:rPr>
                <w:rFonts w:eastAsia="Times New Roman" w:cs="Calibri"/>
                <w:b/>
                <w:bCs/>
                <w:color w:val="FFFFFF"/>
                <w:sz w:val="18"/>
                <w:szCs w:val="18"/>
                <w:lang w:eastAsia="en-GB"/>
              </w:rPr>
            </w:pPr>
            <w:r w:rsidRPr="002B7729">
              <w:rPr>
                <w:rFonts w:eastAsia="Times New Roman" w:cs="Calibri"/>
                <w:b/>
                <w:bCs/>
                <w:color w:val="FFFFFF"/>
                <w:sz w:val="18"/>
                <w:szCs w:val="18"/>
                <w:lang w:eastAsia="en-GB"/>
              </w:rPr>
              <w:t> </w:t>
            </w:r>
          </w:p>
        </w:tc>
        <w:tc>
          <w:tcPr>
            <w:tcW w:w="723" w:type="pct"/>
            <w:tcBorders>
              <w:top w:val="nil"/>
              <w:left w:val="nil"/>
              <w:bottom w:val="nil"/>
              <w:right w:val="nil"/>
            </w:tcBorders>
            <w:shd w:val="clear" w:color="000000" w:fill="000099"/>
            <w:noWrap/>
            <w:vAlign w:val="center"/>
            <w:hideMark/>
          </w:tcPr>
          <w:p w14:paraId="58297444" w14:textId="77777777" w:rsidR="002B7729" w:rsidRPr="002B7729" w:rsidRDefault="002B7729" w:rsidP="002B7729">
            <w:pPr>
              <w:spacing w:after="0" w:line="240" w:lineRule="auto"/>
              <w:jc w:val="center"/>
              <w:rPr>
                <w:rFonts w:eastAsia="Times New Roman" w:cs="Calibri"/>
                <w:b/>
                <w:bCs/>
                <w:color w:val="FFFFFF"/>
                <w:sz w:val="18"/>
                <w:szCs w:val="18"/>
                <w:lang w:eastAsia="en-GB"/>
              </w:rPr>
            </w:pPr>
            <w:r w:rsidRPr="002B7729">
              <w:rPr>
                <w:rFonts w:eastAsia="Times New Roman" w:cs="Calibri"/>
                <w:b/>
                <w:bCs/>
                <w:color w:val="FFFFFF"/>
                <w:sz w:val="18"/>
                <w:szCs w:val="18"/>
                <w:lang w:eastAsia="en-GB"/>
              </w:rPr>
              <w:t>£000</w:t>
            </w:r>
          </w:p>
        </w:tc>
        <w:tc>
          <w:tcPr>
            <w:tcW w:w="723" w:type="pct"/>
            <w:tcBorders>
              <w:top w:val="nil"/>
              <w:left w:val="nil"/>
              <w:bottom w:val="nil"/>
              <w:right w:val="nil"/>
            </w:tcBorders>
            <w:shd w:val="clear" w:color="000000" w:fill="000099"/>
            <w:noWrap/>
            <w:vAlign w:val="center"/>
            <w:hideMark/>
          </w:tcPr>
          <w:p w14:paraId="495E2B05" w14:textId="77777777" w:rsidR="002B7729" w:rsidRPr="002B7729" w:rsidRDefault="002B7729" w:rsidP="002B7729">
            <w:pPr>
              <w:spacing w:after="0" w:line="240" w:lineRule="auto"/>
              <w:jc w:val="center"/>
              <w:rPr>
                <w:rFonts w:eastAsia="Times New Roman" w:cs="Calibri"/>
                <w:b/>
                <w:bCs/>
                <w:color w:val="FFFFFF"/>
                <w:sz w:val="18"/>
                <w:szCs w:val="18"/>
                <w:lang w:eastAsia="en-GB"/>
              </w:rPr>
            </w:pPr>
            <w:r w:rsidRPr="002B7729">
              <w:rPr>
                <w:rFonts w:eastAsia="Times New Roman" w:cs="Calibri"/>
                <w:b/>
                <w:bCs/>
                <w:color w:val="FFFFFF"/>
                <w:sz w:val="18"/>
                <w:szCs w:val="18"/>
                <w:lang w:eastAsia="en-GB"/>
              </w:rPr>
              <w:t>£000</w:t>
            </w:r>
          </w:p>
        </w:tc>
      </w:tr>
      <w:tr w:rsidR="002B7729" w:rsidRPr="002B7729" w14:paraId="166ED717" w14:textId="77777777" w:rsidTr="00B26130">
        <w:trPr>
          <w:trHeight w:val="340"/>
        </w:trPr>
        <w:tc>
          <w:tcPr>
            <w:tcW w:w="3554" w:type="pct"/>
            <w:tcBorders>
              <w:top w:val="nil"/>
              <w:left w:val="nil"/>
              <w:bottom w:val="nil"/>
              <w:right w:val="nil"/>
            </w:tcBorders>
            <w:shd w:val="clear" w:color="000000" w:fill="FFFFFF"/>
            <w:noWrap/>
            <w:vAlign w:val="center"/>
            <w:hideMark/>
          </w:tcPr>
          <w:p w14:paraId="2AEB4627" w14:textId="1FB6AAC0" w:rsidR="002B7729" w:rsidRPr="002B7729" w:rsidRDefault="002B7729" w:rsidP="002B7729">
            <w:pPr>
              <w:spacing w:after="0" w:line="240" w:lineRule="auto"/>
              <w:jc w:val="left"/>
              <w:rPr>
                <w:rFonts w:eastAsia="Times New Roman" w:cs="Calibri"/>
                <w:b/>
                <w:bCs/>
                <w:color w:val="auto"/>
                <w:sz w:val="18"/>
                <w:szCs w:val="18"/>
                <w:lang w:eastAsia="en-GB"/>
              </w:rPr>
            </w:pPr>
            <w:r w:rsidRPr="002B7729">
              <w:rPr>
                <w:rFonts w:eastAsia="Times New Roman" w:cs="Calibri"/>
                <w:b/>
                <w:bCs/>
                <w:color w:val="auto"/>
                <w:sz w:val="18"/>
                <w:szCs w:val="18"/>
                <w:lang w:eastAsia="en-GB"/>
              </w:rPr>
              <w:t>Pensions Asset 1 April</w:t>
            </w:r>
          </w:p>
        </w:tc>
        <w:tc>
          <w:tcPr>
            <w:tcW w:w="723" w:type="pct"/>
            <w:tcBorders>
              <w:top w:val="nil"/>
              <w:left w:val="single" w:sz="4" w:space="0" w:color="auto"/>
              <w:bottom w:val="nil"/>
              <w:right w:val="nil"/>
            </w:tcBorders>
            <w:shd w:val="clear" w:color="000000" w:fill="FFFFFF"/>
            <w:vAlign w:val="center"/>
            <w:hideMark/>
          </w:tcPr>
          <w:p w14:paraId="1EEF02CA" w14:textId="77777777" w:rsidR="002B7729" w:rsidRPr="002B7729" w:rsidRDefault="002B7729" w:rsidP="002B7729">
            <w:pPr>
              <w:spacing w:after="0" w:line="240" w:lineRule="auto"/>
              <w:jc w:val="right"/>
              <w:rPr>
                <w:rFonts w:eastAsia="Times New Roman" w:cs="Calibri"/>
                <w:b/>
                <w:bCs/>
                <w:color w:val="auto"/>
                <w:sz w:val="18"/>
                <w:szCs w:val="18"/>
                <w:lang w:eastAsia="en-GB"/>
              </w:rPr>
            </w:pPr>
            <w:r w:rsidRPr="002B7729">
              <w:rPr>
                <w:rFonts w:eastAsia="Times New Roman" w:cs="Calibri"/>
                <w:b/>
                <w:bCs/>
                <w:color w:val="auto"/>
                <w:sz w:val="18"/>
                <w:szCs w:val="18"/>
                <w:lang w:eastAsia="en-GB"/>
              </w:rPr>
              <w:t>209,707</w:t>
            </w:r>
          </w:p>
        </w:tc>
        <w:tc>
          <w:tcPr>
            <w:tcW w:w="723" w:type="pct"/>
            <w:tcBorders>
              <w:top w:val="nil"/>
              <w:left w:val="nil"/>
              <w:bottom w:val="nil"/>
              <w:right w:val="nil"/>
            </w:tcBorders>
            <w:shd w:val="clear" w:color="000000" w:fill="CCECFF"/>
            <w:vAlign w:val="center"/>
            <w:hideMark/>
          </w:tcPr>
          <w:p w14:paraId="524AB0D6" w14:textId="77777777" w:rsidR="002B7729" w:rsidRPr="002B7729" w:rsidRDefault="002B7729" w:rsidP="002B7729">
            <w:pPr>
              <w:spacing w:after="0" w:line="240" w:lineRule="auto"/>
              <w:jc w:val="right"/>
              <w:rPr>
                <w:rFonts w:eastAsia="Times New Roman" w:cs="Calibri"/>
                <w:b/>
                <w:bCs/>
                <w:color w:val="auto"/>
                <w:sz w:val="18"/>
                <w:szCs w:val="18"/>
                <w:lang w:eastAsia="en-GB"/>
              </w:rPr>
            </w:pPr>
            <w:r w:rsidRPr="002B7729">
              <w:rPr>
                <w:rFonts w:eastAsia="Times New Roman" w:cs="Calibri"/>
                <w:b/>
                <w:bCs/>
                <w:color w:val="auto"/>
                <w:sz w:val="18"/>
                <w:szCs w:val="18"/>
                <w:lang w:eastAsia="en-GB"/>
              </w:rPr>
              <w:t>183,032</w:t>
            </w:r>
          </w:p>
        </w:tc>
      </w:tr>
      <w:tr w:rsidR="002B7729" w:rsidRPr="002B7729" w14:paraId="329C0C34" w14:textId="77777777" w:rsidTr="00B26130">
        <w:trPr>
          <w:trHeight w:val="340"/>
        </w:trPr>
        <w:tc>
          <w:tcPr>
            <w:tcW w:w="3554" w:type="pct"/>
            <w:tcBorders>
              <w:top w:val="nil"/>
              <w:left w:val="nil"/>
              <w:bottom w:val="nil"/>
              <w:right w:val="nil"/>
            </w:tcBorders>
            <w:shd w:val="clear" w:color="000000" w:fill="FFFFFF"/>
            <w:noWrap/>
            <w:vAlign w:val="center"/>
            <w:hideMark/>
          </w:tcPr>
          <w:p w14:paraId="353E3C90"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Expected Return on Assets</w:t>
            </w:r>
          </w:p>
        </w:tc>
        <w:tc>
          <w:tcPr>
            <w:tcW w:w="723" w:type="pct"/>
            <w:tcBorders>
              <w:top w:val="nil"/>
              <w:left w:val="single" w:sz="4" w:space="0" w:color="auto"/>
              <w:bottom w:val="nil"/>
              <w:right w:val="nil"/>
            </w:tcBorders>
            <w:shd w:val="clear" w:color="000000" w:fill="FFFFFF"/>
            <w:vAlign w:val="center"/>
            <w:hideMark/>
          </w:tcPr>
          <w:p w14:paraId="2FA6246C"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11,312</w:t>
            </w:r>
          </w:p>
        </w:tc>
        <w:tc>
          <w:tcPr>
            <w:tcW w:w="723" w:type="pct"/>
            <w:tcBorders>
              <w:top w:val="nil"/>
              <w:left w:val="nil"/>
              <w:bottom w:val="nil"/>
              <w:right w:val="nil"/>
            </w:tcBorders>
            <w:shd w:val="clear" w:color="000000" w:fill="CCECFF"/>
            <w:vAlign w:val="center"/>
            <w:hideMark/>
          </w:tcPr>
          <w:p w14:paraId="13D02159"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14,055</w:t>
            </w:r>
          </w:p>
        </w:tc>
      </w:tr>
      <w:tr w:rsidR="002B7729" w:rsidRPr="002B7729" w14:paraId="3F0FB943" w14:textId="77777777" w:rsidTr="00B26130">
        <w:trPr>
          <w:trHeight w:val="340"/>
        </w:trPr>
        <w:tc>
          <w:tcPr>
            <w:tcW w:w="3554" w:type="pct"/>
            <w:tcBorders>
              <w:top w:val="nil"/>
              <w:left w:val="nil"/>
              <w:bottom w:val="nil"/>
              <w:right w:val="nil"/>
            </w:tcBorders>
            <w:shd w:val="clear" w:color="000000" w:fill="FFFFFF"/>
            <w:noWrap/>
            <w:vAlign w:val="center"/>
            <w:hideMark/>
          </w:tcPr>
          <w:p w14:paraId="278CFB90"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Contributions by Members</w:t>
            </w:r>
          </w:p>
        </w:tc>
        <w:tc>
          <w:tcPr>
            <w:tcW w:w="723" w:type="pct"/>
            <w:tcBorders>
              <w:top w:val="nil"/>
              <w:left w:val="single" w:sz="4" w:space="0" w:color="auto"/>
              <w:bottom w:val="nil"/>
              <w:right w:val="nil"/>
            </w:tcBorders>
            <w:shd w:val="clear" w:color="000000" w:fill="FFFFFF"/>
            <w:vAlign w:val="center"/>
            <w:hideMark/>
          </w:tcPr>
          <w:p w14:paraId="669B8087"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2,683</w:t>
            </w:r>
          </w:p>
        </w:tc>
        <w:tc>
          <w:tcPr>
            <w:tcW w:w="723" w:type="pct"/>
            <w:tcBorders>
              <w:top w:val="nil"/>
              <w:left w:val="nil"/>
              <w:bottom w:val="nil"/>
              <w:right w:val="nil"/>
            </w:tcBorders>
            <w:shd w:val="clear" w:color="000000" w:fill="CCECFF"/>
            <w:vAlign w:val="center"/>
            <w:hideMark/>
          </w:tcPr>
          <w:p w14:paraId="769EA43D"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3,003</w:t>
            </w:r>
          </w:p>
        </w:tc>
      </w:tr>
      <w:tr w:rsidR="002B7729" w:rsidRPr="002B7729" w14:paraId="344DA655" w14:textId="77777777" w:rsidTr="00B26130">
        <w:trPr>
          <w:trHeight w:val="340"/>
        </w:trPr>
        <w:tc>
          <w:tcPr>
            <w:tcW w:w="3554" w:type="pct"/>
            <w:tcBorders>
              <w:top w:val="nil"/>
              <w:left w:val="nil"/>
              <w:bottom w:val="nil"/>
              <w:right w:val="nil"/>
            </w:tcBorders>
            <w:shd w:val="clear" w:color="000000" w:fill="FFFFFF"/>
            <w:vAlign w:val="center"/>
            <w:hideMark/>
          </w:tcPr>
          <w:p w14:paraId="594317FB"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Employers Contributions (Inc Injuries) - excluding Top-Up Grant</w:t>
            </w:r>
          </w:p>
        </w:tc>
        <w:tc>
          <w:tcPr>
            <w:tcW w:w="723" w:type="pct"/>
            <w:tcBorders>
              <w:top w:val="nil"/>
              <w:left w:val="single" w:sz="4" w:space="0" w:color="auto"/>
              <w:bottom w:val="nil"/>
              <w:right w:val="nil"/>
            </w:tcBorders>
            <w:shd w:val="clear" w:color="000000" w:fill="FFFFFF"/>
            <w:vAlign w:val="center"/>
            <w:hideMark/>
          </w:tcPr>
          <w:p w14:paraId="7DFBCD73"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7,918</w:t>
            </w:r>
          </w:p>
        </w:tc>
        <w:tc>
          <w:tcPr>
            <w:tcW w:w="723" w:type="pct"/>
            <w:tcBorders>
              <w:top w:val="nil"/>
              <w:left w:val="nil"/>
              <w:bottom w:val="nil"/>
              <w:right w:val="nil"/>
            </w:tcBorders>
            <w:shd w:val="clear" w:color="000000" w:fill="CCECFF"/>
            <w:vAlign w:val="center"/>
            <w:hideMark/>
          </w:tcPr>
          <w:p w14:paraId="4005A9BE"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8,500</w:t>
            </w:r>
          </w:p>
        </w:tc>
      </w:tr>
      <w:tr w:rsidR="002B7729" w:rsidRPr="002B7729" w14:paraId="2BDC78EE" w14:textId="77777777" w:rsidTr="00B26130">
        <w:trPr>
          <w:trHeight w:val="340"/>
        </w:trPr>
        <w:tc>
          <w:tcPr>
            <w:tcW w:w="3554" w:type="pct"/>
            <w:tcBorders>
              <w:top w:val="nil"/>
              <w:left w:val="nil"/>
              <w:bottom w:val="nil"/>
              <w:right w:val="nil"/>
            </w:tcBorders>
            <w:shd w:val="clear" w:color="000000" w:fill="FFFFFF"/>
            <w:vAlign w:val="center"/>
            <w:hideMark/>
          </w:tcPr>
          <w:p w14:paraId="21F2C939"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Pension Fund Asset Split (Group to Single Entity)</w:t>
            </w:r>
          </w:p>
        </w:tc>
        <w:tc>
          <w:tcPr>
            <w:tcW w:w="723" w:type="pct"/>
            <w:tcBorders>
              <w:top w:val="nil"/>
              <w:left w:val="single" w:sz="4" w:space="0" w:color="auto"/>
              <w:bottom w:val="nil"/>
              <w:right w:val="nil"/>
            </w:tcBorders>
            <w:shd w:val="clear" w:color="000000" w:fill="FFFFFF"/>
            <w:vAlign w:val="center"/>
            <w:hideMark/>
          </w:tcPr>
          <w:p w14:paraId="7A1E47FA"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w:t>
            </w:r>
          </w:p>
        </w:tc>
        <w:tc>
          <w:tcPr>
            <w:tcW w:w="723" w:type="pct"/>
            <w:tcBorders>
              <w:top w:val="nil"/>
              <w:left w:val="nil"/>
              <w:bottom w:val="nil"/>
              <w:right w:val="nil"/>
            </w:tcBorders>
            <w:shd w:val="clear" w:color="000000" w:fill="CCECFF"/>
            <w:vAlign w:val="center"/>
            <w:hideMark/>
          </w:tcPr>
          <w:p w14:paraId="76BC2B77"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w:t>
            </w:r>
          </w:p>
        </w:tc>
      </w:tr>
      <w:tr w:rsidR="002B7729" w:rsidRPr="002B7729" w14:paraId="6086D0A9" w14:textId="77777777" w:rsidTr="00B26130">
        <w:trPr>
          <w:trHeight w:val="340"/>
        </w:trPr>
        <w:tc>
          <w:tcPr>
            <w:tcW w:w="3554" w:type="pct"/>
            <w:tcBorders>
              <w:top w:val="nil"/>
              <w:left w:val="nil"/>
              <w:bottom w:val="nil"/>
              <w:right w:val="nil"/>
            </w:tcBorders>
            <w:shd w:val="clear" w:color="000000" w:fill="FFFFFF"/>
            <w:vAlign w:val="center"/>
            <w:hideMark/>
          </w:tcPr>
          <w:p w14:paraId="44181050"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Contributions in Respect of Unfunded Benefits</w:t>
            </w:r>
          </w:p>
        </w:tc>
        <w:tc>
          <w:tcPr>
            <w:tcW w:w="723" w:type="pct"/>
            <w:tcBorders>
              <w:top w:val="nil"/>
              <w:left w:val="single" w:sz="4" w:space="0" w:color="auto"/>
              <w:bottom w:val="nil"/>
              <w:right w:val="nil"/>
            </w:tcBorders>
            <w:shd w:val="clear" w:color="000000" w:fill="FFFFFF"/>
            <w:noWrap/>
            <w:vAlign w:val="center"/>
            <w:hideMark/>
          </w:tcPr>
          <w:p w14:paraId="6A369C56"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(3)</w:t>
            </w:r>
          </w:p>
        </w:tc>
        <w:tc>
          <w:tcPr>
            <w:tcW w:w="723" w:type="pct"/>
            <w:tcBorders>
              <w:top w:val="nil"/>
              <w:left w:val="nil"/>
              <w:bottom w:val="nil"/>
              <w:right w:val="nil"/>
            </w:tcBorders>
            <w:shd w:val="clear" w:color="000000" w:fill="CCECFF"/>
            <w:noWrap/>
            <w:vAlign w:val="center"/>
            <w:hideMark/>
          </w:tcPr>
          <w:p w14:paraId="4C186FD3"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(3)</w:t>
            </w:r>
          </w:p>
        </w:tc>
      </w:tr>
      <w:tr w:rsidR="002B7729" w:rsidRPr="002B7729" w14:paraId="725A2F06" w14:textId="77777777" w:rsidTr="00B26130">
        <w:trPr>
          <w:trHeight w:val="340"/>
        </w:trPr>
        <w:tc>
          <w:tcPr>
            <w:tcW w:w="3554" w:type="pct"/>
            <w:tcBorders>
              <w:top w:val="nil"/>
              <w:left w:val="nil"/>
              <w:bottom w:val="nil"/>
              <w:right w:val="nil"/>
            </w:tcBorders>
            <w:shd w:val="clear" w:color="000000" w:fill="FFFFFF"/>
            <w:noWrap/>
            <w:vAlign w:val="center"/>
            <w:hideMark/>
          </w:tcPr>
          <w:p w14:paraId="2EFFC986"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Actuarial Gains</w:t>
            </w:r>
          </w:p>
        </w:tc>
        <w:tc>
          <w:tcPr>
            <w:tcW w:w="723" w:type="pct"/>
            <w:tcBorders>
              <w:top w:val="nil"/>
              <w:left w:val="single" w:sz="4" w:space="0" w:color="auto"/>
              <w:bottom w:val="nil"/>
              <w:right w:val="nil"/>
            </w:tcBorders>
            <w:shd w:val="clear" w:color="000000" w:fill="FFFFFF"/>
            <w:noWrap/>
            <w:vAlign w:val="center"/>
            <w:hideMark/>
          </w:tcPr>
          <w:p w14:paraId="25E2E343"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(7,214)</w:t>
            </w:r>
          </w:p>
        </w:tc>
        <w:tc>
          <w:tcPr>
            <w:tcW w:w="723" w:type="pct"/>
            <w:tcBorders>
              <w:top w:val="nil"/>
              <w:left w:val="nil"/>
              <w:bottom w:val="nil"/>
              <w:right w:val="nil"/>
            </w:tcBorders>
            <w:shd w:val="clear" w:color="000000" w:fill="CCECFF"/>
            <w:noWrap/>
            <w:vAlign w:val="center"/>
            <w:hideMark/>
          </w:tcPr>
          <w:p w14:paraId="0C35430E"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7,851</w:t>
            </w:r>
          </w:p>
        </w:tc>
      </w:tr>
      <w:tr w:rsidR="002B7729" w:rsidRPr="002B7729" w14:paraId="5EA168C1" w14:textId="77777777" w:rsidTr="00B26130">
        <w:trPr>
          <w:trHeight w:val="340"/>
        </w:trPr>
        <w:tc>
          <w:tcPr>
            <w:tcW w:w="3554" w:type="pct"/>
            <w:tcBorders>
              <w:top w:val="nil"/>
              <w:left w:val="nil"/>
              <w:bottom w:val="nil"/>
              <w:right w:val="nil"/>
            </w:tcBorders>
            <w:shd w:val="clear" w:color="000000" w:fill="FFFFFF"/>
            <w:noWrap/>
            <w:vAlign w:val="center"/>
            <w:hideMark/>
          </w:tcPr>
          <w:p w14:paraId="08CAE934"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Estimated Unfunded Benefits paid</w:t>
            </w:r>
          </w:p>
        </w:tc>
        <w:tc>
          <w:tcPr>
            <w:tcW w:w="723" w:type="pct"/>
            <w:tcBorders>
              <w:top w:val="nil"/>
              <w:left w:val="single" w:sz="4" w:space="0" w:color="auto"/>
              <w:bottom w:val="nil"/>
              <w:right w:val="nil"/>
            </w:tcBorders>
            <w:shd w:val="clear" w:color="000000" w:fill="FFFFFF"/>
            <w:noWrap/>
            <w:vAlign w:val="center"/>
            <w:hideMark/>
          </w:tcPr>
          <w:p w14:paraId="6B611248"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3</w:t>
            </w:r>
          </w:p>
        </w:tc>
        <w:tc>
          <w:tcPr>
            <w:tcW w:w="723" w:type="pct"/>
            <w:tcBorders>
              <w:top w:val="nil"/>
              <w:left w:val="nil"/>
              <w:bottom w:val="nil"/>
              <w:right w:val="nil"/>
            </w:tcBorders>
            <w:shd w:val="clear" w:color="000000" w:fill="CCECFF"/>
            <w:noWrap/>
            <w:vAlign w:val="center"/>
            <w:hideMark/>
          </w:tcPr>
          <w:p w14:paraId="06073C4F"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3</w:t>
            </w:r>
          </w:p>
        </w:tc>
      </w:tr>
      <w:tr w:rsidR="002B7729" w:rsidRPr="002B7729" w14:paraId="4BAB47D1" w14:textId="77777777" w:rsidTr="00B26130">
        <w:trPr>
          <w:trHeight w:val="340"/>
        </w:trPr>
        <w:tc>
          <w:tcPr>
            <w:tcW w:w="3554" w:type="pct"/>
            <w:tcBorders>
              <w:top w:val="nil"/>
              <w:left w:val="nil"/>
              <w:bottom w:val="nil"/>
              <w:right w:val="nil"/>
            </w:tcBorders>
            <w:shd w:val="clear" w:color="000000" w:fill="FFFFFF"/>
            <w:noWrap/>
            <w:vAlign w:val="center"/>
            <w:hideMark/>
          </w:tcPr>
          <w:p w14:paraId="713CADF2"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Estimated Benefits Paid</w:t>
            </w:r>
          </w:p>
        </w:tc>
        <w:tc>
          <w:tcPr>
            <w:tcW w:w="723" w:type="pct"/>
            <w:tcBorders>
              <w:top w:val="nil"/>
              <w:left w:val="single" w:sz="4" w:space="0" w:color="auto"/>
              <w:bottom w:val="nil"/>
              <w:right w:val="nil"/>
            </w:tcBorders>
            <w:shd w:val="clear" w:color="000000" w:fill="FFFFFF"/>
            <w:noWrap/>
            <w:vAlign w:val="center"/>
            <w:hideMark/>
          </w:tcPr>
          <w:p w14:paraId="3FEA0417"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(6,164)</w:t>
            </w:r>
          </w:p>
        </w:tc>
        <w:tc>
          <w:tcPr>
            <w:tcW w:w="723" w:type="pct"/>
            <w:tcBorders>
              <w:top w:val="nil"/>
              <w:left w:val="nil"/>
              <w:bottom w:val="nil"/>
              <w:right w:val="nil"/>
            </w:tcBorders>
            <w:shd w:val="clear" w:color="000000" w:fill="CCECFF"/>
            <w:noWrap/>
            <w:vAlign w:val="center"/>
            <w:hideMark/>
          </w:tcPr>
          <w:p w14:paraId="0FABC4D8"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(6,275)</w:t>
            </w:r>
          </w:p>
        </w:tc>
      </w:tr>
      <w:tr w:rsidR="002B7729" w:rsidRPr="002B7729" w14:paraId="5D41CF7E" w14:textId="77777777" w:rsidTr="00B26130">
        <w:trPr>
          <w:trHeight w:val="340"/>
        </w:trPr>
        <w:tc>
          <w:tcPr>
            <w:tcW w:w="3554" w:type="pct"/>
            <w:tcBorders>
              <w:top w:val="nil"/>
              <w:left w:val="nil"/>
              <w:bottom w:val="nil"/>
              <w:right w:val="nil"/>
            </w:tcBorders>
            <w:shd w:val="clear" w:color="000000" w:fill="FFFFFF"/>
            <w:noWrap/>
            <w:vAlign w:val="center"/>
            <w:hideMark/>
          </w:tcPr>
          <w:p w14:paraId="04EF035B"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Effect of business combinations and disposals</w:t>
            </w:r>
          </w:p>
        </w:tc>
        <w:tc>
          <w:tcPr>
            <w:tcW w:w="723" w:type="pct"/>
            <w:tcBorders>
              <w:top w:val="nil"/>
              <w:left w:val="single" w:sz="4" w:space="0" w:color="auto"/>
              <w:bottom w:val="nil"/>
              <w:right w:val="nil"/>
            </w:tcBorders>
            <w:shd w:val="clear" w:color="000000" w:fill="FFFFFF"/>
            <w:noWrap/>
            <w:vAlign w:val="center"/>
            <w:hideMark/>
          </w:tcPr>
          <w:p w14:paraId="60607926"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w:t>
            </w:r>
          </w:p>
        </w:tc>
        <w:tc>
          <w:tcPr>
            <w:tcW w:w="723" w:type="pct"/>
            <w:tcBorders>
              <w:top w:val="nil"/>
              <w:left w:val="nil"/>
              <w:bottom w:val="nil"/>
              <w:right w:val="nil"/>
            </w:tcBorders>
            <w:shd w:val="clear" w:color="000000" w:fill="CCECFF"/>
            <w:noWrap/>
            <w:vAlign w:val="center"/>
            <w:hideMark/>
          </w:tcPr>
          <w:p w14:paraId="70147E65"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w:t>
            </w:r>
          </w:p>
        </w:tc>
      </w:tr>
      <w:tr w:rsidR="002B7729" w:rsidRPr="002B7729" w14:paraId="07FA62A5" w14:textId="77777777" w:rsidTr="00B26130">
        <w:trPr>
          <w:trHeight w:val="340"/>
        </w:trPr>
        <w:tc>
          <w:tcPr>
            <w:tcW w:w="3554" w:type="pct"/>
            <w:tcBorders>
              <w:top w:val="nil"/>
              <w:left w:val="nil"/>
              <w:bottom w:val="nil"/>
              <w:right w:val="nil"/>
            </w:tcBorders>
            <w:shd w:val="clear" w:color="000000" w:fill="FFFFFF"/>
            <w:noWrap/>
            <w:vAlign w:val="center"/>
            <w:hideMark/>
          </w:tcPr>
          <w:p w14:paraId="40C1F6B4" w14:textId="77777777" w:rsidR="002B7729" w:rsidRPr="002B7729" w:rsidRDefault="002B7729" w:rsidP="002B7729">
            <w:pPr>
              <w:spacing w:after="0" w:line="240" w:lineRule="auto"/>
              <w:jc w:val="left"/>
              <w:rPr>
                <w:rFonts w:eastAsia="Times New Roman" w:cs="Calibri"/>
                <w:color w:val="auto"/>
                <w:sz w:val="18"/>
                <w:szCs w:val="18"/>
                <w:lang w:eastAsia="en-GB"/>
              </w:rPr>
            </w:pPr>
            <w:r w:rsidRPr="002B7729">
              <w:rPr>
                <w:rFonts w:eastAsia="Times New Roman" w:cs="Calibri"/>
                <w:color w:val="auto"/>
                <w:sz w:val="18"/>
                <w:szCs w:val="18"/>
                <w:lang w:eastAsia="en-GB"/>
              </w:rPr>
              <w:t>Effect of Asset Ceiling Calculations</w:t>
            </w:r>
          </w:p>
        </w:tc>
        <w:tc>
          <w:tcPr>
            <w:tcW w:w="723" w:type="pct"/>
            <w:tcBorders>
              <w:top w:val="nil"/>
              <w:left w:val="single" w:sz="4" w:space="0" w:color="auto"/>
              <w:bottom w:val="nil"/>
              <w:right w:val="nil"/>
            </w:tcBorders>
            <w:shd w:val="clear" w:color="000000" w:fill="FFFFFF"/>
            <w:noWrap/>
            <w:vAlign w:val="center"/>
            <w:hideMark/>
          </w:tcPr>
          <w:p w14:paraId="6C2240BD"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(35,210)</w:t>
            </w:r>
          </w:p>
        </w:tc>
        <w:tc>
          <w:tcPr>
            <w:tcW w:w="723" w:type="pct"/>
            <w:tcBorders>
              <w:top w:val="nil"/>
              <w:left w:val="nil"/>
              <w:bottom w:val="nil"/>
              <w:right w:val="nil"/>
            </w:tcBorders>
            <w:shd w:val="clear" w:color="000000" w:fill="CCECFF"/>
            <w:noWrap/>
            <w:vAlign w:val="center"/>
            <w:hideMark/>
          </w:tcPr>
          <w:p w14:paraId="791A7B55" w14:textId="77777777" w:rsidR="002B7729" w:rsidRPr="002B7729" w:rsidRDefault="002B7729" w:rsidP="002B7729">
            <w:pPr>
              <w:spacing w:after="0" w:line="240" w:lineRule="auto"/>
              <w:jc w:val="right"/>
              <w:rPr>
                <w:rFonts w:eastAsia="Times New Roman" w:cs="Calibri"/>
                <w:color w:val="auto"/>
                <w:sz w:val="18"/>
                <w:szCs w:val="18"/>
                <w:lang w:eastAsia="en-GB"/>
              </w:rPr>
            </w:pPr>
            <w:r w:rsidRPr="002B7729">
              <w:rPr>
                <w:rFonts w:eastAsia="Times New Roman" w:cs="Calibri"/>
                <w:color w:val="auto"/>
                <w:sz w:val="18"/>
                <w:szCs w:val="18"/>
                <w:lang w:eastAsia="en-GB"/>
              </w:rPr>
              <w:t>(3,707)</w:t>
            </w:r>
          </w:p>
        </w:tc>
      </w:tr>
      <w:tr w:rsidR="002B7729" w:rsidRPr="002B7729" w14:paraId="2A854E8E" w14:textId="77777777" w:rsidTr="00B26130">
        <w:trPr>
          <w:trHeight w:val="340"/>
        </w:trPr>
        <w:tc>
          <w:tcPr>
            <w:tcW w:w="3554" w:type="pct"/>
            <w:tcBorders>
              <w:top w:val="single" w:sz="4" w:space="0" w:color="auto"/>
              <w:left w:val="nil"/>
              <w:bottom w:val="single" w:sz="4" w:space="0" w:color="auto"/>
              <w:right w:val="nil"/>
            </w:tcBorders>
            <w:shd w:val="clear" w:color="000000" w:fill="FFFFFF"/>
            <w:noWrap/>
            <w:vAlign w:val="center"/>
            <w:hideMark/>
          </w:tcPr>
          <w:p w14:paraId="2BA703AC" w14:textId="3A6B81D6" w:rsidR="002B7729" w:rsidRPr="002B7729" w:rsidRDefault="002B7729" w:rsidP="002B7729">
            <w:pPr>
              <w:spacing w:after="0" w:line="240" w:lineRule="auto"/>
              <w:jc w:val="left"/>
              <w:rPr>
                <w:rFonts w:eastAsia="Times New Roman" w:cs="Calibri"/>
                <w:b/>
                <w:bCs/>
                <w:color w:val="auto"/>
                <w:sz w:val="18"/>
                <w:szCs w:val="18"/>
                <w:lang w:eastAsia="en-GB"/>
              </w:rPr>
            </w:pPr>
            <w:r w:rsidRPr="002B7729">
              <w:rPr>
                <w:rFonts w:eastAsia="Times New Roman" w:cs="Calibri"/>
                <w:b/>
                <w:bCs/>
                <w:color w:val="auto"/>
                <w:sz w:val="18"/>
                <w:szCs w:val="18"/>
                <w:lang w:eastAsia="en-GB"/>
              </w:rPr>
              <w:t>Fair Value of Pensions Asset 31 March</w:t>
            </w:r>
          </w:p>
        </w:tc>
        <w:tc>
          <w:tcPr>
            <w:tcW w:w="723" w:type="pct"/>
            <w:tcBorders>
              <w:top w:val="single" w:sz="4" w:space="0" w:color="auto"/>
              <w:left w:val="single" w:sz="4" w:space="0" w:color="auto"/>
              <w:bottom w:val="single" w:sz="4" w:space="0" w:color="auto"/>
              <w:right w:val="nil"/>
            </w:tcBorders>
            <w:shd w:val="clear" w:color="000000" w:fill="FFFFFF"/>
            <w:vAlign w:val="center"/>
            <w:hideMark/>
          </w:tcPr>
          <w:p w14:paraId="4144AC02" w14:textId="77777777" w:rsidR="002B7729" w:rsidRPr="002B7729" w:rsidRDefault="002B7729" w:rsidP="002B7729">
            <w:pPr>
              <w:spacing w:after="0" w:line="240" w:lineRule="auto"/>
              <w:jc w:val="right"/>
              <w:rPr>
                <w:rFonts w:eastAsia="Times New Roman" w:cs="Calibri"/>
                <w:b/>
                <w:bCs/>
                <w:color w:val="auto"/>
                <w:sz w:val="18"/>
                <w:szCs w:val="18"/>
                <w:lang w:eastAsia="en-GB"/>
              </w:rPr>
            </w:pPr>
            <w:r w:rsidRPr="002B7729">
              <w:rPr>
                <w:rFonts w:eastAsia="Times New Roman" w:cs="Calibri"/>
                <w:b/>
                <w:bCs/>
                <w:color w:val="auto"/>
                <w:sz w:val="18"/>
                <w:szCs w:val="18"/>
                <w:lang w:eastAsia="en-GB"/>
              </w:rPr>
              <w:t>183,032</w:t>
            </w:r>
          </w:p>
        </w:tc>
        <w:tc>
          <w:tcPr>
            <w:tcW w:w="723" w:type="pct"/>
            <w:tcBorders>
              <w:top w:val="single" w:sz="4" w:space="0" w:color="auto"/>
              <w:left w:val="nil"/>
              <w:bottom w:val="single" w:sz="4" w:space="0" w:color="auto"/>
              <w:right w:val="nil"/>
            </w:tcBorders>
            <w:shd w:val="clear" w:color="000000" w:fill="CCECFF"/>
            <w:vAlign w:val="center"/>
            <w:hideMark/>
          </w:tcPr>
          <w:p w14:paraId="0287B05B" w14:textId="77777777" w:rsidR="002B7729" w:rsidRPr="002B7729" w:rsidRDefault="002B7729" w:rsidP="002B7729">
            <w:pPr>
              <w:spacing w:after="0" w:line="240" w:lineRule="auto"/>
              <w:jc w:val="right"/>
              <w:rPr>
                <w:rFonts w:eastAsia="Times New Roman" w:cs="Calibri"/>
                <w:b/>
                <w:bCs/>
                <w:color w:val="auto"/>
                <w:sz w:val="18"/>
                <w:szCs w:val="18"/>
                <w:lang w:eastAsia="en-GB"/>
              </w:rPr>
            </w:pPr>
            <w:r w:rsidRPr="002B7729">
              <w:rPr>
                <w:rFonts w:eastAsia="Times New Roman" w:cs="Calibri"/>
                <w:b/>
                <w:bCs/>
                <w:color w:val="auto"/>
                <w:sz w:val="18"/>
                <w:szCs w:val="18"/>
                <w:lang w:eastAsia="en-GB"/>
              </w:rPr>
              <w:t>206,459</w:t>
            </w:r>
          </w:p>
        </w:tc>
      </w:tr>
    </w:tbl>
    <w:p w14:paraId="71EB7300" w14:textId="051A3F5D" w:rsidR="001E665B" w:rsidRPr="00EC546C" w:rsidRDefault="001E665B" w:rsidP="003356AE">
      <w:pPr>
        <w:spacing w:line="240" w:lineRule="auto"/>
      </w:pPr>
    </w:p>
    <w:p w14:paraId="5D2FE0FD" w14:textId="2703CAA3" w:rsidR="003C09E9" w:rsidRPr="00C03332" w:rsidRDefault="003C09E9" w:rsidP="003356AE">
      <w:pPr>
        <w:spacing w:line="240" w:lineRule="auto"/>
        <w:rPr>
          <w:rFonts w:cs="Times New Roman"/>
          <w:szCs w:val="18"/>
          <w:highlight w:val="yellow"/>
        </w:rPr>
      </w:pPr>
      <w:r w:rsidRPr="00673492">
        <w:rPr>
          <w:rFonts w:cs="Times New Roman"/>
          <w:szCs w:val="18"/>
        </w:rPr>
        <w:t>The expected return on scheme assets is determined by considering the expected returns available on the assets underlying the current investment policy.</w:t>
      </w:r>
      <w:r>
        <w:rPr>
          <w:rFonts w:cs="Times New Roman"/>
          <w:szCs w:val="18"/>
        </w:rPr>
        <w:t xml:space="preserve"> </w:t>
      </w:r>
      <w:r w:rsidRPr="00673492">
        <w:rPr>
          <w:rFonts w:cs="Times New Roman"/>
          <w:szCs w:val="18"/>
        </w:rPr>
        <w:t xml:space="preserve"> Expected yields on fixed interest investments are based on gross </w:t>
      </w:r>
      <w:r w:rsidRPr="00673492">
        <w:rPr>
          <w:rFonts w:cs="Times New Roman"/>
          <w:szCs w:val="18"/>
        </w:rPr>
        <w:lastRenderedPageBreak/>
        <w:t xml:space="preserve">redemption yields as at the Balance Sheet date. </w:t>
      </w:r>
      <w:r>
        <w:rPr>
          <w:rFonts w:cs="Times New Roman"/>
          <w:szCs w:val="18"/>
        </w:rPr>
        <w:t xml:space="preserve"> </w:t>
      </w:r>
      <w:r w:rsidRPr="00673492">
        <w:rPr>
          <w:rFonts w:cs="Times New Roman"/>
          <w:szCs w:val="18"/>
        </w:rPr>
        <w:t xml:space="preserve">Expected returns on equity investments reflect long-term real rates of return experienced in the respective markets. </w:t>
      </w:r>
      <w:r>
        <w:rPr>
          <w:rFonts w:cs="Times New Roman"/>
          <w:szCs w:val="18"/>
        </w:rPr>
        <w:t xml:space="preserve"> </w:t>
      </w:r>
      <w:r w:rsidRPr="00673492">
        <w:rPr>
          <w:rFonts w:cs="Times New Roman"/>
          <w:szCs w:val="18"/>
        </w:rPr>
        <w:t xml:space="preserve">The estimated return on scheme assets in the year </w:t>
      </w:r>
      <w:r w:rsidRPr="00F3519F">
        <w:rPr>
          <w:rFonts w:cs="Times New Roman"/>
          <w:szCs w:val="18"/>
        </w:rPr>
        <w:t xml:space="preserve">was </w:t>
      </w:r>
      <w:r w:rsidR="002E108A" w:rsidRPr="001778F7">
        <w:rPr>
          <w:rFonts w:cs="Times New Roman"/>
          <w:szCs w:val="18"/>
        </w:rPr>
        <w:t>£</w:t>
      </w:r>
      <w:r w:rsidR="00304144" w:rsidRPr="001778F7">
        <w:rPr>
          <w:rFonts w:cs="Times New Roman"/>
          <w:szCs w:val="18"/>
        </w:rPr>
        <w:t>1</w:t>
      </w:r>
      <w:r w:rsidR="001778F7">
        <w:rPr>
          <w:rFonts w:cs="Times New Roman"/>
          <w:szCs w:val="18"/>
        </w:rPr>
        <w:t>4</w:t>
      </w:r>
      <w:r w:rsidR="00F911B3" w:rsidRPr="001778F7">
        <w:rPr>
          <w:rFonts w:cs="Times New Roman"/>
          <w:szCs w:val="18"/>
        </w:rPr>
        <w:t>,</w:t>
      </w:r>
      <w:r w:rsidR="001778F7">
        <w:rPr>
          <w:rFonts w:cs="Times New Roman"/>
          <w:szCs w:val="18"/>
        </w:rPr>
        <w:t>055</w:t>
      </w:r>
      <w:r w:rsidR="00F911B3" w:rsidRPr="001778F7">
        <w:rPr>
          <w:rFonts w:cs="Times New Roman"/>
          <w:szCs w:val="18"/>
        </w:rPr>
        <w:t>k</w:t>
      </w:r>
      <w:r w:rsidRPr="002E108A">
        <w:rPr>
          <w:rFonts w:cs="Times New Roman"/>
          <w:szCs w:val="18"/>
        </w:rPr>
        <w:t xml:space="preserve"> (£</w:t>
      </w:r>
      <w:r w:rsidR="00163819">
        <w:rPr>
          <w:rFonts w:cs="Times New Roman"/>
          <w:szCs w:val="18"/>
        </w:rPr>
        <w:t>11</w:t>
      </w:r>
      <w:r w:rsidR="009D3D44">
        <w:rPr>
          <w:rFonts w:cs="Times New Roman"/>
          <w:szCs w:val="18"/>
        </w:rPr>
        <w:t>,</w:t>
      </w:r>
      <w:r w:rsidR="00163819">
        <w:rPr>
          <w:rFonts w:cs="Times New Roman"/>
          <w:szCs w:val="18"/>
        </w:rPr>
        <w:t>312</w:t>
      </w:r>
      <w:r w:rsidR="009D3D44">
        <w:rPr>
          <w:rFonts w:cs="Times New Roman"/>
          <w:szCs w:val="18"/>
        </w:rPr>
        <w:t>k</w:t>
      </w:r>
      <w:r w:rsidRPr="002E108A">
        <w:rPr>
          <w:rFonts w:cs="Times New Roman"/>
          <w:szCs w:val="18"/>
        </w:rPr>
        <w:t xml:space="preserve"> in 20</w:t>
      </w:r>
      <w:r w:rsidR="00534D1C" w:rsidRPr="002E108A">
        <w:rPr>
          <w:rFonts w:cs="Times New Roman"/>
          <w:szCs w:val="18"/>
        </w:rPr>
        <w:t>2</w:t>
      </w:r>
      <w:r w:rsidR="00163819">
        <w:rPr>
          <w:rFonts w:cs="Times New Roman"/>
          <w:szCs w:val="18"/>
        </w:rPr>
        <w:t>4</w:t>
      </w:r>
      <w:r w:rsidRPr="002E108A">
        <w:rPr>
          <w:rFonts w:cs="Times New Roman"/>
          <w:szCs w:val="18"/>
        </w:rPr>
        <w:t>/</w:t>
      </w:r>
      <w:r w:rsidR="00534D1C" w:rsidRPr="002E108A">
        <w:rPr>
          <w:rFonts w:cs="Times New Roman"/>
          <w:szCs w:val="18"/>
        </w:rPr>
        <w:t>2</w:t>
      </w:r>
      <w:r w:rsidR="00163819">
        <w:rPr>
          <w:rFonts w:cs="Times New Roman"/>
          <w:szCs w:val="18"/>
        </w:rPr>
        <w:t>5</w:t>
      </w:r>
      <w:r w:rsidRPr="002E108A">
        <w:rPr>
          <w:rFonts w:cs="Times New Roman"/>
          <w:szCs w:val="18"/>
        </w:rPr>
        <w:t>).</w:t>
      </w:r>
    </w:p>
    <w:p w14:paraId="10D736B6" w14:textId="77777777" w:rsidR="003C09E9" w:rsidRPr="008F71D8" w:rsidRDefault="003C09E9" w:rsidP="003356AE">
      <w:pPr>
        <w:spacing w:line="240" w:lineRule="auto"/>
        <w:rPr>
          <w:rFonts w:cs="Times New Roman"/>
          <w:szCs w:val="18"/>
          <w:highlight w:val="yellow"/>
        </w:rPr>
      </w:pPr>
    </w:p>
    <w:p w14:paraId="2B5A8DB4" w14:textId="227C7342" w:rsidR="007C22F8" w:rsidRPr="00381BCB" w:rsidRDefault="007C22F8" w:rsidP="003356AE">
      <w:pPr>
        <w:spacing w:line="240" w:lineRule="auto"/>
      </w:pPr>
      <w:r>
        <w:rPr>
          <w:rFonts w:asciiTheme="minorHAnsi" w:hAnsiTheme="minorHAnsi"/>
          <w:szCs w:val="18"/>
        </w:rPr>
        <w:t>The O</w:t>
      </w:r>
      <w:r w:rsidRPr="006859F5">
        <w:rPr>
          <w:rFonts w:asciiTheme="minorHAnsi" w:hAnsiTheme="minorHAnsi"/>
          <w:szCs w:val="18"/>
        </w:rPr>
        <w:t xml:space="preserve">CC’s </w:t>
      </w:r>
      <w:r w:rsidRPr="00D1610F">
        <w:rPr>
          <w:rFonts w:asciiTheme="minorHAnsi" w:hAnsiTheme="minorHAnsi"/>
          <w:szCs w:val="18"/>
        </w:rPr>
        <w:t xml:space="preserve">total pension liability </w:t>
      </w:r>
      <w:r w:rsidRPr="00924A18">
        <w:rPr>
          <w:rFonts w:asciiTheme="minorHAnsi" w:hAnsiTheme="minorHAnsi"/>
          <w:szCs w:val="18"/>
        </w:rPr>
        <w:t>of £</w:t>
      </w:r>
      <w:r w:rsidR="00C71A75" w:rsidRPr="00924A18">
        <w:rPr>
          <w:rFonts w:asciiTheme="minorHAnsi" w:hAnsiTheme="minorHAnsi"/>
          <w:szCs w:val="18"/>
        </w:rPr>
        <w:t>9</w:t>
      </w:r>
      <w:r w:rsidR="00924A18">
        <w:rPr>
          <w:rFonts w:asciiTheme="minorHAnsi" w:hAnsiTheme="minorHAnsi"/>
          <w:szCs w:val="18"/>
        </w:rPr>
        <w:t>31</w:t>
      </w:r>
      <w:r w:rsidR="00C71A75" w:rsidRPr="00924A18">
        <w:rPr>
          <w:rFonts w:asciiTheme="minorHAnsi" w:hAnsiTheme="minorHAnsi"/>
          <w:szCs w:val="18"/>
        </w:rPr>
        <w:t>.</w:t>
      </w:r>
      <w:r w:rsidR="005D2549">
        <w:rPr>
          <w:rFonts w:asciiTheme="minorHAnsi" w:hAnsiTheme="minorHAnsi"/>
          <w:szCs w:val="18"/>
        </w:rPr>
        <w:t>67</w:t>
      </w:r>
      <w:r w:rsidR="00C71A75" w:rsidRPr="00924A18">
        <w:rPr>
          <w:rFonts w:asciiTheme="minorHAnsi" w:hAnsiTheme="minorHAnsi"/>
          <w:szCs w:val="18"/>
        </w:rPr>
        <w:t>m</w:t>
      </w:r>
      <w:r w:rsidRPr="00D1610F">
        <w:rPr>
          <w:rFonts w:asciiTheme="minorHAnsi" w:hAnsiTheme="minorHAnsi"/>
          <w:szCs w:val="18"/>
        </w:rPr>
        <w:t xml:space="preserve"> reconciles to the Unusable Reserves within the Balance </w:t>
      </w:r>
      <w:r w:rsidRPr="008C282D">
        <w:rPr>
          <w:rFonts w:asciiTheme="minorHAnsi" w:hAnsiTheme="minorHAnsi"/>
          <w:szCs w:val="18"/>
        </w:rPr>
        <w:t xml:space="preserve">Sheet of </w:t>
      </w:r>
      <w:r w:rsidRPr="005D2549">
        <w:rPr>
          <w:rFonts w:asciiTheme="minorHAnsi" w:hAnsiTheme="minorHAnsi"/>
          <w:szCs w:val="18"/>
        </w:rPr>
        <w:t>£</w:t>
      </w:r>
      <w:r w:rsidR="004167A5" w:rsidRPr="005D2549">
        <w:rPr>
          <w:rFonts w:asciiTheme="minorHAnsi" w:hAnsiTheme="minorHAnsi"/>
          <w:szCs w:val="18"/>
        </w:rPr>
        <w:t>9</w:t>
      </w:r>
      <w:r w:rsidR="00854A14">
        <w:rPr>
          <w:rFonts w:asciiTheme="minorHAnsi" w:hAnsiTheme="minorHAnsi"/>
          <w:szCs w:val="18"/>
        </w:rPr>
        <w:t>3</w:t>
      </w:r>
      <w:r w:rsidR="004167A5" w:rsidRPr="005D2549">
        <w:rPr>
          <w:rFonts w:asciiTheme="minorHAnsi" w:hAnsiTheme="minorHAnsi"/>
          <w:szCs w:val="18"/>
        </w:rPr>
        <w:t>5.2</w:t>
      </w:r>
      <w:r w:rsidR="00854A14">
        <w:rPr>
          <w:rFonts w:asciiTheme="minorHAnsi" w:hAnsiTheme="minorHAnsi"/>
          <w:szCs w:val="18"/>
        </w:rPr>
        <w:t>27</w:t>
      </w:r>
      <w:r w:rsidR="00197378" w:rsidRPr="005D2549">
        <w:rPr>
          <w:rFonts w:asciiTheme="minorHAnsi" w:hAnsiTheme="minorHAnsi"/>
          <w:szCs w:val="18"/>
        </w:rPr>
        <w:t>m</w:t>
      </w:r>
      <w:r w:rsidRPr="005D2549">
        <w:rPr>
          <w:rFonts w:asciiTheme="minorHAnsi" w:hAnsiTheme="minorHAnsi"/>
          <w:szCs w:val="18"/>
        </w:rPr>
        <w:t>, by</w:t>
      </w:r>
      <w:r w:rsidRPr="008C282D">
        <w:rPr>
          <w:rFonts w:asciiTheme="minorHAnsi" w:hAnsiTheme="minorHAnsi"/>
          <w:szCs w:val="18"/>
        </w:rPr>
        <w:t xml:space="preserve"> adding back the figures within the Movement in Reserves Statement of the Capital Adjustment</w:t>
      </w:r>
      <w:r w:rsidRPr="006859F5">
        <w:rPr>
          <w:rFonts w:asciiTheme="minorHAnsi" w:hAnsiTheme="minorHAnsi"/>
          <w:szCs w:val="18"/>
        </w:rPr>
        <w:t xml:space="preserve"> Account, the Collection Fund Adjustment Account</w:t>
      </w:r>
      <w:r w:rsidR="00D1695B">
        <w:rPr>
          <w:rFonts w:asciiTheme="minorHAnsi" w:hAnsiTheme="minorHAnsi"/>
          <w:szCs w:val="18"/>
        </w:rPr>
        <w:t xml:space="preserve"> and</w:t>
      </w:r>
      <w:r w:rsidRPr="006859F5">
        <w:rPr>
          <w:rFonts w:asciiTheme="minorHAnsi" w:hAnsiTheme="minorHAnsi"/>
          <w:szCs w:val="18"/>
        </w:rPr>
        <w:t xml:space="preserve"> the Revaluation Reserve to the Unusable Reserves total and then subtracting the Employee Benefit Reserve (Note 17)</w:t>
      </w:r>
      <w:r w:rsidRPr="006859F5">
        <w:t>.</w:t>
      </w:r>
    </w:p>
    <w:p w14:paraId="544F96CE" w14:textId="77777777" w:rsidR="003C09E9" w:rsidRPr="00673492" w:rsidRDefault="003C09E9" w:rsidP="003356AE">
      <w:pPr>
        <w:spacing w:line="240" w:lineRule="auto"/>
        <w:rPr>
          <w:rFonts w:asciiTheme="minorHAnsi" w:hAnsiTheme="minorHAnsi"/>
          <w:szCs w:val="18"/>
        </w:rPr>
      </w:pPr>
    </w:p>
    <w:p w14:paraId="0C592D16" w14:textId="1B1AC772" w:rsidR="003C09E9" w:rsidRDefault="003C09E9" w:rsidP="003356AE">
      <w:pPr>
        <w:spacing w:line="240" w:lineRule="auto"/>
        <w:rPr>
          <w:rFonts w:asciiTheme="minorHAnsi" w:hAnsiTheme="minorHAnsi"/>
          <w:szCs w:val="18"/>
        </w:rPr>
      </w:pPr>
      <w:r w:rsidRPr="00673492">
        <w:rPr>
          <w:rFonts w:asciiTheme="minorHAnsi" w:hAnsiTheme="minorHAnsi"/>
          <w:szCs w:val="18"/>
        </w:rPr>
        <w:t>The liabilities show the underlying commitments</w:t>
      </w:r>
      <w:r>
        <w:rPr>
          <w:rFonts w:asciiTheme="minorHAnsi" w:hAnsiTheme="minorHAnsi"/>
          <w:szCs w:val="18"/>
        </w:rPr>
        <w:t xml:space="preserve"> that the OPFCC has in the </w:t>
      </w:r>
      <w:r w:rsidR="00D1695B">
        <w:rPr>
          <w:rFonts w:asciiTheme="minorHAnsi" w:hAnsiTheme="minorHAnsi"/>
          <w:szCs w:val="18"/>
        </w:rPr>
        <w:t>long run</w:t>
      </w:r>
      <w:r>
        <w:rPr>
          <w:rFonts w:asciiTheme="minorHAnsi" w:hAnsiTheme="minorHAnsi"/>
          <w:szCs w:val="18"/>
        </w:rPr>
        <w:t xml:space="preserve"> to pay retirement benefits.  </w:t>
      </w:r>
      <w:r w:rsidRPr="00673492">
        <w:rPr>
          <w:rFonts w:asciiTheme="minorHAnsi" w:hAnsiTheme="minorHAnsi"/>
          <w:szCs w:val="18"/>
        </w:rPr>
        <w:t xml:space="preserve">The total liability has a substantial impact on the net worth of the OPFCC as recorded in the balance sheet, resulting in a negative overall balance. </w:t>
      </w:r>
      <w:r>
        <w:rPr>
          <w:rFonts w:asciiTheme="minorHAnsi" w:hAnsiTheme="minorHAnsi"/>
          <w:szCs w:val="18"/>
        </w:rPr>
        <w:t xml:space="preserve"> </w:t>
      </w:r>
      <w:r w:rsidRPr="00673492">
        <w:rPr>
          <w:rFonts w:asciiTheme="minorHAnsi" w:hAnsiTheme="minorHAnsi"/>
          <w:szCs w:val="18"/>
        </w:rPr>
        <w:t xml:space="preserve">However, statutory arrangements for funding the deficit mean that the financial position </w:t>
      </w:r>
      <w:r>
        <w:rPr>
          <w:rFonts w:asciiTheme="minorHAnsi" w:hAnsiTheme="minorHAnsi"/>
          <w:szCs w:val="18"/>
        </w:rPr>
        <w:t>of the OPFCC remains healthy.</w:t>
      </w:r>
    </w:p>
    <w:p w14:paraId="6D621037" w14:textId="77777777" w:rsidR="00D1695B" w:rsidRDefault="00D1695B" w:rsidP="003356AE">
      <w:pPr>
        <w:spacing w:line="240" w:lineRule="auto"/>
        <w:rPr>
          <w:rFonts w:asciiTheme="minorHAnsi" w:hAnsiTheme="minorHAnsi"/>
          <w:szCs w:val="18"/>
        </w:rPr>
      </w:pPr>
    </w:p>
    <w:p w14:paraId="6E1C41B3" w14:textId="77777777" w:rsidR="003C09E9" w:rsidRPr="00F81C44" w:rsidRDefault="003C09E9" w:rsidP="003356AE">
      <w:pPr>
        <w:pStyle w:val="RedBullet"/>
        <w:spacing w:line="240" w:lineRule="auto"/>
        <w:rPr>
          <w:rFonts w:eastAsia="Calibri"/>
          <w:b/>
          <w:bCs/>
        </w:rPr>
      </w:pPr>
      <w:r w:rsidRPr="00673492">
        <w:rPr>
          <w:rFonts w:eastAsia="Calibri"/>
          <w:u w:val="single"/>
        </w:rPr>
        <w:t>Local Government Pension Scheme (LGPS)</w:t>
      </w:r>
    </w:p>
    <w:p w14:paraId="4D115B06" w14:textId="71C1B660" w:rsidR="003C09E9" w:rsidRDefault="003C09E9" w:rsidP="003356AE">
      <w:pPr>
        <w:pStyle w:val="RedBullet"/>
        <w:numPr>
          <w:ilvl w:val="0"/>
          <w:numId w:val="0"/>
        </w:numPr>
        <w:spacing w:line="240" w:lineRule="auto"/>
        <w:ind w:left="714"/>
        <w:rPr>
          <w:rFonts w:eastAsia="Calibri"/>
        </w:rPr>
      </w:pPr>
      <w:bookmarkStart w:id="221" w:name="_Hlk167956581"/>
      <w:r w:rsidRPr="00673492">
        <w:rPr>
          <w:rFonts w:eastAsia="Calibri"/>
        </w:rPr>
        <w:t>The local government scheme</w:t>
      </w:r>
      <w:r w:rsidR="00DF7EA7">
        <w:rPr>
          <w:rFonts w:eastAsia="Calibri"/>
        </w:rPr>
        <w:t xml:space="preserve"> has an expected surplus as per the actuary report.  However, the OCC is not able to include this amount within the statement of accounts as the asset ceiling calculations work out that it will not be possible to realise any part of this surplus for the benefit of the OCC</w:t>
      </w:r>
      <w:r w:rsidR="00BF5D0D">
        <w:rPr>
          <w:rFonts w:eastAsia="Calibri"/>
        </w:rPr>
        <w:t>,</w:t>
      </w:r>
      <w:r w:rsidRPr="00673492">
        <w:rPr>
          <w:rFonts w:eastAsia="Calibri"/>
        </w:rPr>
        <w:t xml:space="preserve"> as a</w:t>
      </w:r>
      <w:r>
        <w:rPr>
          <w:rFonts w:eastAsia="Calibri"/>
        </w:rPr>
        <w:t>ssessed by the scheme actuary</w:t>
      </w:r>
    </w:p>
    <w:bookmarkEnd w:id="221"/>
    <w:p w14:paraId="0936A425" w14:textId="77777777" w:rsidR="00323C68" w:rsidRPr="00673492" w:rsidRDefault="00323C68" w:rsidP="003356AE">
      <w:pPr>
        <w:pStyle w:val="RedBullet"/>
        <w:numPr>
          <w:ilvl w:val="0"/>
          <w:numId w:val="0"/>
        </w:numPr>
        <w:spacing w:line="240" w:lineRule="auto"/>
        <w:rPr>
          <w:rFonts w:eastAsia="Calibri"/>
          <w:b/>
          <w:bCs/>
        </w:rPr>
      </w:pPr>
    </w:p>
    <w:p w14:paraId="338F2B24" w14:textId="77777777" w:rsidR="003C09E9" w:rsidRPr="00F81C44" w:rsidRDefault="003C09E9" w:rsidP="003356AE">
      <w:pPr>
        <w:pStyle w:val="RedBullet"/>
        <w:spacing w:line="240" w:lineRule="auto"/>
        <w:rPr>
          <w:rFonts w:eastAsia="Calibri"/>
          <w:b/>
          <w:bCs/>
        </w:rPr>
      </w:pPr>
      <w:r w:rsidRPr="00673492">
        <w:rPr>
          <w:rFonts w:eastAsia="Calibri"/>
          <w:u w:val="single"/>
        </w:rPr>
        <w:t>Police Pension Schemes</w:t>
      </w:r>
    </w:p>
    <w:p w14:paraId="5DB76784" w14:textId="2F7E64AE" w:rsidR="00311794" w:rsidRDefault="003C09E9" w:rsidP="003356AE">
      <w:pPr>
        <w:pStyle w:val="RedBullet"/>
        <w:numPr>
          <w:ilvl w:val="0"/>
          <w:numId w:val="0"/>
        </w:numPr>
        <w:spacing w:line="240" w:lineRule="auto"/>
        <w:ind w:left="714"/>
      </w:pPr>
      <w:r w:rsidRPr="00673492">
        <w:rPr>
          <w:rFonts w:eastAsia="Calibri"/>
        </w:rPr>
        <w:t>Finance is only required to be raised to cover police pensions when the pensions are actually paid.</w:t>
      </w:r>
      <w:r>
        <w:rPr>
          <w:rFonts w:eastAsia="Calibri"/>
        </w:rPr>
        <w:t xml:space="preserve"> </w:t>
      </w:r>
      <w:r w:rsidRPr="00673492">
        <w:rPr>
          <w:rFonts w:eastAsia="Calibri"/>
        </w:rPr>
        <w:t xml:space="preserve"> Any deficit on the Pensions Fund Account for the year is funded by the OPFCC with Home Office Top-Up Gran</w:t>
      </w:r>
      <w:r>
        <w:rPr>
          <w:rFonts w:eastAsia="Calibri"/>
        </w:rPr>
        <w:t>t payable to cover the OPFCC’s c</w:t>
      </w:r>
      <w:r w:rsidRPr="00673492">
        <w:rPr>
          <w:rFonts w:eastAsia="Calibri"/>
        </w:rPr>
        <w:t>ontribution</w:t>
      </w:r>
    </w:p>
    <w:p w14:paraId="2660721B" w14:textId="77777777" w:rsidR="00311794" w:rsidRDefault="00311794" w:rsidP="003356AE">
      <w:pPr>
        <w:spacing w:line="240" w:lineRule="auto"/>
      </w:pPr>
    </w:p>
    <w:p w14:paraId="206D824C" w14:textId="77777777" w:rsidR="003C09E9" w:rsidRPr="00673492" w:rsidRDefault="003C09E9" w:rsidP="003356AE">
      <w:pPr>
        <w:pStyle w:val="VAHeadingLevel2"/>
        <w:spacing w:line="240" w:lineRule="auto"/>
        <w:rPr>
          <w:rFonts w:eastAsia="Calibri"/>
        </w:rPr>
      </w:pPr>
      <w:r w:rsidRPr="00673492">
        <w:rPr>
          <w:rFonts w:eastAsia="Calibri"/>
        </w:rPr>
        <w:t>Basis for Estimating Assets and Liabilities</w:t>
      </w:r>
    </w:p>
    <w:p w14:paraId="242C6E02" w14:textId="77777777" w:rsidR="003C09E9" w:rsidRPr="00F23985" w:rsidRDefault="003C09E9" w:rsidP="003356AE">
      <w:pPr>
        <w:spacing w:line="240" w:lineRule="auto"/>
        <w:rPr>
          <w:sz w:val="18"/>
          <w:szCs w:val="22"/>
        </w:rPr>
      </w:pPr>
    </w:p>
    <w:p w14:paraId="578518BE" w14:textId="1D96FCFE" w:rsidR="003C09E9" w:rsidRPr="00673492" w:rsidRDefault="003C09E9" w:rsidP="003356AE">
      <w:pPr>
        <w:spacing w:line="240" w:lineRule="auto"/>
      </w:pPr>
      <w:r w:rsidRPr="00673492">
        <w:rPr>
          <w:rFonts w:asciiTheme="minorHAnsi" w:hAnsiTheme="minorHAnsi"/>
        </w:rPr>
        <w:t xml:space="preserve">Liabilities have been assessed on an actuarial basis using the projected unit method, an estimate of the pensions that will be payable in future years dependent on assumptions about mortality rates, salary levels, etc. </w:t>
      </w:r>
      <w:r>
        <w:rPr>
          <w:rFonts w:asciiTheme="minorHAnsi" w:hAnsiTheme="minorHAnsi"/>
        </w:rPr>
        <w:t xml:space="preserve"> </w:t>
      </w:r>
      <w:r w:rsidRPr="00673492">
        <w:rPr>
          <w:rFonts w:asciiTheme="minorHAnsi" w:hAnsiTheme="minorHAnsi"/>
        </w:rPr>
        <w:t>The Police Pension Scheme liabilities are assessed by the Government Actuary’s Department (GAD) and the Local Government Pension Scheme by Hymans Robertson LLP, an independent firm of actuaries.</w:t>
      </w:r>
      <w:r>
        <w:rPr>
          <w:rFonts w:asciiTheme="minorHAnsi" w:hAnsiTheme="minorHAnsi"/>
        </w:rPr>
        <w:t xml:space="preserve"> </w:t>
      </w:r>
      <w:r w:rsidRPr="00673492">
        <w:rPr>
          <w:rFonts w:asciiTheme="minorHAnsi" w:hAnsiTheme="minorHAnsi"/>
        </w:rPr>
        <w:t xml:space="preserve"> The main assumptions used in their calculations </w:t>
      </w:r>
      <w:r>
        <w:rPr>
          <w:rFonts w:asciiTheme="minorHAnsi" w:hAnsiTheme="minorHAnsi"/>
        </w:rPr>
        <w:t>are as follows.  A</w:t>
      </w:r>
      <w:r w:rsidRPr="00673492">
        <w:t xml:space="preserve">ssumptions are </w:t>
      </w:r>
      <w:r>
        <w:t xml:space="preserve">the same for both </w:t>
      </w:r>
      <w:r w:rsidR="00DE5284">
        <w:t>OCC, OPFCC</w:t>
      </w:r>
      <w:r>
        <w:t xml:space="preserve"> </w:t>
      </w:r>
      <w:r w:rsidR="00DE5284">
        <w:t>and</w:t>
      </w:r>
      <w:r>
        <w:t xml:space="preserve"> Group:</w:t>
      </w:r>
    </w:p>
    <w:p w14:paraId="34C58101" w14:textId="5D3C5229" w:rsidR="00384B13" w:rsidRDefault="00384B13">
      <w:pPr>
        <w:spacing w:after="0" w:line="240" w:lineRule="auto"/>
        <w:jc w:val="left"/>
        <w:rPr>
          <w:noProof/>
        </w:rPr>
      </w:pPr>
      <w:r>
        <w:rPr>
          <w:noProof/>
        </w:rPr>
        <w:br w:type="page"/>
      </w:r>
    </w:p>
    <w:tbl>
      <w:tblPr>
        <w:tblW w:w="5000" w:type="pct"/>
        <w:tblLook w:val="04A0" w:firstRow="1" w:lastRow="0" w:firstColumn="1" w:lastColumn="0" w:noHBand="0" w:noVBand="1"/>
      </w:tblPr>
      <w:tblGrid>
        <w:gridCol w:w="4482"/>
        <w:gridCol w:w="918"/>
        <w:gridCol w:w="918"/>
        <w:gridCol w:w="918"/>
        <w:gridCol w:w="918"/>
        <w:gridCol w:w="918"/>
      </w:tblGrid>
      <w:tr w:rsidR="009809F9" w:rsidRPr="009809F9" w14:paraId="14701DAC" w14:textId="77777777" w:rsidTr="00384B13">
        <w:trPr>
          <w:trHeight w:val="240"/>
        </w:trPr>
        <w:tc>
          <w:tcPr>
            <w:tcW w:w="2470" w:type="pct"/>
            <w:tcBorders>
              <w:top w:val="nil"/>
              <w:left w:val="nil"/>
              <w:bottom w:val="nil"/>
              <w:right w:val="nil"/>
            </w:tcBorders>
            <w:shd w:val="clear" w:color="000000" w:fill="000099"/>
            <w:noWrap/>
            <w:vAlign w:val="center"/>
            <w:hideMark/>
          </w:tcPr>
          <w:p w14:paraId="569450EE" w14:textId="77777777" w:rsidR="009809F9" w:rsidRPr="009809F9" w:rsidRDefault="009809F9" w:rsidP="009809F9">
            <w:pPr>
              <w:spacing w:after="0" w:line="240" w:lineRule="auto"/>
              <w:rPr>
                <w:rFonts w:eastAsia="Times New Roman" w:cs="Calibri"/>
                <w:color w:val="FFFFFF"/>
                <w:sz w:val="18"/>
                <w:szCs w:val="18"/>
                <w:lang w:eastAsia="en-GB"/>
              </w:rPr>
            </w:pPr>
            <w:r w:rsidRPr="009809F9">
              <w:rPr>
                <w:rFonts w:eastAsia="Times New Roman" w:cs="Calibri"/>
                <w:color w:val="FFFFFF"/>
                <w:sz w:val="18"/>
                <w:szCs w:val="18"/>
                <w:lang w:eastAsia="en-GB"/>
              </w:rPr>
              <w:lastRenderedPageBreak/>
              <w:t> </w:t>
            </w:r>
          </w:p>
        </w:tc>
        <w:tc>
          <w:tcPr>
            <w:tcW w:w="506" w:type="pct"/>
            <w:tcBorders>
              <w:top w:val="nil"/>
              <w:left w:val="nil"/>
              <w:bottom w:val="nil"/>
              <w:right w:val="nil"/>
            </w:tcBorders>
            <w:shd w:val="clear" w:color="000000" w:fill="000099"/>
            <w:noWrap/>
            <w:vAlign w:val="center"/>
            <w:hideMark/>
          </w:tcPr>
          <w:p w14:paraId="12F19667" w14:textId="77777777" w:rsidR="009809F9" w:rsidRPr="009809F9" w:rsidRDefault="009809F9" w:rsidP="009809F9">
            <w:pPr>
              <w:spacing w:after="0" w:line="240" w:lineRule="auto"/>
              <w:jc w:val="right"/>
              <w:rPr>
                <w:rFonts w:eastAsia="Times New Roman" w:cs="Calibri"/>
                <w:color w:val="FFFFFF"/>
                <w:sz w:val="18"/>
                <w:szCs w:val="18"/>
                <w:lang w:eastAsia="en-GB"/>
              </w:rPr>
            </w:pPr>
            <w:r w:rsidRPr="009809F9">
              <w:rPr>
                <w:rFonts w:eastAsia="Times New Roman" w:cs="Calibri"/>
                <w:color w:val="FFFFFF"/>
                <w:sz w:val="18"/>
                <w:szCs w:val="18"/>
                <w:lang w:eastAsia="en-GB"/>
              </w:rPr>
              <w:t> </w:t>
            </w:r>
          </w:p>
        </w:tc>
        <w:tc>
          <w:tcPr>
            <w:tcW w:w="506" w:type="pct"/>
            <w:tcBorders>
              <w:top w:val="nil"/>
              <w:left w:val="nil"/>
              <w:bottom w:val="nil"/>
              <w:right w:val="nil"/>
            </w:tcBorders>
            <w:shd w:val="clear" w:color="000000" w:fill="000099"/>
            <w:noWrap/>
            <w:vAlign w:val="center"/>
            <w:hideMark/>
          </w:tcPr>
          <w:p w14:paraId="59239C06" w14:textId="77777777" w:rsidR="009809F9" w:rsidRPr="009809F9" w:rsidRDefault="009809F9" w:rsidP="009809F9">
            <w:pPr>
              <w:spacing w:after="0" w:line="240" w:lineRule="auto"/>
              <w:jc w:val="center"/>
              <w:rPr>
                <w:rFonts w:eastAsia="Times New Roman" w:cs="Calibri"/>
                <w:b/>
                <w:bCs/>
                <w:color w:val="FFFFFF"/>
                <w:sz w:val="18"/>
                <w:szCs w:val="18"/>
                <w:lang w:eastAsia="en-GB"/>
              </w:rPr>
            </w:pPr>
            <w:r w:rsidRPr="009809F9">
              <w:rPr>
                <w:rFonts w:eastAsia="Times New Roman" w:cs="Calibri"/>
                <w:b/>
                <w:bCs/>
                <w:color w:val="FFFFFF"/>
                <w:sz w:val="18"/>
                <w:szCs w:val="18"/>
                <w:lang w:eastAsia="en-GB"/>
              </w:rPr>
              <w:t>2024/25</w:t>
            </w:r>
          </w:p>
        </w:tc>
        <w:tc>
          <w:tcPr>
            <w:tcW w:w="506" w:type="pct"/>
            <w:tcBorders>
              <w:top w:val="nil"/>
              <w:left w:val="nil"/>
              <w:bottom w:val="nil"/>
              <w:right w:val="nil"/>
            </w:tcBorders>
            <w:shd w:val="clear" w:color="000000" w:fill="000099"/>
            <w:noWrap/>
            <w:vAlign w:val="center"/>
            <w:hideMark/>
          </w:tcPr>
          <w:p w14:paraId="46256B45" w14:textId="77777777" w:rsidR="009809F9" w:rsidRPr="009809F9" w:rsidRDefault="009809F9" w:rsidP="009809F9">
            <w:pPr>
              <w:spacing w:after="0" w:line="240" w:lineRule="auto"/>
              <w:jc w:val="center"/>
              <w:rPr>
                <w:rFonts w:eastAsia="Times New Roman" w:cs="Calibri"/>
                <w:b/>
                <w:bCs/>
                <w:color w:val="FFFFFF"/>
                <w:sz w:val="18"/>
                <w:szCs w:val="18"/>
                <w:lang w:eastAsia="en-GB"/>
              </w:rPr>
            </w:pPr>
            <w:r w:rsidRPr="009809F9">
              <w:rPr>
                <w:rFonts w:eastAsia="Times New Roman" w:cs="Calibri"/>
                <w:b/>
                <w:bCs/>
                <w:color w:val="FFFFFF"/>
                <w:sz w:val="18"/>
                <w:szCs w:val="18"/>
                <w:lang w:eastAsia="en-GB"/>
              </w:rPr>
              <w:t>2025/26</w:t>
            </w:r>
          </w:p>
        </w:tc>
        <w:tc>
          <w:tcPr>
            <w:tcW w:w="506" w:type="pct"/>
            <w:tcBorders>
              <w:top w:val="nil"/>
              <w:left w:val="nil"/>
              <w:bottom w:val="nil"/>
              <w:right w:val="nil"/>
            </w:tcBorders>
            <w:shd w:val="clear" w:color="000000" w:fill="000099"/>
            <w:noWrap/>
            <w:vAlign w:val="center"/>
            <w:hideMark/>
          </w:tcPr>
          <w:p w14:paraId="24910EC9" w14:textId="77777777" w:rsidR="009809F9" w:rsidRPr="009809F9" w:rsidRDefault="009809F9" w:rsidP="009809F9">
            <w:pPr>
              <w:spacing w:after="0" w:line="240" w:lineRule="auto"/>
              <w:jc w:val="center"/>
              <w:rPr>
                <w:rFonts w:eastAsia="Times New Roman" w:cs="Calibri"/>
                <w:b/>
                <w:bCs/>
                <w:color w:val="FFFFFF"/>
                <w:sz w:val="18"/>
                <w:szCs w:val="18"/>
                <w:lang w:eastAsia="en-GB"/>
              </w:rPr>
            </w:pPr>
            <w:r w:rsidRPr="009809F9">
              <w:rPr>
                <w:rFonts w:eastAsia="Times New Roman" w:cs="Calibri"/>
                <w:b/>
                <w:bCs/>
                <w:color w:val="FFFFFF"/>
                <w:sz w:val="18"/>
                <w:szCs w:val="18"/>
                <w:lang w:eastAsia="en-GB"/>
              </w:rPr>
              <w:t>2024/25</w:t>
            </w:r>
          </w:p>
        </w:tc>
        <w:tc>
          <w:tcPr>
            <w:tcW w:w="506" w:type="pct"/>
            <w:tcBorders>
              <w:top w:val="nil"/>
              <w:left w:val="nil"/>
              <w:bottom w:val="nil"/>
              <w:right w:val="nil"/>
            </w:tcBorders>
            <w:shd w:val="clear" w:color="000000" w:fill="000099"/>
            <w:noWrap/>
            <w:vAlign w:val="center"/>
            <w:hideMark/>
          </w:tcPr>
          <w:p w14:paraId="6BF0EAE4" w14:textId="77777777" w:rsidR="009809F9" w:rsidRPr="009809F9" w:rsidRDefault="009809F9" w:rsidP="009809F9">
            <w:pPr>
              <w:spacing w:after="0" w:line="240" w:lineRule="auto"/>
              <w:jc w:val="center"/>
              <w:rPr>
                <w:rFonts w:eastAsia="Times New Roman" w:cs="Calibri"/>
                <w:b/>
                <w:bCs/>
                <w:color w:val="FFFFFF"/>
                <w:sz w:val="18"/>
                <w:szCs w:val="18"/>
                <w:lang w:eastAsia="en-GB"/>
              </w:rPr>
            </w:pPr>
            <w:r w:rsidRPr="009809F9">
              <w:rPr>
                <w:rFonts w:eastAsia="Times New Roman" w:cs="Calibri"/>
                <w:b/>
                <w:bCs/>
                <w:color w:val="FFFFFF"/>
                <w:sz w:val="18"/>
                <w:szCs w:val="18"/>
                <w:lang w:eastAsia="en-GB"/>
              </w:rPr>
              <w:t>2025/26</w:t>
            </w:r>
          </w:p>
        </w:tc>
      </w:tr>
      <w:tr w:rsidR="009809F9" w:rsidRPr="009809F9" w14:paraId="6115A054" w14:textId="77777777" w:rsidTr="00384B13">
        <w:trPr>
          <w:trHeight w:val="240"/>
        </w:trPr>
        <w:tc>
          <w:tcPr>
            <w:tcW w:w="2470" w:type="pct"/>
            <w:tcBorders>
              <w:top w:val="nil"/>
              <w:left w:val="nil"/>
              <w:bottom w:val="nil"/>
              <w:right w:val="nil"/>
            </w:tcBorders>
            <w:shd w:val="clear" w:color="000000" w:fill="000099"/>
            <w:noWrap/>
            <w:vAlign w:val="center"/>
            <w:hideMark/>
          </w:tcPr>
          <w:p w14:paraId="2C2F183E" w14:textId="77777777" w:rsidR="009809F9" w:rsidRPr="009809F9" w:rsidRDefault="009809F9" w:rsidP="009809F9">
            <w:pPr>
              <w:spacing w:after="0" w:line="240" w:lineRule="auto"/>
              <w:jc w:val="left"/>
              <w:rPr>
                <w:rFonts w:eastAsia="Times New Roman" w:cs="Calibri"/>
                <w:color w:val="FFFFFF"/>
                <w:sz w:val="18"/>
                <w:szCs w:val="18"/>
                <w:lang w:eastAsia="en-GB"/>
              </w:rPr>
            </w:pPr>
            <w:r w:rsidRPr="009809F9">
              <w:rPr>
                <w:rFonts w:eastAsia="Times New Roman" w:cs="Calibri"/>
                <w:color w:val="FFFFFF"/>
                <w:sz w:val="18"/>
                <w:szCs w:val="18"/>
                <w:lang w:eastAsia="en-GB"/>
              </w:rPr>
              <w:t> </w:t>
            </w:r>
          </w:p>
        </w:tc>
        <w:tc>
          <w:tcPr>
            <w:tcW w:w="506" w:type="pct"/>
            <w:tcBorders>
              <w:top w:val="nil"/>
              <w:left w:val="nil"/>
              <w:bottom w:val="nil"/>
              <w:right w:val="nil"/>
            </w:tcBorders>
            <w:shd w:val="clear" w:color="000000" w:fill="000099"/>
            <w:noWrap/>
            <w:vAlign w:val="center"/>
            <w:hideMark/>
          </w:tcPr>
          <w:p w14:paraId="25C1C450" w14:textId="77777777" w:rsidR="009809F9" w:rsidRPr="009809F9" w:rsidRDefault="009809F9" w:rsidP="009809F9">
            <w:pPr>
              <w:spacing w:after="0" w:line="240" w:lineRule="auto"/>
              <w:jc w:val="right"/>
              <w:rPr>
                <w:rFonts w:eastAsia="Times New Roman" w:cs="Calibri"/>
                <w:color w:val="FFFFFF"/>
                <w:sz w:val="18"/>
                <w:szCs w:val="18"/>
                <w:lang w:eastAsia="en-GB"/>
              </w:rPr>
            </w:pPr>
            <w:r w:rsidRPr="009809F9">
              <w:rPr>
                <w:rFonts w:eastAsia="Times New Roman" w:cs="Calibri"/>
                <w:color w:val="FFFFFF"/>
                <w:sz w:val="18"/>
                <w:szCs w:val="18"/>
                <w:lang w:eastAsia="en-GB"/>
              </w:rPr>
              <w:t> </w:t>
            </w:r>
          </w:p>
        </w:tc>
        <w:tc>
          <w:tcPr>
            <w:tcW w:w="1012" w:type="pct"/>
            <w:gridSpan w:val="2"/>
            <w:vMerge w:val="restart"/>
            <w:tcBorders>
              <w:top w:val="nil"/>
              <w:left w:val="nil"/>
              <w:bottom w:val="nil"/>
              <w:right w:val="nil"/>
            </w:tcBorders>
            <w:shd w:val="clear" w:color="000000" w:fill="000099"/>
            <w:vAlign w:val="center"/>
            <w:hideMark/>
          </w:tcPr>
          <w:p w14:paraId="1594F6F9" w14:textId="77777777" w:rsidR="009809F9" w:rsidRPr="009809F9" w:rsidRDefault="009809F9" w:rsidP="009809F9">
            <w:pPr>
              <w:spacing w:after="0" w:line="240" w:lineRule="auto"/>
              <w:jc w:val="center"/>
              <w:rPr>
                <w:rFonts w:eastAsia="Times New Roman" w:cs="Calibri"/>
                <w:b/>
                <w:bCs/>
                <w:color w:val="FFFFFF"/>
                <w:sz w:val="18"/>
                <w:szCs w:val="18"/>
                <w:lang w:eastAsia="en-GB"/>
              </w:rPr>
            </w:pPr>
            <w:r w:rsidRPr="009809F9">
              <w:rPr>
                <w:rFonts w:eastAsia="Times New Roman" w:cs="Calibri"/>
                <w:b/>
                <w:bCs/>
                <w:color w:val="FFFFFF"/>
                <w:sz w:val="18"/>
                <w:szCs w:val="18"/>
                <w:lang w:eastAsia="en-GB"/>
              </w:rPr>
              <w:t>Local Government</w:t>
            </w:r>
            <w:r w:rsidRPr="009809F9">
              <w:rPr>
                <w:rFonts w:eastAsia="Times New Roman" w:cs="Calibri"/>
                <w:b/>
                <w:bCs/>
                <w:color w:val="FFFFFF"/>
                <w:sz w:val="18"/>
                <w:szCs w:val="18"/>
                <w:lang w:eastAsia="en-GB"/>
              </w:rPr>
              <w:br/>
              <w:t>Pension Scheme</w:t>
            </w:r>
          </w:p>
        </w:tc>
        <w:tc>
          <w:tcPr>
            <w:tcW w:w="1012" w:type="pct"/>
            <w:gridSpan w:val="2"/>
            <w:vMerge w:val="restart"/>
            <w:tcBorders>
              <w:top w:val="nil"/>
              <w:left w:val="nil"/>
              <w:bottom w:val="nil"/>
              <w:right w:val="nil"/>
            </w:tcBorders>
            <w:shd w:val="clear" w:color="000000" w:fill="000099"/>
            <w:vAlign w:val="center"/>
            <w:hideMark/>
          </w:tcPr>
          <w:p w14:paraId="0ED373FE" w14:textId="77777777" w:rsidR="009809F9" w:rsidRPr="009809F9" w:rsidRDefault="009809F9" w:rsidP="009809F9">
            <w:pPr>
              <w:spacing w:after="0" w:line="240" w:lineRule="auto"/>
              <w:jc w:val="center"/>
              <w:rPr>
                <w:rFonts w:eastAsia="Times New Roman" w:cs="Calibri"/>
                <w:b/>
                <w:bCs/>
                <w:color w:val="FFFFFF"/>
                <w:sz w:val="18"/>
                <w:szCs w:val="18"/>
                <w:lang w:eastAsia="en-GB"/>
              </w:rPr>
            </w:pPr>
            <w:r w:rsidRPr="009809F9">
              <w:rPr>
                <w:rFonts w:eastAsia="Times New Roman" w:cs="Calibri"/>
                <w:b/>
                <w:bCs/>
                <w:color w:val="FFFFFF"/>
                <w:sz w:val="18"/>
                <w:szCs w:val="18"/>
                <w:lang w:eastAsia="en-GB"/>
              </w:rPr>
              <w:t>Police</w:t>
            </w:r>
            <w:r w:rsidRPr="009809F9">
              <w:rPr>
                <w:rFonts w:eastAsia="Times New Roman" w:cs="Calibri"/>
                <w:b/>
                <w:bCs/>
                <w:color w:val="FFFFFF"/>
                <w:sz w:val="18"/>
                <w:szCs w:val="18"/>
                <w:lang w:eastAsia="en-GB"/>
              </w:rPr>
              <w:br/>
              <w:t>Pension Scheme</w:t>
            </w:r>
          </w:p>
        </w:tc>
      </w:tr>
      <w:tr w:rsidR="009809F9" w:rsidRPr="009809F9" w14:paraId="11BDADD0" w14:textId="77777777" w:rsidTr="00384B13">
        <w:trPr>
          <w:trHeight w:val="240"/>
        </w:trPr>
        <w:tc>
          <w:tcPr>
            <w:tcW w:w="2470" w:type="pct"/>
            <w:tcBorders>
              <w:top w:val="nil"/>
              <w:left w:val="nil"/>
              <w:bottom w:val="nil"/>
              <w:right w:val="nil"/>
            </w:tcBorders>
            <w:shd w:val="clear" w:color="000000" w:fill="000099"/>
            <w:noWrap/>
            <w:vAlign w:val="center"/>
            <w:hideMark/>
          </w:tcPr>
          <w:p w14:paraId="15B4942E" w14:textId="77777777" w:rsidR="009809F9" w:rsidRPr="009809F9" w:rsidRDefault="009809F9" w:rsidP="009809F9">
            <w:pPr>
              <w:spacing w:after="0" w:line="240" w:lineRule="auto"/>
              <w:jc w:val="left"/>
              <w:rPr>
                <w:rFonts w:eastAsia="Times New Roman" w:cs="Calibri"/>
                <w:color w:val="FFFFFF"/>
                <w:sz w:val="18"/>
                <w:szCs w:val="18"/>
                <w:lang w:eastAsia="en-GB"/>
              </w:rPr>
            </w:pPr>
            <w:r w:rsidRPr="009809F9">
              <w:rPr>
                <w:rFonts w:eastAsia="Times New Roman" w:cs="Calibri"/>
                <w:color w:val="FFFFFF"/>
                <w:sz w:val="18"/>
                <w:szCs w:val="18"/>
                <w:lang w:eastAsia="en-GB"/>
              </w:rPr>
              <w:t> </w:t>
            </w:r>
          </w:p>
        </w:tc>
        <w:tc>
          <w:tcPr>
            <w:tcW w:w="506" w:type="pct"/>
            <w:tcBorders>
              <w:top w:val="nil"/>
              <w:left w:val="nil"/>
              <w:bottom w:val="nil"/>
              <w:right w:val="nil"/>
            </w:tcBorders>
            <w:shd w:val="clear" w:color="000000" w:fill="000099"/>
            <w:noWrap/>
            <w:vAlign w:val="center"/>
            <w:hideMark/>
          </w:tcPr>
          <w:p w14:paraId="4BA55E22" w14:textId="77777777" w:rsidR="009809F9" w:rsidRPr="009809F9" w:rsidRDefault="009809F9" w:rsidP="009809F9">
            <w:pPr>
              <w:spacing w:after="0" w:line="240" w:lineRule="auto"/>
              <w:jc w:val="right"/>
              <w:rPr>
                <w:rFonts w:eastAsia="Times New Roman" w:cs="Calibri"/>
                <w:color w:val="FFFFFF"/>
                <w:sz w:val="18"/>
                <w:szCs w:val="18"/>
                <w:lang w:eastAsia="en-GB"/>
              </w:rPr>
            </w:pPr>
            <w:r w:rsidRPr="009809F9">
              <w:rPr>
                <w:rFonts w:eastAsia="Times New Roman" w:cs="Calibri"/>
                <w:color w:val="FFFFFF"/>
                <w:sz w:val="18"/>
                <w:szCs w:val="18"/>
                <w:lang w:eastAsia="en-GB"/>
              </w:rPr>
              <w:t> </w:t>
            </w:r>
          </w:p>
        </w:tc>
        <w:tc>
          <w:tcPr>
            <w:tcW w:w="1012" w:type="pct"/>
            <w:gridSpan w:val="2"/>
            <w:vMerge/>
            <w:tcBorders>
              <w:top w:val="nil"/>
              <w:left w:val="nil"/>
              <w:bottom w:val="nil"/>
              <w:right w:val="nil"/>
            </w:tcBorders>
            <w:vAlign w:val="center"/>
            <w:hideMark/>
          </w:tcPr>
          <w:p w14:paraId="22192BC0" w14:textId="77777777" w:rsidR="009809F9" w:rsidRPr="009809F9" w:rsidRDefault="009809F9" w:rsidP="009809F9">
            <w:pPr>
              <w:spacing w:after="0" w:line="240" w:lineRule="auto"/>
              <w:jc w:val="left"/>
              <w:rPr>
                <w:rFonts w:eastAsia="Times New Roman" w:cs="Calibri"/>
                <w:b/>
                <w:bCs/>
                <w:color w:val="FFFFFF"/>
                <w:sz w:val="18"/>
                <w:szCs w:val="18"/>
                <w:lang w:eastAsia="en-GB"/>
              </w:rPr>
            </w:pPr>
          </w:p>
        </w:tc>
        <w:tc>
          <w:tcPr>
            <w:tcW w:w="1012" w:type="pct"/>
            <w:gridSpan w:val="2"/>
            <w:vMerge/>
            <w:tcBorders>
              <w:top w:val="nil"/>
              <w:left w:val="nil"/>
              <w:bottom w:val="nil"/>
              <w:right w:val="nil"/>
            </w:tcBorders>
            <w:vAlign w:val="center"/>
            <w:hideMark/>
          </w:tcPr>
          <w:p w14:paraId="3AB01FB8" w14:textId="77777777" w:rsidR="009809F9" w:rsidRPr="009809F9" w:rsidRDefault="009809F9" w:rsidP="009809F9">
            <w:pPr>
              <w:spacing w:after="0" w:line="240" w:lineRule="auto"/>
              <w:jc w:val="left"/>
              <w:rPr>
                <w:rFonts w:eastAsia="Times New Roman" w:cs="Calibri"/>
                <w:b/>
                <w:bCs/>
                <w:color w:val="FFFFFF"/>
                <w:sz w:val="18"/>
                <w:szCs w:val="18"/>
                <w:lang w:eastAsia="en-GB"/>
              </w:rPr>
            </w:pPr>
          </w:p>
        </w:tc>
      </w:tr>
      <w:tr w:rsidR="009809F9" w:rsidRPr="009809F9" w14:paraId="3AFB9C8D" w14:textId="77777777" w:rsidTr="00384B13">
        <w:trPr>
          <w:trHeight w:val="315"/>
        </w:trPr>
        <w:tc>
          <w:tcPr>
            <w:tcW w:w="2976" w:type="pct"/>
            <w:gridSpan w:val="2"/>
            <w:tcBorders>
              <w:top w:val="nil"/>
              <w:left w:val="nil"/>
              <w:bottom w:val="nil"/>
              <w:right w:val="nil"/>
            </w:tcBorders>
            <w:shd w:val="clear" w:color="000000" w:fill="FFFFFF"/>
            <w:noWrap/>
            <w:vAlign w:val="bottom"/>
            <w:hideMark/>
          </w:tcPr>
          <w:p w14:paraId="34C1C17B" w14:textId="77777777" w:rsidR="009809F9" w:rsidRPr="009809F9" w:rsidRDefault="009809F9" w:rsidP="009809F9">
            <w:pPr>
              <w:spacing w:after="0" w:line="240" w:lineRule="auto"/>
              <w:rPr>
                <w:rFonts w:eastAsia="Times New Roman" w:cs="Calibri"/>
                <w:b/>
                <w:bCs/>
                <w:i/>
                <w:iCs/>
                <w:color w:val="000000"/>
                <w:sz w:val="18"/>
                <w:szCs w:val="18"/>
                <w:lang w:eastAsia="en-GB"/>
              </w:rPr>
            </w:pPr>
            <w:r w:rsidRPr="009809F9">
              <w:rPr>
                <w:rFonts w:eastAsia="Times New Roman" w:cs="Calibri"/>
                <w:b/>
                <w:bCs/>
                <w:i/>
                <w:iCs/>
                <w:color w:val="000000"/>
                <w:sz w:val="18"/>
                <w:szCs w:val="18"/>
                <w:lang w:eastAsia="en-GB"/>
              </w:rPr>
              <w:t>Mortality Assumptions</w:t>
            </w:r>
          </w:p>
        </w:tc>
        <w:tc>
          <w:tcPr>
            <w:tcW w:w="506" w:type="pct"/>
            <w:tcBorders>
              <w:top w:val="nil"/>
              <w:left w:val="single" w:sz="4" w:space="0" w:color="auto"/>
              <w:bottom w:val="nil"/>
              <w:right w:val="nil"/>
            </w:tcBorders>
            <w:shd w:val="clear" w:color="000000" w:fill="FFFFFF"/>
            <w:noWrap/>
            <w:vAlign w:val="bottom"/>
            <w:hideMark/>
          </w:tcPr>
          <w:p w14:paraId="08285903" w14:textId="77777777" w:rsidR="009809F9" w:rsidRPr="009809F9" w:rsidRDefault="009809F9" w:rsidP="009809F9">
            <w:pPr>
              <w:spacing w:after="0" w:line="240" w:lineRule="auto"/>
              <w:jc w:val="center"/>
              <w:rPr>
                <w:rFonts w:eastAsia="Times New Roman" w:cs="Calibri"/>
                <w:b/>
                <w:bCs/>
                <w:color w:val="000000"/>
                <w:sz w:val="18"/>
                <w:szCs w:val="18"/>
                <w:lang w:eastAsia="en-GB"/>
              </w:rPr>
            </w:pPr>
            <w:r w:rsidRPr="009809F9">
              <w:rPr>
                <w:rFonts w:eastAsia="Times New Roman" w:cs="Calibri"/>
                <w:b/>
                <w:bCs/>
                <w:color w:val="000000"/>
                <w:sz w:val="18"/>
                <w:szCs w:val="18"/>
                <w:lang w:eastAsia="en-GB"/>
              </w:rPr>
              <w:t>Years</w:t>
            </w:r>
          </w:p>
        </w:tc>
        <w:tc>
          <w:tcPr>
            <w:tcW w:w="506" w:type="pct"/>
            <w:tcBorders>
              <w:top w:val="nil"/>
              <w:left w:val="nil"/>
              <w:bottom w:val="nil"/>
              <w:right w:val="nil"/>
            </w:tcBorders>
            <w:shd w:val="clear" w:color="000000" w:fill="CCECFF"/>
            <w:vAlign w:val="bottom"/>
            <w:hideMark/>
          </w:tcPr>
          <w:p w14:paraId="0EEB8CF4" w14:textId="77777777" w:rsidR="009809F9" w:rsidRPr="009809F9" w:rsidRDefault="009809F9" w:rsidP="009809F9">
            <w:pPr>
              <w:spacing w:after="0" w:line="240" w:lineRule="auto"/>
              <w:jc w:val="center"/>
              <w:rPr>
                <w:rFonts w:eastAsia="Times New Roman" w:cs="Calibri"/>
                <w:b/>
                <w:bCs/>
                <w:color w:val="auto"/>
                <w:sz w:val="18"/>
                <w:szCs w:val="18"/>
                <w:lang w:eastAsia="en-GB"/>
              </w:rPr>
            </w:pPr>
            <w:r w:rsidRPr="009809F9">
              <w:rPr>
                <w:rFonts w:eastAsia="Times New Roman" w:cs="Calibri"/>
                <w:b/>
                <w:bCs/>
                <w:color w:val="auto"/>
                <w:sz w:val="18"/>
                <w:szCs w:val="18"/>
                <w:lang w:eastAsia="en-GB"/>
              </w:rPr>
              <w:t xml:space="preserve"> Years </w:t>
            </w:r>
          </w:p>
        </w:tc>
        <w:tc>
          <w:tcPr>
            <w:tcW w:w="506" w:type="pct"/>
            <w:tcBorders>
              <w:top w:val="nil"/>
              <w:left w:val="single" w:sz="4" w:space="0" w:color="auto"/>
              <w:bottom w:val="nil"/>
              <w:right w:val="nil"/>
            </w:tcBorders>
            <w:shd w:val="clear" w:color="000000" w:fill="FFFFFF"/>
            <w:noWrap/>
            <w:vAlign w:val="bottom"/>
            <w:hideMark/>
          </w:tcPr>
          <w:p w14:paraId="7D8B1D57" w14:textId="77777777" w:rsidR="009809F9" w:rsidRPr="009809F9" w:rsidRDefault="009809F9" w:rsidP="009809F9">
            <w:pPr>
              <w:spacing w:after="0" w:line="240" w:lineRule="auto"/>
              <w:jc w:val="center"/>
              <w:rPr>
                <w:rFonts w:eastAsia="Times New Roman" w:cs="Calibri"/>
                <w:b/>
                <w:bCs/>
                <w:color w:val="000000"/>
                <w:sz w:val="18"/>
                <w:szCs w:val="18"/>
                <w:lang w:eastAsia="en-GB"/>
              </w:rPr>
            </w:pPr>
            <w:r w:rsidRPr="009809F9">
              <w:rPr>
                <w:rFonts w:eastAsia="Times New Roman" w:cs="Calibri"/>
                <w:b/>
                <w:bCs/>
                <w:color w:val="000000"/>
                <w:sz w:val="18"/>
                <w:szCs w:val="18"/>
                <w:lang w:eastAsia="en-GB"/>
              </w:rPr>
              <w:t>Years</w:t>
            </w:r>
          </w:p>
        </w:tc>
        <w:tc>
          <w:tcPr>
            <w:tcW w:w="506" w:type="pct"/>
            <w:tcBorders>
              <w:top w:val="nil"/>
              <w:left w:val="nil"/>
              <w:bottom w:val="nil"/>
              <w:right w:val="nil"/>
            </w:tcBorders>
            <w:shd w:val="clear" w:color="000000" w:fill="CCECFF"/>
            <w:vAlign w:val="bottom"/>
            <w:hideMark/>
          </w:tcPr>
          <w:p w14:paraId="5CF1955B" w14:textId="77777777" w:rsidR="009809F9" w:rsidRPr="009809F9" w:rsidRDefault="009809F9" w:rsidP="009809F9">
            <w:pPr>
              <w:spacing w:after="0" w:line="240" w:lineRule="auto"/>
              <w:jc w:val="center"/>
              <w:rPr>
                <w:rFonts w:eastAsia="Times New Roman" w:cs="Calibri"/>
                <w:b/>
                <w:bCs/>
                <w:color w:val="auto"/>
                <w:sz w:val="18"/>
                <w:szCs w:val="18"/>
                <w:lang w:eastAsia="en-GB"/>
              </w:rPr>
            </w:pPr>
            <w:r w:rsidRPr="009809F9">
              <w:rPr>
                <w:rFonts w:eastAsia="Times New Roman" w:cs="Calibri"/>
                <w:b/>
                <w:bCs/>
                <w:color w:val="auto"/>
                <w:sz w:val="18"/>
                <w:szCs w:val="18"/>
                <w:lang w:eastAsia="en-GB"/>
              </w:rPr>
              <w:t xml:space="preserve"> Years </w:t>
            </w:r>
          </w:p>
        </w:tc>
      </w:tr>
      <w:tr w:rsidR="009809F9" w:rsidRPr="009809F9" w14:paraId="6445A4B5" w14:textId="77777777" w:rsidTr="00384B13">
        <w:trPr>
          <w:trHeight w:val="240"/>
        </w:trPr>
        <w:tc>
          <w:tcPr>
            <w:tcW w:w="2976" w:type="pct"/>
            <w:gridSpan w:val="2"/>
            <w:tcBorders>
              <w:top w:val="nil"/>
              <w:left w:val="nil"/>
              <w:bottom w:val="nil"/>
              <w:right w:val="nil"/>
            </w:tcBorders>
            <w:shd w:val="clear" w:color="000000" w:fill="FFFFFF"/>
            <w:noWrap/>
            <w:vAlign w:val="center"/>
            <w:hideMark/>
          </w:tcPr>
          <w:p w14:paraId="61B1948D"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Longevity at 65 for current pensioners</w:t>
            </w:r>
          </w:p>
        </w:tc>
        <w:tc>
          <w:tcPr>
            <w:tcW w:w="506" w:type="pct"/>
            <w:tcBorders>
              <w:top w:val="nil"/>
              <w:left w:val="single" w:sz="4" w:space="0" w:color="auto"/>
              <w:bottom w:val="nil"/>
              <w:right w:val="nil"/>
            </w:tcBorders>
            <w:shd w:val="clear" w:color="000000" w:fill="FFFFFF"/>
            <w:noWrap/>
            <w:vAlign w:val="center"/>
            <w:hideMark/>
          </w:tcPr>
          <w:p w14:paraId="749CE26D"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41A75D71"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4CB89CFB"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616B165C"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r>
      <w:tr w:rsidR="009809F9" w:rsidRPr="009809F9" w14:paraId="69BB2770" w14:textId="77777777" w:rsidTr="00384B13">
        <w:trPr>
          <w:trHeight w:val="240"/>
        </w:trPr>
        <w:tc>
          <w:tcPr>
            <w:tcW w:w="2470" w:type="pct"/>
            <w:tcBorders>
              <w:top w:val="nil"/>
              <w:left w:val="nil"/>
              <w:bottom w:val="nil"/>
              <w:right w:val="nil"/>
            </w:tcBorders>
            <w:shd w:val="clear" w:color="000000" w:fill="FFFFFF"/>
            <w:noWrap/>
            <w:vAlign w:val="center"/>
            <w:hideMark/>
          </w:tcPr>
          <w:p w14:paraId="5ECC9310"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FFFFFF"/>
            <w:noWrap/>
            <w:vAlign w:val="center"/>
            <w:hideMark/>
          </w:tcPr>
          <w:p w14:paraId="6932A873" w14:textId="77777777" w:rsidR="009809F9" w:rsidRPr="009809F9" w:rsidRDefault="009809F9" w:rsidP="009809F9">
            <w:pPr>
              <w:spacing w:after="0" w:line="240" w:lineRule="auto"/>
              <w:jc w:val="right"/>
              <w:rPr>
                <w:rFonts w:eastAsia="Times New Roman" w:cs="Calibri"/>
                <w:color w:val="000000"/>
                <w:sz w:val="18"/>
                <w:szCs w:val="18"/>
                <w:lang w:eastAsia="en-GB"/>
              </w:rPr>
            </w:pPr>
            <w:r w:rsidRPr="009809F9">
              <w:rPr>
                <w:rFonts w:eastAsia="Times New Roman" w:cs="Calibri"/>
                <w:color w:val="000000"/>
                <w:sz w:val="18"/>
                <w:szCs w:val="18"/>
                <w:lang w:eastAsia="en-GB"/>
              </w:rPr>
              <w:t>Men</w:t>
            </w:r>
          </w:p>
        </w:tc>
        <w:tc>
          <w:tcPr>
            <w:tcW w:w="506" w:type="pct"/>
            <w:tcBorders>
              <w:top w:val="nil"/>
              <w:left w:val="single" w:sz="4" w:space="0" w:color="auto"/>
              <w:bottom w:val="nil"/>
              <w:right w:val="nil"/>
            </w:tcBorders>
            <w:shd w:val="clear" w:color="000000" w:fill="FFFFFF"/>
            <w:noWrap/>
            <w:vAlign w:val="center"/>
            <w:hideMark/>
          </w:tcPr>
          <w:p w14:paraId="5775233C"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20.80</w:t>
            </w:r>
          </w:p>
        </w:tc>
        <w:tc>
          <w:tcPr>
            <w:tcW w:w="506" w:type="pct"/>
            <w:tcBorders>
              <w:top w:val="nil"/>
              <w:left w:val="nil"/>
              <w:bottom w:val="nil"/>
              <w:right w:val="nil"/>
            </w:tcBorders>
            <w:shd w:val="clear" w:color="000000" w:fill="CCECFF"/>
            <w:vAlign w:val="center"/>
            <w:hideMark/>
          </w:tcPr>
          <w:p w14:paraId="43D59E5F"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21.60</w:t>
            </w:r>
          </w:p>
        </w:tc>
        <w:tc>
          <w:tcPr>
            <w:tcW w:w="506" w:type="pct"/>
            <w:tcBorders>
              <w:top w:val="nil"/>
              <w:left w:val="single" w:sz="4" w:space="0" w:color="auto"/>
              <w:bottom w:val="nil"/>
              <w:right w:val="nil"/>
            </w:tcBorders>
            <w:shd w:val="clear" w:color="000000" w:fill="FFFFFF"/>
            <w:noWrap/>
            <w:vAlign w:val="center"/>
            <w:hideMark/>
          </w:tcPr>
          <w:p w14:paraId="752979BA"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21.90</w:t>
            </w:r>
          </w:p>
        </w:tc>
        <w:tc>
          <w:tcPr>
            <w:tcW w:w="506" w:type="pct"/>
            <w:tcBorders>
              <w:top w:val="nil"/>
              <w:left w:val="nil"/>
              <w:bottom w:val="nil"/>
              <w:right w:val="nil"/>
            </w:tcBorders>
            <w:shd w:val="clear" w:color="000000" w:fill="CCECFF"/>
            <w:vAlign w:val="center"/>
            <w:hideMark/>
          </w:tcPr>
          <w:p w14:paraId="532FBEE5"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22.00</w:t>
            </w:r>
          </w:p>
        </w:tc>
      </w:tr>
      <w:tr w:rsidR="009809F9" w:rsidRPr="009809F9" w14:paraId="0E9634E8" w14:textId="77777777" w:rsidTr="00384B13">
        <w:trPr>
          <w:trHeight w:val="300"/>
        </w:trPr>
        <w:tc>
          <w:tcPr>
            <w:tcW w:w="2470" w:type="pct"/>
            <w:tcBorders>
              <w:top w:val="nil"/>
              <w:left w:val="nil"/>
              <w:bottom w:val="nil"/>
              <w:right w:val="nil"/>
            </w:tcBorders>
            <w:shd w:val="clear" w:color="000000" w:fill="FFFFFF"/>
            <w:noWrap/>
            <w:vAlign w:val="center"/>
            <w:hideMark/>
          </w:tcPr>
          <w:p w14:paraId="4BE4E222"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FFFFFF"/>
            <w:noWrap/>
            <w:vAlign w:val="center"/>
            <w:hideMark/>
          </w:tcPr>
          <w:p w14:paraId="26C40227" w14:textId="77777777" w:rsidR="009809F9" w:rsidRPr="009809F9" w:rsidRDefault="009809F9" w:rsidP="009809F9">
            <w:pPr>
              <w:spacing w:after="0" w:line="240" w:lineRule="auto"/>
              <w:jc w:val="right"/>
              <w:rPr>
                <w:rFonts w:eastAsia="Times New Roman" w:cs="Calibri"/>
                <w:color w:val="000000"/>
                <w:sz w:val="18"/>
                <w:szCs w:val="18"/>
                <w:lang w:eastAsia="en-GB"/>
              </w:rPr>
            </w:pPr>
            <w:r w:rsidRPr="009809F9">
              <w:rPr>
                <w:rFonts w:eastAsia="Times New Roman" w:cs="Calibri"/>
                <w:color w:val="000000"/>
                <w:sz w:val="18"/>
                <w:szCs w:val="18"/>
                <w:lang w:eastAsia="en-GB"/>
              </w:rPr>
              <w:t>Women</w:t>
            </w:r>
          </w:p>
        </w:tc>
        <w:tc>
          <w:tcPr>
            <w:tcW w:w="506" w:type="pct"/>
            <w:tcBorders>
              <w:top w:val="nil"/>
              <w:left w:val="single" w:sz="4" w:space="0" w:color="auto"/>
              <w:bottom w:val="nil"/>
              <w:right w:val="nil"/>
            </w:tcBorders>
            <w:shd w:val="clear" w:color="000000" w:fill="FFFFFF"/>
            <w:noWrap/>
            <w:vAlign w:val="center"/>
            <w:hideMark/>
          </w:tcPr>
          <w:p w14:paraId="489356CD"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23.70</w:t>
            </w:r>
          </w:p>
        </w:tc>
        <w:tc>
          <w:tcPr>
            <w:tcW w:w="506" w:type="pct"/>
            <w:tcBorders>
              <w:top w:val="nil"/>
              <w:left w:val="nil"/>
              <w:bottom w:val="nil"/>
              <w:right w:val="nil"/>
            </w:tcBorders>
            <w:shd w:val="clear" w:color="000000" w:fill="CCECFF"/>
            <w:vAlign w:val="center"/>
            <w:hideMark/>
          </w:tcPr>
          <w:p w14:paraId="5775DEFF"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24.40</w:t>
            </w:r>
          </w:p>
        </w:tc>
        <w:tc>
          <w:tcPr>
            <w:tcW w:w="506" w:type="pct"/>
            <w:tcBorders>
              <w:top w:val="nil"/>
              <w:left w:val="single" w:sz="4" w:space="0" w:color="auto"/>
              <w:bottom w:val="nil"/>
              <w:right w:val="nil"/>
            </w:tcBorders>
            <w:shd w:val="clear" w:color="000000" w:fill="FFFFFF"/>
            <w:noWrap/>
            <w:vAlign w:val="center"/>
            <w:hideMark/>
          </w:tcPr>
          <w:p w14:paraId="5FF8C563"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23.90</w:t>
            </w:r>
          </w:p>
        </w:tc>
        <w:tc>
          <w:tcPr>
            <w:tcW w:w="506" w:type="pct"/>
            <w:tcBorders>
              <w:top w:val="nil"/>
              <w:left w:val="nil"/>
              <w:bottom w:val="nil"/>
              <w:right w:val="nil"/>
            </w:tcBorders>
            <w:shd w:val="clear" w:color="000000" w:fill="CCECFF"/>
            <w:vAlign w:val="center"/>
            <w:hideMark/>
          </w:tcPr>
          <w:p w14:paraId="65B93E41"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24.00</w:t>
            </w:r>
          </w:p>
        </w:tc>
      </w:tr>
      <w:tr w:rsidR="009809F9" w:rsidRPr="009809F9" w14:paraId="7381D0DA" w14:textId="77777777" w:rsidTr="00384B13">
        <w:trPr>
          <w:trHeight w:val="240"/>
        </w:trPr>
        <w:tc>
          <w:tcPr>
            <w:tcW w:w="2470" w:type="pct"/>
            <w:tcBorders>
              <w:top w:val="nil"/>
              <w:left w:val="nil"/>
              <w:bottom w:val="nil"/>
              <w:right w:val="nil"/>
            </w:tcBorders>
            <w:shd w:val="clear" w:color="000000" w:fill="FFFFFF"/>
            <w:noWrap/>
            <w:vAlign w:val="center"/>
            <w:hideMark/>
          </w:tcPr>
          <w:p w14:paraId="33787456"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Longevity at 65 for future pensioners</w:t>
            </w:r>
          </w:p>
        </w:tc>
        <w:tc>
          <w:tcPr>
            <w:tcW w:w="506" w:type="pct"/>
            <w:tcBorders>
              <w:top w:val="nil"/>
              <w:left w:val="nil"/>
              <w:bottom w:val="nil"/>
              <w:right w:val="nil"/>
            </w:tcBorders>
            <w:shd w:val="clear" w:color="000000" w:fill="FFFFFF"/>
            <w:noWrap/>
            <w:vAlign w:val="center"/>
            <w:hideMark/>
          </w:tcPr>
          <w:p w14:paraId="2F13C8BB" w14:textId="77777777" w:rsidR="009809F9" w:rsidRPr="009809F9" w:rsidRDefault="009809F9" w:rsidP="009809F9">
            <w:pPr>
              <w:spacing w:after="0" w:line="240" w:lineRule="auto"/>
              <w:jc w:val="right"/>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25087E55"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51E358E5"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19D6371D"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4A0D18EB"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r>
      <w:tr w:rsidR="009809F9" w:rsidRPr="009809F9" w14:paraId="1084DF7A" w14:textId="77777777" w:rsidTr="00384B13">
        <w:trPr>
          <w:trHeight w:val="240"/>
        </w:trPr>
        <w:tc>
          <w:tcPr>
            <w:tcW w:w="2470" w:type="pct"/>
            <w:tcBorders>
              <w:top w:val="nil"/>
              <w:left w:val="nil"/>
              <w:bottom w:val="nil"/>
              <w:right w:val="nil"/>
            </w:tcBorders>
            <w:shd w:val="clear" w:color="000000" w:fill="FFFFFF"/>
            <w:noWrap/>
            <w:vAlign w:val="center"/>
            <w:hideMark/>
          </w:tcPr>
          <w:p w14:paraId="56362119"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FFFFFF"/>
            <w:noWrap/>
            <w:vAlign w:val="center"/>
            <w:hideMark/>
          </w:tcPr>
          <w:p w14:paraId="75A0971E" w14:textId="77777777" w:rsidR="009809F9" w:rsidRPr="009809F9" w:rsidRDefault="009809F9" w:rsidP="009809F9">
            <w:pPr>
              <w:spacing w:after="0" w:line="240" w:lineRule="auto"/>
              <w:jc w:val="right"/>
              <w:rPr>
                <w:rFonts w:eastAsia="Times New Roman" w:cs="Calibri"/>
                <w:color w:val="000000"/>
                <w:sz w:val="18"/>
                <w:szCs w:val="18"/>
                <w:lang w:eastAsia="en-GB"/>
              </w:rPr>
            </w:pPr>
            <w:r w:rsidRPr="009809F9">
              <w:rPr>
                <w:rFonts w:eastAsia="Times New Roman" w:cs="Calibri"/>
                <w:color w:val="000000"/>
                <w:sz w:val="18"/>
                <w:szCs w:val="18"/>
                <w:lang w:eastAsia="en-GB"/>
              </w:rPr>
              <w:t>Men</w:t>
            </w:r>
          </w:p>
        </w:tc>
        <w:tc>
          <w:tcPr>
            <w:tcW w:w="506" w:type="pct"/>
            <w:tcBorders>
              <w:top w:val="nil"/>
              <w:left w:val="single" w:sz="4" w:space="0" w:color="auto"/>
              <w:bottom w:val="nil"/>
              <w:right w:val="nil"/>
            </w:tcBorders>
            <w:shd w:val="clear" w:color="000000" w:fill="FFFFFF"/>
            <w:noWrap/>
            <w:vAlign w:val="center"/>
            <w:hideMark/>
          </w:tcPr>
          <w:p w14:paraId="2CD24E57"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21.60</w:t>
            </w:r>
          </w:p>
        </w:tc>
        <w:tc>
          <w:tcPr>
            <w:tcW w:w="506" w:type="pct"/>
            <w:tcBorders>
              <w:top w:val="nil"/>
              <w:left w:val="nil"/>
              <w:bottom w:val="nil"/>
              <w:right w:val="nil"/>
            </w:tcBorders>
            <w:shd w:val="clear" w:color="000000" w:fill="CCECFF"/>
            <w:vAlign w:val="center"/>
            <w:hideMark/>
          </w:tcPr>
          <w:p w14:paraId="1B141D93"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22.70</w:t>
            </w:r>
          </w:p>
        </w:tc>
        <w:tc>
          <w:tcPr>
            <w:tcW w:w="506" w:type="pct"/>
            <w:tcBorders>
              <w:top w:val="nil"/>
              <w:left w:val="single" w:sz="4" w:space="0" w:color="auto"/>
              <w:bottom w:val="nil"/>
              <w:right w:val="nil"/>
            </w:tcBorders>
            <w:shd w:val="clear" w:color="000000" w:fill="FFFFFF"/>
            <w:noWrap/>
            <w:vAlign w:val="center"/>
            <w:hideMark/>
          </w:tcPr>
          <w:p w14:paraId="6DBF4C31"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23.30</w:t>
            </w:r>
          </w:p>
        </w:tc>
        <w:tc>
          <w:tcPr>
            <w:tcW w:w="506" w:type="pct"/>
            <w:tcBorders>
              <w:top w:val="nil"/>
              <w:left w:val="nil"/>
              <w:bottom w:val="nil"/>
              <w:right w:val="nil"/>
            </w:tcBorders>
            <w:shd w:val="clear" w:color="000000" w:fill="CCECFF"/>
            <w:vAlign w:val="center"/>
            <w:hideMark/>
          </w:tcPr>
          <w:p w14:paraId="5EDAF20E"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23.40</w:t>
            </w:r>
          </w:p>
        </w:tc>
      </w:tr>
      <w:tr w:rsidR="009809F9" w:rsidRPr="009809F9" w14:paraId="37CF7584" w14:textId="77777777" w:rsidTr="00384B13">
        <w:trPr>
          <w:trHeight w:val="240"/>
        </w:trPr>
        <w:tc>
          <w:tcPr>
            <w:tcW w:w="2470" w:type="pct"/>
            <w:tcBorders>
              <w:top w:val="nil"/>
              <w:left w:val="nil"/>
              <w:bottom w:val="nil"/>
              <w:right w:val="nil"/>
            </w:tcBorders>
            <w:shd w:val="clear" w:color="000000" w:fill="FFFFFF"/>
            <w:noWrap/>
            <w:vAlign w:val="center"/>
            <w:hideMark/>
          </w:tcPr>
          <w:p w14:paraId="547DFD5F"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FFFFFF"/>
            <w:noWrap/>
            <w:vAlign w:val="center"/>
            <w:hideMark/>
          </w:tcPr>
          <w:p w14:paraId="006E0C3E" w14:textId="77777777" w:rsidR="009809F9" w:rsidRPr="009809F9" w:rsidRDefault="009809F9" w:rsidP="009809F9">
            <w:pPr>
              <w:spacing w:after="0" w:line="240" w:lineRule="auto"/>
              <w:jc w:val="right"/>
              <w:rPr>
                <w:rFonts w:eastAsia="Times New Roman" w:cs="Calibri"/>
                <w:color w:val="000000"/>
                <w:sz w:val="18"/>
                <w:szCs w:val="18"/>
                <w:lang w:eastAsia="en-GB"/>
              </w:rPr>
            </w:pPr>
            <w:r w:rsidRPr="009809F9">
              <w:rPr>
                <w:rFonts w:eastAsia="Times New Roman" w:cs="Calibri"/>
                <w:color w:val="000000"/>
                <w:sz w:val="18"/>
                <w:szCs w:val="18"/>
                <w:lang w:eastAsia="en-GB"/>
              </w:rPr>
              <w:t>Women</w:t>
            </w:r>
          </w:p>
        </w:tc>
        <w:tc>
          <w:tcPr>
            <w:tcW w:w="506" w:type="pct"/>
            <w:tcBorders>
              <w:top w:val="nil"/>
              <w:left w:val="single" w:sz="4" w:space="0" w:color="auto"/>
              <w:bottom w:val="nil"/>
              <w:right w:val="nil"/>
            </w:tcBorders>
            <w:shd w:val="clear" w:color="000000" w:fill="FFFFFF"/>
            <w:noWrap/>
            <w:vAlign w:val="center"/>
            <w:hideMark/>
          </w:tcPr>
          <w:p w14:paraId="18D85B20"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25.40</w:t>
            </w:r>
          </w:p>
        </w:tc>
        <w:tc>
          <w:tcPr>
            <w:tcW w:w="506" w:type="pct"/>
            <w:tcBorders>
              <w:top w:val="nil"/>
              <w:left w:val="nil"/>
              <w:bottom w:val="nil"/>
              <w:right w:val="nil"/>
            </w:tcBorders>
            <w:shd w:val="clear" w:color="000000" w:fill="CCECFF"/>
            <w:vAlign w:val="center"/>
            <w:hideMark/>
          </w:tcPr>
          <w:p w14:paraId="3F2CA1BC"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25.90</w:t>
            </w:r>
          </w:p>
        </w:tc>
        <w:tc>
          <w:tcPr>
            <w:tcW w:w="506" w:type="pct"/>
            <w:tcBorders>
              <w:top w:val="nil"/>
              <w:left w:val="single" w:sz="4" w:space="0" w:color="auto"/>
              <w:bottom w:val="nil"/>
              <w:right w:val="nil"/>
            </w:tcBorders>
            <w:shd w:val="clear" w:color="000000" w:fill="FFFFFF"/>
            <w:noWrap/>
            <w:vAlign w:val="center"/>
            <w:hideMark/>
          </w:tcPr>
          <w:p w14:paraId="2E4576BD"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25.20</w:t>
            </w:r>
          </w:p>
        </w:tc>
        <w:tc>
          <w:tcPr>
            <w:tcW w:w="506" w:type="pct"/>
            <w:tcBorders>
              <w:top w:val="nil"/>
              <w:left w:val="nil"/>
              <w:bottom w:val="nil"/>
              <w:right w:val="nil"/>
            </w:tcBorders>
            <w:shd w:val="clear" w:color="000000" w:fill="CCECFF"/>
            <w:vAlign w:val="center"/>
            <w:hideMark/>
          </w:tcPr>
          <w:p w14:paraId="39E8ECC1"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25.30</w:t>
            </w:r>
          </w:p>
        </w:tc>
      </w:tr>
      <w:tr w:rsidR="009809F9" w:rsidRPr="009809F9" w14:paraId="5CFF3F61" w14:textId="77777777" w:rsidTr="00384B13">
        <w:trPr>
          <w:trHeight w:val="405"/>
        </w:trPr>
        <w:tc>
          <w:tcPr>
            <w:tcW w:w="2976" w:type="pct"/>
            <w:gridSpan w:val="2"/>
            <w:tcBorders>
              <w:top w:val="nil"/>
              <w:left w:val="nil"/>
              <w:bottom w:val="nil"/>
              <w:right w:val="nil"/>
            </w:tcBorders>
            <w:shd w:val="clear" w:color="000000" w:fill="FFFFFF"/>
            <w:noWrap/>
            <w:vAlign w:val="center"/>
            <w:hideMark/>
          </w:tcPr>
          <w:p w14:paraId="2CDC14C8" w14:textId="77777777" w:rsidR="009809F9" w:rsidRPr="009809F9" w:rsidRDefault="009809F9" w:rsidP="009809F9">
            <w:pPr>
              <w:spacing w:after="0" w:line="240" w:lineRule="auto"/>
              <w:rPr>
                <w:rFonts w:eastAsia="Times New Roman" w:cs="Calibri"/>
                <w:b/>
                <w:bCs/>
                <w:i/>
                <w:iCs/>
                <w:color w:val="000000"/>
                <w:sz w:val="18"/>
                <w:szCs w:val="18"/>
                <w:lang w:eastAsia="en-GB"/>
              </w:rPr>
            </w:pPr>
            <w:r w:rsidRPr="009809F9">
              <w:rPr>
                <w:rFonts w:eastAsia="Times New Roman" w:cs="Calibri"/>
                <w:b/>
                <w:bCs/>
                <w:i/>
                <w:iCs/>
                <w:color w:val="000000"/>
                <w:sz w:val="18"/>
                <w:szCs w:val="18"/>
                <w:lang w:eastAsia="en-GB"/>
              </w:rPr>
              <w:t>Financial Assumptions</w:t>
            </w:r>
          </w:p>
        </w:tc>
        <w:tc>
          <w:tcPr>
            <w:tcW w:w="506" w:type="pct"/>
            <w:tcBorders>
              <w:top w:val="nil"/>
              <w:left w:val="single" w:sz="4" w:space="0" w:color="auto"/>
              <w:bottom w:val="nil"/>
              <w:right w:val="nil"/>
            </w:tcBorders>
            <w:shd w:val="clear" w:color="000000" w:fill="FFFFFF"/>
            <w:noWrap/>
            <w:vAlign w:val="center"/>
            <w:hideMark/>
          </w:tcPr>
          <w:p w14:paraId="12160F9B" w14:textId="77777777" w:rsidR="009809F9" w:rsidRPr="009809F9" w:rsidRDefault="009809F9" w:rsidP="009809F9">
            <w:pPr>
              <w:spacing w:after="0" w:line="240" w:lineRule="auto"/>
              <w:jc w:val="center"/>
              <w:rPr>
                <w:rFonts w:eastAsia="Times New Roman" w:cs="Calibri"/>
                <w:b/>
                <w:bCs/>
                <w:color w:val="000000"/>
                <w:sz w:val="18"/>
                <w:szCs w:val="18"/>
                <w:lang w:eastAsia="en-GB"/>
              </w:rPr>
            </w:pPr>
            <w:r w:rsidRPr="009809F9">
              <w:rPr>
                <w:rFonts w:eastAsia="Times New Roman" w:cs="Calibri"/>
                <w:b/>
                <w:bCs/>
                <w:color w:val="000000"/>
                <w:sz w:val="18"/>
                <w:szCs w:val="18"/>
                <w:lang w:eastAsia="en-GB"/>
              </w:rPr>
              <w:t>%</w:t>
            </w:r>
          </w:p>
        </w:tc>
        <w:tc>
          <w:tcPr>
            <w:tcW w:w="506" w:type="pct"/>
            <w:tcBorders>
              <w:top w:val="nil"/>
              <w:left w:val="nil"/>
              <w:bottom w:val="nil"/>
              <w:right w:val="nil"/>
            </w:tcBorders>
            <w:shd w:val="clear" w:color="000000" w:fill="CCECFF"/>
            <w:vAlign w:val="center"/>
            <w:hideMark/>
          </w:tcPr>
          <w:p w14:paraId="736163B4" w14:textId="77777777" w:rsidR="009809F9" w:rsidRPr="009809F9" w:rsidRDefault="009809F9" w:rsidP="009809F9">
            <w:pPr>
              <w:spacing w:after="0" w:line="240" w:lineRule="auto"/>
              <w:jc w:val="center"/>
              <w:rPr>
                <w:rFonts w:eastAsia="Times New Roman" w:cs="Calibri"/>
                <w:b/>
                <w:bCs/>
                <w:color w:val="auto"/>
                <w:sz w:val="18"/>
                <w:szCs w:val="18"/>
                <w:lang w:eastAsia="en-GB"/>
              </w:rPr>
            </w:pPr>
            <w:r w:rsidRPr="009809F9">
              <w:rPr>
                <w:rFonts w:eastAsia="Times New Roman" w:cs="Calibri"/>
                <w:b/>
                <w:bCs/>
                <w:color w:val="auto"/>
                <w:sz w:val="18"/>
                <w:szCs w:val="18"/>
                <w:lang w:eastAsia="en-GB"/>
              </w:rPr>
              <w:t>%</w:t>
            </w:r>
          </w:p>
        </w:tc>
        <w:tc>
          <w:tcPr>
            <w:tcW w:w="506" w:type="pct"/>
            <w:tcBorders>
              <w:top w:val="nil"/>
              <w:left w:val="single" w:sz="4" w:space="0" w:color="auto"/>
              <w:bottom w:val="nil"/>
              <w:right w:val="nil"/>
            </w:tcBorders>
            <w:shd w:val="clear" w:color="000000" w:fill="FFFFFF"/>
            <w:noWrap/>
            <w:vAlign w:val="center"/>
            <w:hideMark/>
          </w:tcPr>
          <w:p w14:paraId="7A3AEBA5" w14:textId="77777777" w:rsidR="009809F9" w:rsidRPr="009809F9" w:rsidRDefault="009809F9" w:rsidP="009809F9">
            <w:pPr>
              <w:spacing w:after="0" w:line="240" w:lineRule="auto"/>
              <w:jc w:val="center"/>
              <w:rPr>
                <w:rFonts w:eastAsia="Times New Roman" w:cs="Calibri"/>
                <w:b/>
                <w:bCs/>
                <w:color w:val="000000"/>
                <w:sz w:val="18"/>
                <w:szCs w:val="18"/>
                <w:lang w:eastAsia="en-GB"/>
              </w:rPr>
            </w:pPr>
            <w:r w:rsidRPr="009809F9">
              <w:rPr>
                <w:rFonts w:eastAsia="Times New Roman" w:cs="Calibri"/>
                <w:b/>
                <w:bCs/>
                <w:color w:val="000000"/>
                <w:sz w:val="18"/>
                <w:szCs w:val="18"/>
                <w:lang w:eastAsia="en-GB"/>
              </w:rPr>
              <w:t>%</w:t>
            </w:r>
          </w:p>
        </w:tc>
        <w:tc>
          <w:tcPr>
            <w:tcW w:w="506" w:type="pct"/>
            <w:tcBorders>
              <w:top w:val="nil"/>
              <w:left w:val="nil"/>
              <w:bottom w:val="nil"/>
              <w:right w:val="nil"/>
            </w:tcBorders>
            <w:shd w:val="clear" w:color="000000" w:fill="CCECFF"/>
            <w:vAlign w:val="center"/>
            <w:hideMark/>
          </w:tcPr>
          <w:p w14:paraId="416F1180" w14:textId="77777777" w:rsidR="009809F9" w:rsidRPr="009809F9" w:rsidRDefault="009809F9" w:rsidP="009809F9">
            <w:pPr>
              <w:spacing w:after="0" w:line="240" w:lineRule="auto"/>
              <w:jc w:val="center"/>
              <w:rPr>
                <w:rFonts w:eastAsia="Times New Roman" w:cs="Calibri"/>
                <w:b/>
                <w:bCs/>
                <w:color w:val="auto"/>
                <w:sz w:val="18"/>
                <w:szCs w:val="18"/>
                <w:lang w:eastAsia="en-GB"/>
              </w:rPr>
            </w:pPr>
            <w:r w:rsidRPr="009809F9">
              <w:rPr>
                <w:rFonts w:eastAsia="Times New Roman" w:cs="Calibri"/>
                <w:b/>
                <w:bCs/>
                <w:color w:val="auto"/>
                <w:sz w:val="18"/>
                <w:szCs w:val="18"/>
                <w:lang w:eastAsia="en-GB"/>
              </w:rPr>
              <w:t>%</w:t>
            </w:r>
          </w:p>
        </w:tc>
      </w:tr>
      <w:tr w:rsidR="009809F9" w:rsidRPr="009809F9" w14:paraId="6FB25638" w14:textId="77777777" w:rsidTr="00384B13">
        <w:trPr>
          <w:trHeight w:val="240"/>
        </w:trPr>
        <w:tc>
          <w:tcPr>
            <w:tcW w:w="2976" w:type="pct"/>
            <w:gridSpan w:val="2"/>
            <w:tcBorders>
              <w:top w:val="nil"/>
              <w:left w:val="nil"/>
              <w:bottom w:val="nil"/>
              <w:right w:val="nil"/>
            </w:tcBorders>
            <w:shd w:val="clear" w:color="000000" w:fill="FFFFFF"/>
            <w:noWrap/>
            <w:vAlign w:val="center"/>
            <w:hideMark/>
          </w:tcPr>
          <w:p w14:paraId="472F4AF3"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Rate of Inflation</w:t>
            </w:r>
          </w:p>
        </w:tc>
        <w:tc>
          <w:tcPr>
            <w:tcW w:w="506" w:type="pct"/>
            <w:tcBorders>
              <w:top w:val="nil"/>
              <w:left w:val="single" w:sz="4" w:space="0" w:color="auto"/>
              <w:bottom w:val="nil"/>
              <w:right w:val="nil"/>
            </w:tcBorders>
            <w:shd w:val="clear" w:color="000000" w:fill="FFFFFF"/>
            <w:noWrap/>
            <w:vAlign w:val="center"/>
            <w:hideMark/>
          </w:tcPr>
          <w:p w14:paraId="7C5B1687"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2.75</w:t>
            </w:r>
          </w:p>
        </w:tc>
        <w:tc>
          <w:tcPr>
            <w:tcW w:w="506" w:type="pct"/>
            <w:tcBorders>
              <w:top w:val="nil"/>
              <w:left w:val="nil"/>
              <w:bottom w:val="nil"/>
              <w:right w:val="nil"/>
            </w:tcBorders>
            <w:shd w:val="clear" w:color="000000" w:fill="CCECFF"/>
            <w:vAlign w:val="center"/>
            <w:hideMark/>
          </w:tcPr>
          <w:p w14:paraId="4D7C3978"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3.00</w:t>
            </w:r>
          </w:p>
        </w:tc>
        <w:tc>
          <w:tcPr>
            <w:tcW w:w="506" w:type="pct"/>
            <w:tcBorders>
              <w:top w:val="nil"/>
              <w:left w:val="single" w:sz="4" w:space="0" w:color="auto"/>
              <w:bottom w:val="nil"/>
              <w:right w:val="nil"/>
            </w:tcBorders>
            <w:shd w:val="clear" w:color="000000" w:fill="FFFFFF"/>
            <w:noWrap/>
            <w:vAlign w:val="center"/>
            <w:hideMark/>
          </w:tcPr>
          <w:p w14:paraId="31B59752"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2.70</w:t>
            </w:r>
          </w:p>
        </w:tc>
        <w:tc>
          <w:tcPr>
            <w:tcW w:w="506" w:type="pct"/>
            <w:tcBorders>
              <w:top w:val="nil"/>
              <w:left w:val="nil"/>
              <w:bottom w:val="nil"/>
              <w:right w:val="nil"/>
            </w:tcBorders>
            <w:shd w:val="clear" w:color="000000" w:fill="CCECFF"/>
            <w:vAlign w:val="center"/>
            <w:hideMark/>
          </w:tcPr>
          <w:p w14:paraId="1E7AFFC1"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2.95</w:t>
            </w:r>
          </w:p>
        </w:tc>
      </w:tr>
      <w:tr w:rsidR="009809F9" w:rsidRPr="009809F9" w14:paraId="4E05E175" w14:textId="77777777" w:rsidTr="00384B13">
        <w:trPr>
          <w:trHeight w:val="240"/>
        </w:trPr>
        <w:tc>
          <w:tcPr>
            <w:tcW w:w="2976" w:type="pct"/>
            <w:gridSpan w:val="2"/>
            <w:tcBorders>
              <w:top w:val="nil"/>
              <w:left w:val="nil"/>
              <w:bottom w:val="nil"/>
              <w:right w:val="nil"/>
            </w:tcBorders>
            <w:shd w:val="clear" w:color="000000" w:fill="FFFFFF"/>
            <w:noWrap/>
            <w:vAlign w:val="center"/>
            <w:hideMark/>
          </w:tcPr>
          <w:p w14:paraId="27A28AA5"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Rate of Increase in Salaries</w:t>
            </w:r>
          </w:p>
        </w:tc>
        <w:tc>
          <w:tcPr>
            <w:tcW w:w="506" w:type="pct"/>
            <w:tcBorders>
              <w:top w:val="nil"/>
              <w:left w:val="single" w:sz="4" w:space="0" w:color="auto"/>
              <w:bottom w:val="nil"/>
              <w:right w:val="nil"/>
            </w:tcBorders>
            <w:shd w:val="clear" w:color="000000" w:fill="FFFFFF"/>
            <w:noWrap/>
            <w:vAlign w:val="center"/>
            <w:hideMark/>
          </w:tcPr>
          <w:p w14:paraId="21ADAFCA"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3.25</w:t>
            </w:r>
          </w:p>
        </w:tc>
        <w:tc>
          <w:tcPr>
            <w:tcW w:w="506" w:type="pct"/>
            <w:tcBorders>
              <w:top w:val="nil"/>
              <w:left w:val="nil"/>
              <w:bottom w:val="nil"/>
              <w:right w:val="nil"/>
            </w:tcBorders>
            <w:shd w:val="clear" w:color="000000" w:fill="CCECFF"/>
            <w:vAlign w:val="center"/>
            <w:hideMark/>
          </w:tcPr>
          <w:p w14:paraId="1F3D95AD"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3.50</w:t>
            </w:r>
          </w:p>
        </w:tc>
        <w:tc>
          <w:tcPr>
            <w:tcW w:w="506" w:type="pct"/>
            <w:tcBorders>
              <w:top w:val="nil"/>
              <w:left w:val="single" w:sz="4" w:space="0" w:color="auto"/>
              <w:bottom w:val="nil"/>
              <w:right w:val="nil"/>
            </w:tcBorders>
            <w:shd w:val="clear" w:color="000000" w:fill="FFFFFF"/>
            <w:noWrap/>
            <w:vAlign w:val="center"/>
            <w:hideMark/>
          </w:tcPr>
          <w:p w14:paraId="18A3D7A8"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3.45</w:t>
            </w:r>
          </w:p>
        </w:tc>
        <w:tc>
          <w:tcPr>
            <w:tcW w:w="506" w:type="pct"/>
            <w:tcBorders>
              <w:top w:val="nil"/>
              <w:left w:val="nil"/>
              <w:bottom w:val="nil"/>
              <w:right w:val="nil"/>
            </w:tcBorders>
            <w:shd w:val="clear" w:color="000000" w:fill="CCECFF"/>
            <w:vAlign w:val="center"/>
            <w:hideMark/>
          </w:tcPr>
          <w:p w14:paraId="6094F849"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3.70</w:t>
            </w:r>
          </w:p>
        </w:tc>
      </w:tr>
      <w:tr w:rsidR="009809F9" w:rsidRPr="009809F9" w14:paraId="3723E187" w14:textId="77777777" w:rsidTr="00384B13">
        <w:trPr>
          <w:trHeight w:val="240"/>
        </w:trPr>
        <w:tc>
          <w:tcPr>
            <w:tcW w:w="2976" w:type="pct"/>
            <w:gridSpan w:val="2"/>
            <w:tcBorders>
              <w:top w:val="nil"/>
              <w:left w:val="nil"/>
              <w:bottom w:val="nil"/>
              <w:right w:val="nil"/>
            </w:tcBorders>
            <w:shd w:val="clear" w:color="000000" w:fill="FFFFFF"/>
            <w:noWrap/>
            <w:vAlign w:val="center"/>
            <w:hideMark/>
          </w:tcPr>
          <w:p w14:paraId="52A736A5"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Actual Return on Assets</w:t>
            </w:r>
          </w:p>
        </w:tc>
        <w:tc>
          <w:tcPr>
            <w:tcW w:w="506" w:type="pct"/>
            <w:tcBorders>
              <w:top w:val="nil"/>
              <w:left w:val="single" w:sz="4" w:space="0" w:color="auto"/>
              <w:bottom w:val="nil"/>
              <w:right w:val="nil"/>
            </w:tcBorders>
            <w:shd w:val="clear" w:color="000000" w:fill="FFFFFF"/>
            <w:noWrap/>
            <w:vAlign w:val="center"/>
            <w:hideMark/>
          </w:tcPr>
          <w:p w14:paraId="73E83C6B"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1.80</w:t>
            </w:r>
          </w:p>
        </w:tc>
        <w:tc>
          <w:tcPr>
            <w:tcW w:w="506" w:type="pct"/>
            <w:tcBorders>
              <w:top w:val="nil"/>
              <w:left w:val="nil"/>
              <w:bottom w:val="nil"/>
              <w:right w:val="nil"/>
            </w:tcBorders>
            <w:shd w:val="clear" w:color="000000" w:fill="CCECFF"/>
            <w:vAlign w:val="center"/>
            <w:hideMark/>
          </w:tcPr>
          <w:p w14:paraId="2F62C4F7"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7.00</w:t>
            </w:r>
          </w:p>
        </w:tc>
        <w:tc>
          <w:tcPr>
            <w:tcW w:w="506" w:type="pct"/>
            <w:tcBorders>
              <w:top w:val="nil"/>
              <w:left w:val="single" w:sz="4" w:space="0" w:color="auto"/>
              <w:bottom w:val="nil"/>
              <w:right w:val="nil"/>
            </w:tcBorders>
            <w:shd w:val="clear" w:color="000000" w:fill="FFFFFF"/>
            <w:noWrap/>
            <w:vAlign w:val="center"/>
            <w:hideMark/>
          </w:tcPr>
          <w:p w14:paraId="7B2B0760"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n/a</w:t>
            </w:r>
          </w:p>
        </w:tc>
        <w:tc>
          <w:tcPr>
            <w:tcW w:w="506" w:type="pct"/>
            <w:tcBorders>
              <w:top w:val="nil"/>
              <w:left w:val="nil"/>
              <w:bottom w:val="nil"/>
              <w:right w:val="nil"/>
            </w:tcBorders>
            <w:shd w:val="clear" w:color="000000" w:fill="CCECFF"/>
            <w:vAlign w:val="center"/>
            <w:hideMark/>
          </w:tcPr>
          <w:p w14:paraId="3CC6F14D"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n/a</w:t>
            </w:r>
          </w:p>
        </w:tc>
      </w:tr>
      <w:tr w:rsidR="009809F9" w:rsidRPr="009809F9" w14:paraId="0CD1BD41" w14:textId="77777777" w:rsidTr="00384B13">
        <w:trPr>
          <w:trHeight w:val="240"/>
        </w:trPr>
        <w:tc>
          <w:tcPr>
            <w:tcW w:w="2976" w:type="pct"/>
            <w:gridSpan w:val="2"/>
            <w:tcBorders>
              <w:top w:val="nil"/>
              <w:left w:val="nil"/>
              <w:bottom w:val="nil"/>
              <w:right w:val="nil"/>
            </w:tcBorders>
            <w:shd w:val="clear" w:color="000000" w:fill="FFFFFF"/>
            <w:noWrap/>
            <w:vAlign w:val="center"/>
            <w:hideMark/>
          </w:tcPr>
          <w:p w14:paraId="768FC79D" w14:textId="77777777" w:rsidR="009809F9" w:rsidRPr="009809F9" w:rsidRDefault="009809F9" w:rsidP="009809F9">
            <w:pPr>
              <w:spacing w:after="0" w:line="240" w:lineRule="auto"/>
              <w:rPr>
                <w:rFonts w:eastAsia="Times New Roman" w:cs="Calibri"/>
                <w:color w:val="000000"/>
                <w:sz w:val="18"/>
                <w:szCs w:val="18"/>
                <w:lang w:eastAsia="en-GB"/>
              </w:rPr>
            </w:pPr>
            <w:r w:rsidRPr="009809F9">
              <w:rPr>
                <w:rFonts w:eastAsia="Times New Roman" w:cs="Calibri"/>
                <w:color w:val="000000"/>
                <w:sz w:val="18"/>
                <w:szCs w:val="18"/>
                <w:lang w:eastAsia="en-GB"/>
              </w:rPr>
              <w:t>Rate for Discounting Scheme Liabilities (Gross)</w:t>
            </w:r>
          </w:p>
        </w:tc>
        <w:tc>
          <w:tcPr>
            <w:tcW w:w="506" w:type="pct"/>
            <w:tcBorders>
              <w:top w:val="nil"/>
              <w:left w:val="single" w:sz="4" w:space="0" w:color="auto"/>
              <w:bottom w:val="nil"/>
              <w:right w:val="nil"/>
            </w:tcBorders>
            <w:shd w:val="clear" w:color="000000" w:fill="FFFFFF"/>
            <w:noWrap/>
            <w:vAlign w:val="center"/>
            <w:hideMark/>
          </w:tcPr>
          <w:p w14:paraId="04E9CE7F"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5.80</w:t>
            </w:r>
          </w:p>
        </w:tc>
        <w:tc>
          <w:tcPr>
            <w:tcW w:w="506" w:type="pct"/>
            <w:tcBorders>
              <w:top w:val="nil"/>
              <w:left w:val="nil"/>
              <w:bottom w:val="nil"/>
              <w:right w:val="nil"/>
            </w:tcBorders>
            <w:shd w:val="clear" w:color="000000" w:fill="CCECFF"/>
            <w:vAlign w:val="center"/>
            <w:hideMark/>
          </w:tcPr>
          <w:p w14:paraId="18A38660"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6.30</w:t>
            </w:r>
          </w:p>
        </w:tc>
        <w:tc>
          <w:tcPr>
            <w:tcW w:w="506" w:type="pct"/>
            <w:tcBorders>
              <w:top w:val="nil"/>
              <w:left w:val="single" w:sz="4" w:space="0" w:color="auto"/>
              <w:bottom w:val="nil"/>
              <w:right w:val="nil"/>
            </w:tcBorders>
            <w:shd w:val="clear" w:color="000000" w:fill="FFFFFF"/>
            <w:noWrap/>
            <w:vAlign w:val="center"/>
            <w:hideMark/>
          </w:tcPr>
          <w:p w14:paraId="5466D91B" w14:textId="5515B8ED" w:rsidR="009809F9" w:rsidRPr="009809F9" w:rsidRDefault="00E218E5" w:rsidP="009809F9">
            <w:pPr>
              <w:spacing w:after="0" w:line="240" w:lineRule="auto"/>
              <w:jc w:val="center"/>
              <w:rPr>
                <w:rFonts w:eastAsia="Times New Roman" w:cs="Calibri"/>
                <w:color w:val="000000"/>
                <w:sz w:val="18"/>
                <w:szCs w:val="18"/>
                <w:lang w:eastAsia="en-GB"/>
              </w:rPr>
            </w:pPr>
            <w:r>
              <w:rPr>
                <w:rFonts w:eastAsia="Times New Roman" w:cs="Calibri"/>
                <w:color w:val="000000"/>
                <w:sz w:val="18"/>
                <w:szCs w:val="18"/>
                <w:lang w:eastAsia="en-GB"/>
              </w:rPr>
              <w:t>5</w:t>
            </w:r>
            <w:r w:rsidR="009809F9" w:rsidRPr="009809F9">
              <w:rPr>
                <w:rFonts w:eastAsia="Times New Roman" w:cs="Calibri"/>
                <w:color w:val="000000"/>
                <w:sz w:val="18"/>
                <w:szCs w:val="18"/>
                <w:lang w:eastAsia="en-GB"/>
              </w:rPr>
              <w:t>.65</w:t>
            </w:r>
          </w:p>
        </w:tc>
        <w:tc>
          <w:tcPr>
            <w:tcW w:w="506" w:type="pct"/>
            <w:tcBorders>
              <w:top w:val="nil"/>
              <w:left w:val="nil"/>
              <w:bottom w:val="nil"/>
              <w:right w:val="nil"/>
            </w:tcBorders>
            <w:shd w:val="clear" w:color="000000" w:fill="CCECFF"/>
            <w:vAlign w:val="center"/>
            <w:hideMark/>
          </w:tcPr>
          <w:p w14:paraId="08A3BE8C"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5.65</w:t>
            </w:r>
          </w:p>
        </w:tc>
      </w:tr>
      <w:tr w:rsidR="009809F9" w:rsidRPr="009809F9" w14:paraId="7313E44F" w14:textId="77777777" w:rsidTr="00384B13">
        <w:trPr>
          <w:trHeight w:val="240"/>
        </w:trPr>
        <w:tc>
          <w:tcPr>
            <w:tcW w:w="2470" w:type="pct"/>
            <w:tcBorders>
              <w:top w:val="nil"/>
              <w:left w:val="nil"/>
              <w:bottom w:val="nil"/>
              <w:right w:val="nil"/>
            </w:tcBorders>
            <w:shd w:val="clear" w:color="000000" w:fill="FFFFFF"/>
            <w:vAlign w:val="center"/>
            <w:hideMark/>
          </w:tcPr>
          <w:p w14:paraId="65562986"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Rate of Revaluation for CARE Pensions</w:t>
            </w:r>
          </w:p>
        </w:tc>
        <w:tc>
          <w:tcPr>
            <w:tcW w:w="506" w:type="pct"/>
            <w:tcBorders>
              <w:top w:val="nil"/>
              <w:left w:val="nil"/>
              <w:bottom w:val="nil"/>
              <w:right w:val="nil"/>
            </w:tcBorders>
            <w:shd w:val="clear" w:color="000000" w:fill="FFFFFF"/>
            <w:vAlign w:val="center"/>
            <w:hideMark/>
          </w:tcPr>
          <w:p w14:paraId="3583DB63"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1E843969"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n/a</w:t>
            </w:r>
          </w:p>
        </w:tc>
        <w:tc>
          <w:tcPr>
            <w:tcW w:w="506" w:type="pct"/>
            <w:tcBorders>
              <w:top w:val="nil"/>
              <w:left w:val="nil"/>
              <w:bottom w:val="nil"/>
              <w:right w:val="nil"/>
            </w:tcBorders>
            <w:shd w:val="clear" w:color="000000" w:fill="CCECFF"/>
            <w:vAlign w:val="center"/>
            <w:hideMark/>
          </w:tcPr>
          <w:p w14:paraId="519B3FD2"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n/a</w:t>
            </w:r>
          </w:p>
        </w:tc>
        <w:tc>
          <w:tcPr>
            <w:tcW w:w="506" w:type="pct"/>
            <w:tcBorders>
              <w:top w:val="nil"/>
              <w:left w:val="single" w:sz="4" w:space="0" w:color="auto"/>
              <w:bottom w:val="nil"/>
              <w:right w:val="nil"/>
            </w:tcBorders>
            <w:shd w:val="clear" w:color="000000" w:fill="FFFFFF"/>
            <w:noWrap/>
            <w:vAlign w:val="center"/>
            <w:hideMark/>
          </w:tcPr>
          <w:p w14:paraId="4BEC2A7D"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3.95</w:t>
            </w:r>
          </w:p>
        </w:tc>
        <w:tc>
          <w:tcPr>
            <w:tcW w:w="506" w:type="pct"/>
            <w:tcBorders>
              <w:top w:val="nil"/>
              <w:left w:val="nil"/>
              <w:bottom w:val="nil"/>
              <w:right w:val="nil"/>
            </w:tcBorders>
            <w:shd w:val="clear" w:color="000000" w:fill="CCECFF"/>
            <w:vAlign w:val="center"/>
            <w:hideMark/>
          </w:tcPr>
          <w:p w14:paraId="3E26D706"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3.95</w:t>
            </w:r>
          </w:p>
        </w:tc>
      </w:tr>
      <w:tr w:rsidR="009809F9" w:rsidRPr="009809F9" w14:paraId="7BA21D91" w14:textId="77777777" w:rsidTr="00384B13">
        <w:trPr>
          <w:trHeight w:val="600"/>
        </w:trPr>
        <w:tc>
          <w:tcPr>
            <w:tcW w:w="2976" w:type="pct"/>
            <w:gridSpan w:val="2"/>
            <w:tcBorders>
              <w:top w:val="nil"/>
              <w:left w:val="nil"/>
              <w:bottom w:val="nil"/>
              <w:right w:val="nil"/>
            </w:tcBorders>
            <w:shd w:val="clear" w:color="000000" w:fill="FFFFFF"/>
            <w:vAlign w:val="center"/>
            <w:hideMark/>
          </w:tcPr>
          <w:p w14:paraId="5D2A9073"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Take up Option to Convert annual Pension into retirement Lump Sum (LGPS)</w:t>
            </w:r>
          </w:p>
        </w:tc>
        <w:tc>
          <w:tcPr>
            <w:tcW w:w="506" w:type="pct"/>
            <w:tcBorders>
              <w:top w:val="nil"/>
              <w:left w:val="single" w:sz="4" w:space="0" w:color="auto"/>
              <w:bottom w:val="nil"/>
              <w:right w:val="nil"/>
            </w:tcBorders>
            <w:shd w:val="clear" w:color="000000" w:fill="FFFFFF"/>
            <w:noWrap/>
            <w:vAlign w:val="center"/>
            <w:hideMark/>
          </w:tcPr>
          <w:p w14:paraId="44F47F64"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55</w:t>
            </w:r>
          </w:p>
        </w:tc>
        <w:tc>
          <w:tcPr>
            <w:tcW w:w="506" w:type="pct"/>
            <w:tcBorders>
              <w:top w:val="nil"/>
              <w:left w:val="nil"/>
              <w:bottom w:val="nil"/>
              <w:right w:val="nil"/>
            </w:tcBorders>
            <w:shd w:val="clear" w:color="000000" w:fill="CCECFF"/>
            <w:vAlign w:val="center"/>
            <w:hideMark/>
          </w:tcPr>
          <w:p w14:paraId="72C80394"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60</w:t>
            </w:r>
          </w:p>
        </w:tc>
        <w:tc>
          <w:tcPr>
            <w:tcW w:w="506" w:type="pct"/>
            <w:tcBorders>
              <w:top w:val="nil"/>
              <w:left w:val="single" w:sz="4" w:space="0" w:color="auto"/>
              <w:bottom w:val="nil"/>
              <w:right w:val="nil"/>
            </w:tcBorders>
            <w:shd w:val="clear" w:color="000000" w:fill="FFFFFF"/>
            <w:noWrap/>
            <w:vAlign w:val="center"/>
            <w:hideMark/>
          </w:tcPr>
          <w:p w14:paraId="7E3E4650"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n/a</w:t>
            </w:r>
          </w:p>
        </w:tc>
        <w:tc>
          <w:tcPr>
            <w:tcW w:w="506" w:type="pct"/>
            <w:tcBorders>
              <w:top w:val="nil"/>
              <w:left w:val="nil"/>
              <w:bottom w:val="nil"/>
              <w:right w:val="nil"/>
            </w:tcBorders>
            <w:shd w:val="clear" w:color="000000" w:fill="CCECFF"/>
            <w:vAlign w:val="center"/>
            <w:hideMark/>
          </w:tcPr>
          <w:p w14:paraId="361C6D83"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xml:space="preserve"> n/a </w:t>
            </w:r>
          </w:p>
        </w:tc>
      </w:tr>
      <w:tr w:rsidR="009809F9" w:rsidRPr="009809F9" w14:paraId="5FBC7221" w14:textId="77777777" w:rsidTr="00384B13">
        <w:trPr>
          <w:trHeight w:val="600"/>
        </w:trPr>
        <w:tc>
          <w:tcPr>
            <w:tcW w:w="2976" w:type="pct"/>
            <w:gridSpan w:val="2"/>
            <w:tcBorders>
              <w:top w:val="nil"/>
              <w:left w:val="nil"/>
              <w:bottom w:val="nil"/>
              <w:right w:val="nil"/>
            </w:tcBorders>
            <w:shd w:val="clear" w:color="000000" w:fill="FFFFFF"/>
            <w:vAlign w:val="center"/>
            <w:hideMark/>
          </w:tcPr>
          <w:p w14:paraId="155541DC"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Take up Option to Convert annual Pension into retirement Lump Sum (1987)</w:t>
            </w:r>
          </w:p>
        </w:tc>
        <w:tc>
          <w:tcPr>
            <w:tcW w:w="506" w:type="pct"/>
            <w:tcBorders>
              <w:top w:val="nil"/>
              <w:left w:val="single" w:sz="4" w:space="0" w:color="auto"/>
              <w:bottom w:val="nil"/>
              <w:right w:val="nil"/>
            </w:tcBorders>
            <w:shd w:val="clear" w:color="000000" w:fill="FFFFFF"/>
            <w:noWrap/>
            <w:vAlign w:val="center"/>
            <w:hideMark/>
          </w:tcPr>
          <w:p w14:paraId="02CC43E8"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7155CA7C"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0345E187"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25</w:t>
            </w:r>
          </w:p>
        </w:tc>
        <w:tc>
          <w:tcPr>
            <w:tcW w:w="506" w:type="pct"/>
            <w:tcBorders>
              <w:top w:val="nil"/>
              <w:left w:val="nil"/>
              <w:bottom w:val="nil"/>
              <w:right w:val="nil"/>
            </w:tcBorders>
            <w:shd w:val="clear" w:color="000000" w:fill="CCECFF"/>
            <w:vAlign w:val="center"/>
            <w:hideMark/>
          </w:tcPr>
          <w:p w14:paraId="2AE9A06E"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25</w:t>
            </w:r>
          </w:p>
        </w:tc>
      </w:tr>
      <w:tr w:rsidR="009809F9" w:rsidRPr="009809F9" w14:paraId="54A861C1" w14:textId="77777777" w:rsidTr="00384B13">
        <w:trPr>
          <w:trHeight w:val="600"/>
        </w:trPr>
        <w:tc>
          <w:tcPr>
            <w:tcW w:w="2976" w:type="pct"/>
            <w:gridSpan w:val="2"/>
            <w:tcBorders>
              <w:top w:val="nil"/>
              <w:left w:val="nil"/>
              <w:bottom w:val="nil"/>
              <w:right w:val="nil"/>
            </w:tcBorders>
            <w:shd w:val="clear" w:color="000000" w:fill="FFFFFF"/>
            <w:vAlign w:val="center"/>
            <w:hideMark/>
          </w:tcPr>
          <w:p w14:paraId="5B73487C"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Take up Option to Convert annual Pension into retirement Lump Sum (2006)</w:t>
            </w:r>
          </w:p>
        </w:tc>
        <w:tc>
          <w:tcPr>
            <w:tcW w:w="506" w:type="pct"/>
            <w:tcBorders>
              <w:top w:val="nil"/>
              <w:left w:val="single" w:sz="4" w:space="0" w:color="auto"/>
              <w:bottom w:val="nil"/>
              <w:right w:val="nil"/>
            </w:tcBorders>
            <w:shd w:val="clear" w:color="000000" w:fill="FFFFFF"/>
            <w:noWrap/>
            <w:vAlign w:val="center"/>
            <w:hideMark/>
          </w:tcPr>
          <w:p w14:paraId="70B0977C"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41B0531A"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2470EB62"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n/a</w:t>
            </w:r>
          </w:p>
        </w:tc>
        <w:tc>
          <w:tcPr>
            <w:tcW w:w="506" w:type="pct"/>
            <w:tcBorders>
              <w:top w:val="nil"/>
              <w:left w:val="nil"/>
              <w:bottom w:val="nil"/>
              <w:right w:val="nil"/>
            </w:tcBorders>
            <w:shd w:val="clear" w:color="000000" w:fill="CCECFF"/>
            <w:vAlign w:val="center"/>
            <w:hideMark/>
          </w:tcPr>
          <w:p w14:paraId="1B02C766"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xml:space="preserve"> n/a </w:t>
            </w:r>
          </w:p>
        </w:tc>
      </w:tr>
      <w:tr w:rsidR="009809F9" w:rsidRPr="009809F9" w14:paraId="7A673A95" w14:textId="77777777" w:rsidTr="00384B13">
        <w:trPr>
          <w:trHeight w:val="600"/>
        </w:trPr>
        <w:tc>
          <w:tcPr>
            <w:tcW w:w="2976" w:type="pct"/>
            <w:gridSpan w:val="2"/>
            <w:tcBorders>
              <w:top w:val="nil"/>
              <w:left w:val="nil"/>
              <w:bottom w:val="nil"/>
              <w:right w:val="nil"/>
            </w:tcBorders>
            <w:shd w:val="clear" w:color="000000" w:fill="FFFFFF"/>
            <w:vAlign w:val="center"/>
            <w:hideMark/>
          </w:tcPr>
          <w:p w14:paraId="5ABB10D0"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Take up Option to Convert annual Pension into retirement Lump Sum (2015)</w:t>
            </w:r>
          </w:p>
        </w:tc>
        <w:tc>
          <w:tcPr>
            <w:tcW w:w="506" w:type="pct"/>
            <w:tcBorders>
              <w:top w:val="nil"/>
              <w:left w:val="single" w:sz="4" w:space="0" w:color="auto"/>
              <w:bottom w:val="nil"/>
              <w:right w:val="nil"/>
            </w:tcBorders>
            <w:shd w:val="clear" w:color="000000" w:fill="FFFFFF"/>
            <w:noWrap/>
            <w:vAlign w:val="center"/>
            <w:hideMark/>
          </w:tcPr>
          <w:p w14:paraId="5580E463"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4CC68839"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7764DFE0"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20</w:t>
            </w:r>
          </w:p>
        </w:tc>
        <w:tc>
          <w:tcPr>
            <w:tcW w:w="506" w:type="pct"/>
            <w:tcBorders>
              <w:top w:val="nil"/>
              <w:left w:val="nil"/>
              <w:bottom w:val="nil"/>
              <w:right w:val="nil"/>
            </w:tcBorders>
            <w:shd w:val="clear" w:color="000000" w:fill="CCECFF"/>
            <w:vAlign w:val="center"/>
            <w:hideMark/>
          </w:tcPr>
          <w:p w14:paraId="73ED872A"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20</w:t>
            </w:r>
          </w:p>
        </w:tc>
      </w:tr>
      <w:tr w:rsidR="009809F9" w:rsidRPr="009809F9" w14:paraId="7E583A95" w14:textId="77777777" w:rsidTr="00384B13">
        <w:trPr>
          <w:trHeight w:val="600"/>
        </w:trPr>
        <w:tc>
          <w:tcPr>
            <w:tcW w:w="2976" w:type="pct"/>
            <w:gridSpan w:val="2"/>
            <w:tcBorders>
              <w:top w:val="nil"/>
              <w:left w:val="nil"/>
              <w:bottom w:val="nil"/>
              <w:right w:val="nil"/>
            </w:tcBorders>
            <w:shd w:val="clear" w:color="000000" w:fill="FFFFFF"/>
            <w:vAlign w:val="center"/>
            <w:hideMark/>
          </w:tcPr>
          <w:p w14:paraId="653F6EB9"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Take up Option to Convert annual Pension into retirement Lump Sum (Mixed 1987 &amp; 2015)</w:t>
            </w:r>
          </w:p>
        </w:tc>
        <w:tc>
          <w:tcPr>
            <w:tcW w:w="506" w:type="pct"/>
            <w:tcBorders>
              <w:top w:val="nil"/>
              <w:left w:val="single" w:sz="4" w:space="0" w:color="auto"/>
              <w:bottom w:val="nil"/>
              <w:right w:val="nil"/>
            </w:tcBorders>
            <w:shd w:val="clear" w:color="000000" w:fill="FFFFFF"/>
            <w:noWrap/>
            <w:vAlign w:val="center"/>
            <w:hideMark/>
          </w:tcPr>
          <w:p w14:paraId="4D878E24"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6464DA3C"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0C1523DD"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25/12</w:t>
            </w:r>
          </w:p>
        </w:tc>
        <w:tc>
          <w:tcPr>
            <w:tcW w:w="506" w:type="pct"/>
            <w:tcBorders>
              <w:top w:val="nil"/>
              <w:left w:val="nil"/>
              <w:bottom w:val="nil"/>
              <w:right w:val="nil"/>
            </w:tcBorders>
            <w:shd w:val="clear" w:color="000000" w:fill="CCECFF"/>
            <w:vAlign w:val="center"/>
            <w:hideMark/>
          </w:tcPr>
          <w:p w14:paraId="220D96A0"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xml:space="preserve"> 25/12 </w:t>
            </w:r>
          </w:p>
        </w:tc>
      </w:tr>
      <w:tr w:rsidR="009809F9" w:rsidRPr="009809F9" w14:paraId="3A5917DC" w14:textId="77777777" w:rsidTr="00384B13">
        <w:trPr>
          <w:trHeight w:val="600"/>
        </w:trPr>
        <w:tc>
          <w:tcPr>
            <w:tcW w:w="2976" w:type="pct"/>
            <w:gridSpan w:val="2"/>
            <w:tcBorders>
              <w:top w:val="nil"/>
              <w:left w:val="nil"/>
              <w:bottom w:val="nil"/>
              <w:right w:val="nil"/>
            </w:tcBorders>
            <w:shd w:val="clear" w:color="000000" w:fill="FFFFFF"/>
            <w:vAlign w:val="center"/>
            <w:hideMark/>
          </w:tcPr>
          <w:p w14:paraId="19CC6AC1" w14:textId="77777777" w:rsidR="009809F9" w:rsidRPr="009809F9" w:rsidRDefault="009809F9" w:rsidP="009809F9">
            <w:pPr>
              <w:spacing w:after="0" w:line="240" w:lineRule="auto"/>
              <w:jc w:val="left"/>
              <w:rPr>
                <w:rFonts w:eastAsia="Times New Roman" w:cs="Calibri"/>
                <w:color w:val="000000"/>
                <w:sz w:val="18"/>
                <w:szCs w:val="18"/>
                <w:lang w:eastAsia="en-GB"/>
              </w:rPr>
            </w:pPr>
            <w:r w:rsidRPr="009809F9">
              <w:rPr>
                <w:rFonts w:eastAsia="Times New Roman" w:cs="Calibri"/>
                <w:color w:val="000000"/>
                <w:sz w:val="18"/>
                <w:szCs w:val="18"/>
                <w:lang w:eastAsia="en-GB"/>
              </w:rPr>
              <w:t>Take up Option to Convert annual Pension into retirement Lump Sum (Mixed 2006 &amp; 2015)</w:t>
            </w:r>
          </w:p>
        </w:tc>
        <w:tc>
          <w:tcPr>
            <w:tcW w:w="506" w:type="pct"/>
            <w:tcBorders>
              <w:top w:val="nil"/>
              <w:left w:val="single" w:sz="4" w:space="0" w:color="auto"/>
              <w:bottom w:val="nil"/>
              <w:right w:val="nil"/>
            </w:tcBorders>
            <w:shd w:val="clear" w:color="000000" w:fill="FFFFFF"/>
            <w:noWrap/>
            <w:vAlign w:val="center"/>
            <w:hideMark/>
          </w:tcPr>
          <w:p w14:paraId="52283512"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 </w:t>
            </w:r>
          </w:p>
        </w:tc>
        <w:tc>
          <w:tcPr>
            <w:tcW w:w="506" w:type="pct"/>
            <w:tcBorders>
              <w:top w:val="nil"/>
              <w:left w:val="nil"/>
              <w:bottom w:val="nil"/>
              <w:right w:val="nil"/>
            </w:tcBorders>
            <w:shd w:val="clear" w:color="000000" w:fill="CCECFF"/>
            <w:vAlign w:val="center"/>
            <w:hideMark/>
          </w:tcPr>
          <w:p w14:paraId="6B88CDE6"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w:t>
            </w:r>
          </w:p>
        </w:tc>
        <w:tc>
          <w:tcPr>
            <w:tcW w:w="506" w:type="pct"/>
            <w:tcBorders>
              <w:top w:val="nil"/>
              <w:left w:val="single" w:sz="4" w:space="0" w:color="auto"/>
              <w:bottom w:val="nil"/>
              <w:right w:val="nil"/>
            </w:tcBorders>
            <w:shd w:val="clear" w:color="000000" w:fill="FFFFFF"/>
            <w:noWrap/>
            <w:vAlign w:val="center"/>
            <w:hideMark/>
          </w:tcPr>
          <w:p w14:paraId="7A4FF300" w14:textId="77777777" w:rsidR="009809F9" w:rsidRPr="009809F9" w:rsidRDefault="009809F9" w:rsidP="009809F9">
            <w:pPr>
              <w:spacing w:after="0" w:line="240" w:lineRule="auto"/>
              <w:jc w:val="center"/>
              <w:rPr>
                <w:rFonts w:eastAsia="Times New Roman" w:cs="Calibri"/>
                <w:color w:val="000000"/>
                <w:sz w:val="18"/>
                <w:szCs w:val="18"/>
                <w:lang w:eastAsia="en-GB"/>
              </w:rPr>
            </w:pPr>
            <w:r w:rsidRPr="009809F9">
              <w:rPr>
                <w:rFonts w:eastAsia="Times New Roman" w:cs="Calibri"/>
                <w:color w:val="000000"/>
                <w:sz w:val="18"/>
                <w:szCs w:val="18"/>
                <w:lang w:eastAsia="en-GB"/>
              </w:rPr>
              <w:t>0/20</w:t>
            </w:r>
          </w:p>
        </w:tc>
        <w:tc>
          <w:tcPr>
            <w:tcW w:w="506" w:type="pct"/>
            <w:tcBorders>
              <w:top w:val="nil"/>
              <w:left w:val="nil"/>
              <w:bottom w:val="nil"/>
              <w:right w:val="nil"/>
            </w:tcBorders>
            <w:shd w:val="clear" w:color="000000" w:fill="CCECFF"/>
            <w:vAlign w:val="center"/>
            <w:hideMark/>
          </w:tcPr>
          <w:p w14:paraId="682A5057" w14:textId="77777777" w:rsidR="009809F9" w:rsidRPr="009809F9" w:rsidRDefault="009809F9" w:rsidP="009809F9">
            <w:pPr>
              <w:spacing w:after="0" w:line="240" w:lineRule="auto"/>
              <w:jc w:val="center"/>
              <w:rPr>
                <w:rFonts w:eastAsia="Times New Roman" w:cs="Calibri"/>
                <w:color w:val="auto"/>
                <w:sz w:val="18"/>
                <w:szCs w:val="18"/>
                <w:lang w:eastAsia="en-GB"/>
              </w:rPr>
            </w:pPr>
            <w:r w:rsidRPr="009809F9">
              <w:rPr>
                <w:rFonts w:eastAsia="Times New Roman" w:cs="Calibri"/>
                <w:color w:val="auto"/>
                <w:sz w:val="18"/>
                <w:szCs w:val="18"/>
                <w:lang w:eastAsia="en-GB"/>
              </w:rPr>
              <w:t xml:space="preserve"> 0/20 </w:t>
            </w:r>
          </w:p>
        </w:tc>
      </w:tr>
    </w:tbl>
    <w:p w14:paraId="0096EF4D" w14:textId="305C45A1" w:rsidR="005433C7" w:rsidRPr="00BF483A" w:rsidRDefault="005433C7" w:rsidP="003356AE">
      <w:pPr>
        <w:spacing w:line="240" w:lineRule="auto"/>
        <w:rPr>
          <w:rFonts w:eastAsia="Calibri"/>
          <w:sz w:val="16"/>
          <w:szCs w:val="16"/>
        </w:rPr>
      </w:pPr>
    </w:p>
    <w:p w14:paraId="43141042" w14:textId="77777777" w:rsidR="00D810FB" w:rsidRPr="00C1562C" w:rsidRDefault="00D810FB" w:rsidP="003356AE">
      <w:pPr>
        <w:spacing w:line="240" w:lineRule="auto"/>
        <w:rPr>
          <w:rFonts w:ascii="Verdana" w:eastAsia="Calibri" w:hAnsi="Verdana" w:cs="Arial"/>
          <w:sz w:val="4"/>
          <w:szCs w:val="4"/>
        </w:rPr>
      </w:pPr>
    </w:p>
    <w:p w14:paraId="73C09A7A" w14:textId="33F516F2" w:rsidR="003C09E9" w:rsidRDefault="003C09E9" w:rsidP="003356AE">
      <w:pPr>
        <w:spacing w:line="240" w:lineRule="auto"/>
      </w:pPr>
      <w:r w:rsidRPr="00673492">
        <w:t>Changes to the Local Government Pension Scheme permit employees retiring on or after 6 April 2006 to take an increase in their lump sum payment on retirement in exchange for a reduction in their future annual pension.  On the advice of our actuaries, we have assumed that 5</w:t>
      </w:r>
      <w:r w:rsidR="00033AA1">
        <w:t>5</w:t>
      </w:r>
      <w:r w:rsidRPr="00673492">
        <w:t xml:space="preserve">% of employees retiring will take advantage of this.  Our actuaries have advised that this </w:t>
      </w:r>
      <w:r>
        <w:t>will reduce the value of the O</w:t>
      </w:r>
      <w:r w:rsidRPr="00673492">
        <w:t>CC’s pension liabilities</w:t>
      </w:r>
      <w:r w:rsidR="00354E03">
        <w:t>,</w:t>
      </w:r>
      <w:r w:rsidRPr="00673492">
        <w:t xml:space="preserve"> and this has been included within Non-Distributed Costs on the face of the Income and Expenditure Account.</w:t>
      </w:r>
    </w:p>
    <w:p w14:paraId="1284C817" w14:textId="77777777" w:rsidR="009C5E03" w:rsidRPr="00C1562C" w:rsidRDefault="009C5E03" w:rsidP="003356AE">
      <w:pPr>
        <w:spacing w:line="240" w:lineRule="auto"/>
        <w:rPr>
          <w:sz w:val="16"/>
          <w:szCs w:val="20"/>
        </w:rPr>
      </w:pPr>
    </w:p>
    <w:p w14:paraId="676B80B1" w14:textId="5FD8643E" w:rsidR="005C4C3A" w:rsidRDefault="009C5E03" w:rsidP="003356AE">
      <w:pPr>
        <w:spacing w:line="240" w:lineRule="auto"/>
      </w:pPr>
      <w:r w:rsidRPr="009C5E03">
        <w:t>The sensitivity analys</w:t>
      </w:r>
      <w:r w:rsidR="00F96273">
        <w:t>i</w:t>
      </w:r>
      <w:r w:rsidRPr="009C5E03">
        <w:t xml:space="preserve">s below </w:t>
      </w:r>
      <w:r w:rsidR="00F96273" w:rsidRPr="009C5E03">
        <w:t>has</w:t>
      </w:r>
      <w:r w:rsidRPr="009C5E03">
        <w:t xml:space="preserve"> been determined based on reasonably possible changes of the assumptions occurring at the end of the reporting period and assumes for each change that the assumption analysed changes while all the other assumptions remain constant</w:t>
      </w:r>
      <w:r w:rsidR="00261A74" w:rsidRPr="009C5E03">
        <w:t xml:space="preserve">.  </w:t>
      </w:r>
      <w:r w:rsidRPr="009C5E03">
        <w:t>The assumptions in longevity, for example, assume that life expectancy increases or decreases for men and women</w:t>
      </w:r>
      <w:r w:rsidR="00261A74" w:rsidRPr="009C5E03">
        <w:t xml:space="preserve">.  </w:t>
      </w:r>
      <w:r w:rsidRPr="009C5E03">
        <w:t>In practice, this is unlikely to occur, and changes in some of the assumptions may be interrelated</w:t>
      </w:r>
      <w:r w:rsidR="00261A74" w:rsidRPr="009C5E03">
        <w:t xml:space="preserve">.  </w:t>
      </w:r>
      <w:r w:rsidRPr="009C5E03">
        <w:t>The estimations in the sensitivity analysis have followed the accounting policies for the scheme, i.e. on an actuarial basis using the projected unit credit method</w:t>
      </w:r>
      <w:r w:rsidR="00261A74" w:rsidRPr="009C5E03">
        <w:t xml:space="preserve">.  </w:t>
      </w:r>
      <w:r w:rsidRPr="009C5E03">
        <w:t>The methods and types of assumptions used in preparing the sensitivity analysis below did not change from those used in the previous period.</w:t>
      </w:r>
    </w:p>
    <w:p w14:paraId="62F116DD" w14:textId="043640B0" w:rsidR="004C739A" w:rsidRPr="00C1562C" w:rsidRDefault="004C739A" w:rsidP="003356AE">
      <w:pPr>
        <w:spacing w:line="240" w:lineRule="auto"/>
        <w:rPr>
          <w:rFonts w:asciiTheme="minorHAnsi" w:hAnsiTheme="minorHAnsi"/>
          <w:color w:val="auto"/>
          <w:sz w:val="14"/>
          <w:szCs w:val="14"/>
          <w:lang w:val="en-US"/>
        </w:rPr>
      </w:pPr>
    </w:p>
    <w:tbl>
      <w:tblPr>
        <w:tblW w:w="5000" w:type="pct"/>
        <w:tblLook w:val="04A0" w:firstRow="1" w:lastRow="0" w:firstColumn="1" w:lastColumn="0" w:noHBand="0" w:noVBand="1"/>
      </w:tblPr>
      <w:tblGrid>
        <w:gridCol w:w="5010"/>
        <w:gridCol w:w="1016"/>
        <w:gridCol w:w="1016"/>
        <w:gridCol w:w="1016"/>
        <w:gridCol w:w="1014"/>
      </w:tblGrid>
      <w:tr w:rsidR="00F95897" w:rsidRPr="00F95897" w14:paraId="2F929214" w14:textId="77777777" w:rsidTr="008871E9">
        <w:trPr>
          <w:trHeight w:val="227"/>
        </w:trPr>
        <w:tc>
          <w:tcPr>
            <w:tcW w:w="2761" w:type="pct"/>
            <w:tcBorders>
              <w:top w:val="nil"/>
              <w:left w:val="nil"/>
              <w:bottom w:val="nil"/>
              <w:right w:val="nil"/>
            </w:tcBorders>
            <w:shd w:val="clear" w:color="000000" w:fill="000099"/>
            <w:noWrap/>
            <w:vAlign w:val="center"/>
            <w:hideMark/>
          </w:tcPr>
          <w:p w14:paraId="6E049BC5"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Impact on Defined Benefit Obligation</w:t>
            </w:r>
          </w:p>
        </w:tc>
        <w:tc>
          <w:tcPr>
            <w:tcW w:w="560" w:type="pct"/>
            <w:tcBorders>
              <w:top w:val="nil"/>
              <w:left w:val="nil"/>
              <w:bottom w:val="nil"/>
              <w:right w:val="nil"/>
            </w:tcBorders>
            <w:shd w:val="clear" w:color="000000" w:fill="000099"/>
            <w:noWrap/>
            <w:vAlign w:val="center"/>
            <w:hideMark/>
          </w:tcPr>
          <w:p w14:paraId="41D8C808"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2024/25</w:t>
            </w:r>
          </w:p>
        </w:tc>
        <w:tc>
          <w:tcPr>
            <w:tcW w:w="560" w:type="pct"/>
            <w:tcBorders>
              <w:top w:val="nil"/>
              <w:left w:val="nil"/>
              <w:bottom w:val="nil"/>
              <w:right w:val="nil"/>
            </w:tcBorders>
            <w:shd w:val="clear" w:color="000000" w:fill="000099"/>
            <w:noWrap/>
            <w:vAlign w:val="center"/>
            <w:hideMark/>
          </w:tcPr>
          <w:p w14:paraId="347EB14D"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2025/26</w:t>
            </w:r>
          </w:p>
        </w:tc>
        <w:tc>
          <w:tcPr>
            <w:tcW w:w="560" w:type="pct"/>
            <w:tcBorders>
              <w:top w:val="nil"/>
              <w:left w:val="nil"/>
              <w:bottom w:val="nil"/>
              <w:right w:val="nil"/>
            </w:tcBorders>
            <w:shd w:val="clear" w:color="000000" w:fill="000099"/>
            <w:noWrap/>
            <w:vAlign w:val="center"/>
            <w:hideMark/>
          </w:tcPr>
          <w:p w14:paraId="7B649B01"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2024/25</w:t>
            </w:r>
          </w:p>
        </w:tc>
        <w:tc>
          <w:tcPr>
            <w:tcW w:w="560" w:type="pct"/>
            <w:tcBorders>
              <w:top w:val="nil"/>
              <w:left w:val="nil"/>
              <w:bottom w:val="nil"/>
              <w:right w:val="nil"/>
            </w:tcBorders>
            <w:shd w:val="clear" w:color="000000" w:fill="000099"/>
            <w:noWrap/>
            <w:vAlign w:val="center"/>
            <w:hideMark/>
          </w:tcPr>
          <w:p w14:paraId="5D9B72DE"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2025/26</w:t>
            </w:r>
          </w:p>
        </w:tc>
      </w:tr>
      <w:tr w:rsidR="00F95897" w:rsidRPr="00F95897" w14:paraId="426BB6FB" w14:textId="77777777" w:rsidTr="008871E9">
        <w:trPr>
          <w:trHeight w:val="227"/>
        </w:trPr>
        <w:tc>
          <w:tcPr>
            <w:tcW w:w="2761" w:type="pct"/>
            <w:tcBorders>
              <w:top w:val="nil"/>
              <w:left w:val="nil"/>
              <w:bottom w:val="nil"/>
              <w:right w:val="nil"/>
            </w:tcBorders>
            <w:shd w:val="clear" w:color="000000" w:fill="000099"/>
            <w:noWrap/>
            <w:vAlign w:val="center"/>
            <w:hideMark/>
          </w:tcPr>
          <w:p w14:paraId="24FAE488"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 </w:t>
            </w:r>
          </w:p>
        </w:tc>
        <w:tc>
          <w:tcPr>
            <w:tcW w:w="1119" w:type="pct"/>
            <w:gridSpan w:val="2"/>
            <w:vMerge w:val="restart"/>
            <w:tcBorders>
              <w:top w:val="nil"/>
              <w:left w:val="nil"/>
              <w:bottom w:val="nil"/>
              <w:right w:val="nil"/>
            </w:tcBorders>
            <w:shd w:val="clear" w:color="000000" w:fill="000099"/>
            <w:vAlign w:val="center"/>
            <w:hideMark/>
          </w:tcPr>
          <w:p w14:paraId="481DF206"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Local Government</w:t>
            </w:r>
            <w:r w:rsidRPr="00F95897">
              <w:rPr>
                <w:rFonts w:eastAsia="Times New Roman" w:cs="Calibri"/>
                <w:color w:val="FFFFFF"/>
                <w:sz w:val="16"/>
                <w:szCs w:val="16"/>
                <w:lang w:eastAsia="en-GB"/>
              </w:rPr>
              <w:br/>
              <w:t>Pension Scheme</w:t>
            </w:r>
          </w:p>
        </w:tc>
        <w:tc>
          <w:tcPr>
            <w:tcW w:w="1119" w:type="pct"/>
            <w:gridSpan w:val="2"/>
            <w:vMerge w:val="restart"/>
            <w:tcBorders>
              <w:top w:val="nil"/>
              <w:left w:val="nil"/>
              <w:bottom w:val="nil"/>
              <w:right w:val="nil"/>
            </w:tcBorders>
            <w:shd w:val="clear" w:color="000000" w:fill="000099"/>
            <w:noWrap/>
            <w:vAlign w:val="center"/>
            <w:hideMark/>
          </w:tcPr>
          <w:p w14:paraId="3FDAA7FF"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Police</w:t>
            </w:r>
            <w:r w:rsidRPr="00F95897">
              <w:rPr>
                <w:rFonts w:eastAsia="Times New Roman" w:cs="Calibri"/>
                <w:color w:val="FFFFFF"/>
                <w:sz w:val="16"/>
                <w:szCs w:val="16"/>
                <w:lang w:eastAsia="en-GB"/>
              </w:rPr>
              <w:br/>
              <w:t>Pension Scheme</w:t>
            </w:r>
          </w:p>
        </w:tc>
      </w:tr>
      <w:tr w:rsidR="00F95897" w:rsidRPr="00F95897" w14:paraId="4143F929" w14:textId="77777777" w:rsidTr="008871E9">
        <w:trPr>
          <w:trHeight w:val="227"/>
        </w:trPr>
        <w:tc>
          <w:tcPr>
            <w:tcW w:w="2761" w:type="pct"/>
            <w:tcBorders>
              <w:top w:val="nil"/>
              <w:left w:val="nil"/>
              <w:bottom w:val="nil"/>
              <w:right w:val="nil"/>
            </w:tcBorders>
            <w:shd w:val="clear" w:color="000000" w:fill="000099"/>
            <w:noWrap/>
            <w:vAlign w:val="center"/>
            <w:hideMark/>
          </w:tcPr>
          <w:p w14:paraId="395790C1"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Increase/Decrease in assumption</w:t>
            </w:r>
          </w:p>
        </w:tc>
        <w:tc>
          <w:tcPr>
            <w:tcW w:w="1119" w:type="pct"/>
            <w:gridSpan w:val="2"/>
            <w:vMerge/>
            <w:tcBorders>
              <w:top w:val="nil"/>
              <w:left w:val="nil"/>
              <w:bottom w:val="nil"/>
              <w:right w:val="nil"/>
            </w:tcBorders>
            <w:vAlign w:val="center"/>
            <w:hideMark/>
          </w:tcPr>
          <w:p w14:paraId="6F590038" w14:textId="77777777" w:rsidR="00F95897" w:rsidRPr="00F95897" w:rsidRDefault="00F95897" w:rsidP="00F95897">
            <w:pPr>
              <w:spacing w:after="0" w:line="240" w:lineRule="auto"/>
              <w:jc w:val="left"/>
              <w:rPr>
                <w:rFonts w:eastAsia="Times New Roman" w:cs="Calibri"/>
                <w:color w:val="FFFFFF"/>
                <w:sz w:val="16"/>
                <w:szCs w:val="16"/>
                <w:lang w:eastAsia="en-GB"/>
              </w:rPr>
            </w:pPr>
          </w:p>
        </w:tc>
        <w:tc>
          <w:tcPr>
            <w:tcW w:w="1119" w:type="pct"/>
            <w:gridSpan w:val="2"/>
            <w:vMerge/>
            <w:tcBorders>
              <w:top w:val="nil"/>
              <w:left w:val="nil"/>
              <w:bottom w:val="nil"/>
              <w:right w:val="nil"/>
            </w:tcBorders>
            <w:vAlign w:val="center"/>
            <w:hideMark/>
          </w:tcPr>
          <w:p w14:paraId="446A68D1" w14:textId="77777777" w:rsidR="00F95897" w:rsidRPr="00F95897" w:rsidRDefault="00F95897" w:rsidP="00F95897">
            <w:pPr>
              <w:spacing w:after="0" w:line="240" w:lineRule="auto"/>
              <w:jc w:val="left"/>
              <w:rPr>
                <w:rFonts w:eastAsia="Times New Roman" w:cs="Calibri"/>
                <w:color w:val="FFFFFF"/>
                <w:sz w:val="16"/>
                <w:szCs w:val="16"/>
                <w:lang w:eastAsia="en-GB"/>
              </w:rPr>
            </w:pPr>
          </w:p>
        </w:tc>
      </w:tr>
      <w:tr w:rsidR="00F95897" w:rsidRPr="00F95897" w14:paraId="342F2182" w14:textId="77777777" w:rsidTr="008871E9">
        <w:trPr>
          <w:trHeight w:val="227"/>
        </w:trPr>
        <w:tc>
          <w:tcPr>
            <w:tcW w:w="2761" w:type="pct"/>
            <w:tcBorders>
              <w:top w:val="nil"/>
              <w:left w:val="nil"/>
              <w:bottom w:val="nil"/>
              <w:right w:val="nil"/>
            </w:tcBorders>
            <w:shd w:val="clear" w:color="000000" w:fill="000099"/>
            <w:noWrap/>
            <w:vAlign w:val="center"/>
            <w:hideMark/>
          </w:tcPr>
          <w:p w14:paraId="67BA6E90" w14:textId="77777777" w:rsidR="00F95897" w:rsidRPr="00F95897" w:rsidRDefault="00F95897" w:rsidP="00F95897">
            <w:pPr>
              <w:spacing w:after="0" w:line="240" w:lineRule="auto"/>
              <w:jc w:val="left"/>
              <w:rPr>
                <w:rFonts w:eastAsia="Times New Roman" w:cs="Calibri"/>
                <w:color w:val="FFFFFF"/>
                <w:sz w:val="16"/>
                <w:szCs w:val="16"/>
                <w:lang w:eastAsia="en-GB"/>
              </w:rPr>
            </w:pPr>
            <w:r w:rsidRPr="00F95897">
              <w:rPr>
                <w:rFonts w:eastAsia="Times New Roman" w:cs="Calibri"/>
                <w:color w:val="FFFFFF"/>
                <w:sz w:val="16"/>
                <w:szCs w:val="16"/>
                <w:lang w:eastAsia="en-GB"/>
              </w:rPr>
              <w:t> </w:t>
            </w:r>
          </w:p>
        </w:tc>
        <w:tc>
          <w:tcPr>
            <w:tcW w:w="560" w:type="pct"/>
            <w:tcBorders>
              <w:top w:val="nil"/>
              <w:left w:val="nil"/>
              <w:bottom w:val="nil"/>
              <w:right w:val="nil"/>
            </w:tcBorders>
            <w:shd w:val="clear" w:color="000000" w:fill="000099"/>
            <w:noWrap/>
            <w:vAlign w:val="center"/>
            <w:hideMark/>
          </w:tcPr>
          <w:p w14:paraId="76306DE4"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w:t>
            </w:r>
          </w:p>
        </w:tc>
        <w:tc>
          <w:tcPr>
            <w:tcW w:w="560" w:type="pct"/>
            <w:tcBorders>
              <w:top w:val="nil"/>
              <w:left w:val="nil"/>
              <w:bottom w:val="nil"/>
              <w:right w:val="nil"/>
            </w:tcBorders>
            <w:shd w:val="clear" w:color="000000" w:fill="000099"/>
            <w:noWrap/>
            <w:vAlign w:val="center"/>
            <w:hideMark/>
          </w:tcPr>
          <w:p w14:paraId="3AF4AD07"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w:t>
            </w:r>
          </w:p>
        </w:tc>
        <w:tc>
          <w:tcPr>
            <w:tcW w:w="560" w:type="pct"/>
            <w:tcBorders>
              <w:top w:val="nil"/>
              <w:left w:val="nil"/>
              <w:bottom w:val="nil"/>
              <w:right w:val="nil"/>
            </w:tcBorders>
            <w:shd w:val="clear" w:color="000000" w:fill="000099"/>
            <w:noWrap/>
            <w:vAlign w:val="center"/>
            <w:hideMark/>
          </w:tcPr>
          <w:p w14:paraId="579EC048"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w:t>
            </w:r>
          </w:p>
        </w:tc>
        <w:tc>
          <w:tcPr>
            <w:tcW w:w="560" w:type="pct"/>
            <w:tcBorders>
              <w:top w:val="nil"/>
              <w:left w:val="nil"/>
              <w:bottom w:val="nil"/>
              <w:right w:val="nil"/>
            </w:tcBorders>
            <w:shd w:val="clear" w:color="000000" w:fill="000099"/>
            <w:noWrap/>
            <w:vAlign w:val="center"/>
            <w:hideMark/>
          </w:tcPr>
          <w:p w14:paraId="004362BA" w14:textId="77777777" w:rsidR="00F95897" w:rsidRPr="00F95897" w:rsidRDefault="00F95897" w:rsidP="00F95897">
            <w:pPr>
              <w:spacing w:after="0" w:line="240" w:lineRule="auto"/>
              <w:jc w:val="center"/>
              <w:rPr>
                <w:rFonts w:eastAsia="Times New Roman" w:cs="Calibri"/>
                <w:color w:val="FFFFFF"/>
                <w:sz w:val="16"/>
                <w:szCs w:val="16"/>
                <w:lang w:eastAsia="en-GB"/>
              </w:rPr>
            </w:pPr>
            <w:r w:rsidRPr="00F95897">
              <w:rPr>
                <w:rFonts w:eastAsia="Times New Roman" w:cs="Calibri"/>
                <w:color w:val="FFFFFF"/>
                <w:sz w:val="16"/>
                <w:szCs w:val="16"/>
                <w:lang w:eastAsia="en-GB"/>
              </w:rPr>
              <w:t>%</w:t>
            </w:r>
          </w:p>
        </w:tc>
      </w:tr>
      <w:tr w:rsidR="00F95897" w:rsidRPr="00F95897" w14:paraId="7E6CFD58" w14:textId="77777777" w:rsidTr="008871E9">
        <w:trPr>
          <w:trHeight w:val="227"/>
        </w:trPr>
        <w:tc>
          <w:tcPr>
            <w:tcW w:w="2761" w:type="pct"/>
            <w:tcBorders>
              <w:top w:val="single" w:sz="4" w:space="0" w:color="auto"/>
              <w:left w:val="nil"/>
              <w:bottom w:val="nil"/>
              <w:right w:val="single" w:sz="4" w:space="0" w:color="auto"/>
            </w:tcBorders>
            <w:shd w:val="clear" w:color="000000" w:fill="FFFFFF"/>
            <w:vAlign w:val="center"/>
            <w:hideMark/>
          </w:tcPr>
          <w:p w14:paraId="0F254AF4" w14:textId="77777777" w:rsidR="00F95897" w:rsidRPr="00F95897" w:rsidRDefault="00F95897" w:rsidP="00F95897">
            <w:pPr>
              <w:spacing w:after="0" w:line="240" w:lineRule="auto"/>
              <w:jc w:val="left"/>
              <w:rPr>
                <w:rFonts w:eastAsia="Times New Roman" w:cs="Calibri"/>
                <w:color w:val="000000"/>
                <w:sz w:val="16"/>
                <w:szCs w:val="16"/>
                <w:lang w:eastAsia="en-GB"/>
              </w:rPr>
            </w:pPr>
            <w:r w:rsidRPr="00F95897">
              <w:rPr>
                <w:rFonts w:eastAsia="Times New Roman" w:cs="Calibri"/>
                <w:color w:val="000000"/>
                <w:sz w:val="16"/>
                <w:szCs w:val="16"/>
                <w:lang w:eastAsia="en-GB"/>
              </w:rPr>
              <w:t>Longevity (increase in 1 year)</w:t>
            </w:r>
          </w:p>
        </w:tc>
        <w:tc>
          <w:tcPr>
            <w:tcW w:w="560" w:type="pct"/>
            <w:tcBorders>
              <w:top w:val="single" w:sz="4" w:space="0" w:color="auto"/>
              <w:left w:val="nil"/>
              <w:bottom w:val="nil"/>
              <w:right w:val="nil"/>
            </w:tcBorders>
            <w:shd w:val="clear" w:color="000000" w:fill="FFFFFF"/>
            <w:noWrap/>
            <w:vAlign w:val="bottom"/>
            <w:hideMark/>
          </w:tcPr>
          <w:p w14:paraId="24B92286"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4%</w:t>
            </w:r>
          </w:p>
        </w:tc>
        <w:tc>
          <w:tcPr>
            <w:tcW w:w="560" w:type="pct"/>
            <w:tcBorders>
              <w:top w:val="nil"/>
              <w:left w:val="nil"/>
              <w:bottom w:val="nil"/>
              <w:right w:val="nil"/>
            </w:tcBorders>
            <w:shd w:val="clear" w:color="000000" w:fill="CCECFF"/>
            <w:noWrap/>
            <w:vAlign w:val="bottom"/>
            <w:hideMark/>
          </w:tcPr>
          <w:p w14:paraId="6D6E24C7"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4%</w:t>
            </w:r>
          </w:p>
        </w:tc>
        <w:tc>
          <w:tcPr>
            <w:tcW w:w="560" w:type="pct"/>
            <w:tcBorders>
              <w:top w:val="nil"/>
              <w:left w:val="nil"/>
              <w:bottom w:val="nil"/>
              <w:right w:val="nil"/>
            </w:tcBorders>
            <w:shd w:val="clear" w:color="000000" w:fill="FFFFFF"/>
            <w:noWrap/>
            <w:vAlign w:val="bottom"/>
            <w:hideMark/>
          </w:tcPr>
          <w:p w14:paraId="3585C5AD"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2.5%</w:t>
            </w:r>
          </w:p>
        </w:tc>
        <w:tc>
          <w:tcPr>
            <w:tcW w:w="560" w:type="pct"/>
            <w:tcBorders>
              <w:top w:val="nil"/>
              <w:left w:val="nil"/>
              <w:bottom w:val="nil"/>
              <w:right w:val="nil"/>
            </w:tcBorders>
            <w:shd w:val="clear" w:color="000000" w:fill="CCECFF"/>
            <w:noWrap/>
            <w:vAlign w:val="bottom"/>
            <w:hideMark/>
          </w:tcPr>
          <w:p w14:paraId="67FD6087"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2.5%</w:t>
            </w:r>
          </w:p>
        </w:tc>
      </w:tr>
      <w:tr w:rsidR="00F95897" w:rsidRPr="00F95897" w14:paraId="37A23B24" w14:textId="77777777" w:rsidTr="008871E9">
        <w:trPr>
          <w:trHeight w:val="227"/>
        </w:trPr>
        <w:tc>
          <w:tcPr>
            <w:tcW w:w="2761" w:type="pct"/>
            <w:tcBorders>
              <w:top w:val="nil"/>
              <w:left w:val="nil"/>
              <w:bottom w:val="nil"/>
              <w:right w:val="single" w:sz="4" w:space="0" w:color="auto"/>
            </w:tcBorders>
            <w:shd w:val="clear" w:color="000000" w:fill="FFFFFF"/>
            <w:vAlign w:val="center"/>
            <w:hideMark/>
          </w:tcPr>
          <w:p w14:paraId="36402529" w14:textId="77777777" w:rsidR="00F95897" w:rsidRPr="00F95897" w:rsidRDefault="00F95897" w:rsidP="00F95897">
            <w:pPr>
              <w:spacing w:after="0" w:line="240" w:lineRule="auto"/>
              <w:jc w:val="left"/>
              <w:rPr>
                <w:rFonts w:eastAsia="Times New Roman" w:cs="Calibri"/>
                <w:color w:val="000000"/>
                <w:sz w:val="16"/>
                <w:szCs w:val="16"/>
                <w:lang w:eastAsia="en-GB"/>
              </w:rPr>
            </w:pPr>
            <w:r w:rsidRPr="00F95897">
              <w:rPr>
                <w:rFonts w:eastAsia="Times New Roman" w:cs="Calibri"/>
                <w:color w:val="000000"/>
                <w:sz w:val="16"/>
                <w:szCs w:val="16"/>
                <w:lang w:eastAsia="en-GB"/>
              </w:rPr>
              <w:t>Rate of increase in salaries (0.1% increase)</w:t>
            </w:r>
          </w:p>
        </w:tc>
        <w:tc>
          <w:tcPr>
            <w:tcW w:w="560" w:type="pct"/>
            <w:tcBorders>
              <w:top w:val="nil"/>
              <w:left w:val="nil"/>
              <w:bottom w:val="nil"/>
              <w:right w:val="nil"/>
            </w:tcBorders>
            <w:shd w:val="clear" w:color="000000" w:fill="FFFFFF"/>
            <w:noWrap/>
            <w:vAlign w:val="bottom"/>
            <w:hideMark/>
          </w:tcPr>
          <w:p w14:paraId="55DE6A0A"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0%</w:t>
            </w:r>
          </w:p>
        </w:tc>
        <w:tc>
          <w:tcPr>
            <w:tcW w:w="560" w:type="pct"/>
            <w:tcBorders>
              <w:top w:val="nil"/>
              <w:left w:val="nil"/>
              <w:bottom w:val="nil"/>
              <w:right w:val="nil"/>
            </w:tcBorders>
            <w:shd w:val="clear" w:color="000000" w:fill="CCECFF"/>
            <w:noWrap/>
            <w:vAlign w:val="bottom"/>
            <w:hideMark/>
          </w:tcPr>
          <w:p w14:paraId="5096DACC"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0%</w:t>
            </w:r>
          </w:p>
        </w:tc>
        <w:tc>
          <w:tcPr>
            <w:tcW w:w="560" w:type="pct"/>
            <w:tcBorders>
              <w:top w:val="nil"/>
              <w:left w:val="nil"/>
              <w:bottom w:val="nil"/>
              <w:right w:val="nil"/>
            </w:tcBorders>
            <w:shd w:val="clear" w:color="000000" w:fill="FFFFFF"/>
            <w:noWrap/>
            <w:vAlign w:val="bottom"/>
            <w:hideMark/>
          </w:tcPr>
          <w:p w14:paraId="4654A3CB" w14:textId="0B86FC08"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0.</w:t>
            </w:r>
            <w:r w:rsidR="00B833C3">
              <w:rPr>
                <w:rFonts w:eastAsia="Times New Roman" w:cs="Calibri"/>
                <w:color w:val="000000"/>
                <w:sz w:val="16"/>
                <w:szCs w:val="16"/>
                <w:lang w:eastAsia="en-GB"/>
              </w:rPr>
              <w:t>1</w:t>
            </w:r>
            <w:r w:rsidRPr="00F95897">
              <w:rPr>
                <w:rFonts w:eastAsia="Times New Roman" w:cs="Calibri"/>
                <w:color w:val="000000"/>
                <w:sz w:val="16"/>
                <w:szCs w:val="16"/>
                <w:lang w:eastAsia="en-GB"/>
              </w:rPr>
              <w:t>%</w:t>
            </w:r>
          </w:p>
        </w:tc>
        <w:tc>
          <w:tcPr>
            <w:tcW w:w="560" w:type="pct"/>
            <w:tcBorders>
              <w:top w:val="nil"/>
              <w:left w:val="nil"/>
              <w:bottom w:val="nil"/>
              <w:right w:val="nil"/>
            </w:tcBorders>
            <w:shd w:val="clear" w:color="000000" w:fill="CCECFF"/>
            <w:noWrap/>
            <w:vAlign w:val="bottom"/>
            <w:hideMark/>
          </w:tcPr>
          <w:p w14:paraId="381C7ADD"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0.2%</w:t>
            </w:r>
          </w:p>
        </w:tc>
      </w:tr>
      <w:tr w:rsidR="00F95897" w:rsidRPr="00F95897" w14:paraId="515026A1" w14:textId="77777777" w:rsidTr="008871E9">
        <w:trPr>
          <w:trHeight w:val="227"/>
        </w:trPr>
        <w:tc>
          <w:tcPr>
            <w:tcW w:w="2761" w:type="pct"/>
            <w:tcBorders>
              <w:top w:val="nil"/>
              <w:left w:val="nil"/>
              <w:bottom w:val="nil"/>
              <w:right w:val="single" w:sz="4" w:space="0" w:color="auto"/>
            </w:tcBorders>
            <w:shd w:val="clear" w:color="000000" w:fill="FFFFFF"/>
            <w:vAlign w:val="center"/>
            <w:hideMark/>
          </w:tcPr>
          <w:p w14:paraId="65C39929" w14:textId="77777777" w:rsidR="00F95897" w:rsidRPr="00F95897" w:rsidRDefault="00F95897" w:rsidP="00F95897">
            <w:pPr>
              <w:spacing w:after="0" w:line="240" w:lineRule="auto"/>
              <w:jc w:val="left"/>
              <w:rPr>
                <w:rFonts w:eastAsia="Times New Roman" w:cs="Calibri"/>
                <w:color w:val="000000"/>
                <w:sz w:val="16"/>
                <w:szCs w:val="16"/>
                <w:lang w:eastAsia="en-GB"/>
              </w:rPr>
            </w:pPr>
            <w:r w:rsidRPr="00F95897">
              <w:rPr>
                <w:rFonts w:eastAsia="Times New Roman" w:cs="Calibri"/>
                <w:color w:val="000000"/>
                <w:sz w:val="16"/>
                <w:szCs w:val="16"/>
                <w:lang w:eastAsia="en-GB"/>
              </w:rPr>
              <w:t>Rate of increase in pensions (0.1% increase)</w:t>
            </w:r>
          </w:p>
        </w:tc>
        <w:tc>
          <w:tcPr>
            <w:tcW w:w="560" w:type="pct"/>
            <w:tcBorders>
              <w:top w:val="nil"/>
              <w:left w:val="nil"/>
              <w:bottom w:val="nil"/>
              <w:right w:val="nil"/>
            </w:tcBorders>
            <w:shd w:val="clear" w:color="000000" w:fill="FFFFFF"/>
            <w:noWrap/>
            <w:vAlign w:val="bottom"/>
            <w:hideMark/>
          </w:tcPr>
          <w:p w14:paraId="1BD7A5DE"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2%</w:t>
            </w:r>
          </w:p>
        </w:tc>
        <w:tc>
          <w:tcPr>
            <w:tcW w:w="560" w:type="pct"/>
            <w:tcBorders>
              <w:top w:val="nil"/>
              <w:left w:val="nil"/>
              <w:bottom w:val="nil"/>
              <w:right w:val="nil"/>
            </w:tcBorders>
            <w:shd w:val="clear" w:color="000000" w:fill="CCECFF"/>
            <w:noWrap/>
            <w:vAlign w:val="bottom"/>
            <w:hideMark/>
          </w:tcPr>
          <w:p w14:paraId="3B0305AC"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2%</w:t>
            </w:r>
          </w:p>
        </w:tc>
        <w:tc>
          <w:tcPr>
            <w:tcW w:w="560" w:type="pct"/>
            <w:tcBorders>
              <w:top w:val="nil"/>
              <w:left w:val="nil"/>
              <w:bottom w:val="nil"/>
              <w:right w:val="nil"/>
            </w:tcBorders>
            <w:shd w:val="clear" w:color="000000" w:fill="FFFFFF"/>
            <w:noWrap/>
            <w:vAlign w:val="bottom"/>
            <w:hideMark/>
          </w:tcPr>
          <w:p w14:paraId="7DFD7105" w14:textId="39A15C46"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1.</w:t>
            </w:r>
            <w:r w:rsidR="00B833C3">
              <w:rPr>
                <w:rFonts w:eastAsia="Times New Roman" w:cs="Calibri"/>
                <w:color w:val="000000"/>
                <w:sz w:val="16"/>
                <w:szCs w:val="16"/>
                <w:lang w:eastAsia="en-GB"/>
              </w:rPr>
              <w:t>5</w:t>
            </w:r>
            <w:r w:rsidRPr="00F95897">
              <w:rPr>
                <w:rFonts w:eastAsia="Times New Roman" w:cs="Calibri"/>
                <w:color w:val="000000"/>
                <w:sz w:val="16"/>
                <w:szCs w:val="16"/>
                <w:lang w:eastAsia="en-GB"/>
              </w:rPr>
              <w:t>%</w:t>
            </w:r>
          </w:p>
        </w:tc>
        <w:tc>
          <w:tcPr>
            <w:tcW w:w="560" w:type="pct"/>
            <w:tcBorders>
              <w:top w:val="nil"/>
              <w:left w:val="nil"/>
              <w:bottom w:val="nil"/>
              <w:right w:val="nil"/>
            </w:tcBorders>
            <w:shd w:val="clear" w:color="000000" w:fill="CCECFF"/>
            <w:noWrap/>
            <w:vAlign w:val="bottom"/>
            <w:hideMark/>
          </w:tcPr>
          <w:p w14:paraId="7EE5CF57"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1.4%</w:t>
            </w:r>
          </w:p>
        </w:tc>
      </w:tr>
      <w:tr w:rsidR="00F95897" w:rsidRPr="00F95897" w14:paraId="52043DA6" w14:textId="77777777" w:rsidTr="008871E9">
        <w:trPr>
          <w:trHeight w:val="227"/>
        </w:trPr>
        <w:tc>
          <w:tcPr>
            <w:tcW w:w="2761" w:type="pct"/>
            <w:tcBorders>
              <w:top w:val="nil"/>
              <w:left w:val="nil"/>
              <w:bottom w:val="single" w:sz="4" w:space="0" w:color="auto"/>
              <w:right w:val="single" w:sz="4" w:space="0" w:color="auto"/>
            </w:tcBorders>
            <w:shd w:val="clear" w:color="000000" w:fill="FFFFFF"/>
            <w:vAlign w:val="center"/>
            <w:hideMark/>
          </w:tcPr>
          <w:p w14:paraId="0AE6C93B" w14:textId="77777777" w:rsidR="00F95897" w:rsidRPr="00F95897" w:rsidRDefault="00F95897" w:rsidP="00F95897">
            <w:pPr>
              <w:spacing w:after="0" w:line="240" w:lineRule="auto"/>
              <w:jc w:val="left"/>
              <w:rPr>
                <w:rFonts w:eastAsia="Times New Roman" w:cs="Calibri"/>
                <w:color w:val="000000"/>
                <w:sz w:val="16"/>
                <w:szCs w:val="16"/>
                <w:lang w:eastAsia="en-GB"/>
              </w:rPr>
            </w:pPr>
            <w:r w:rsidRPr="00F95897">
              <w:rPr>
                <w:rFonts w:eastAsia="Times New Roman" w:cs="Calibri"/>
                <w:color w:val="000000"/>
                <w:sz w:val="16"/>
                <w:szCs w:val="16"/>
                <w:lang w:eastAsia="en-GB"/>
              </w:rPr>
              <w:t>Rate for discounting Scheme liabilities (0.1% decrease)</w:t>
            </w:r>
          </w:p>
        </w:tc>
        <w:tc>
          <w:tcPr>
            <w:tcW w:w="560" w:type="pct"/>
            <w:tcBorders>
              <w:top w:val="nil"/>
              <w:left w:val="nil"/>
              <w:bottom w:val="single" w:sz="4" w:space="0" w:color="auto"/>
              <w:right w:val="nil"/>
            </w:tcBorders>
            <w:shd w:val="clear" w:color="000000" w:fill="FFFFFF"/>
            <w:noWrap/>
            <w:vAlign w:val="bottom"/>
            <w:hideMark/>
          </w:tcPr>
          <w:p w14:paraId="52C28EA2"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2%</w:t>
            </w:r>
          </w:p>
        </w:tc>
        <w:tc>
          <w:tcPr>
            <w:tcW w:w="560" w:type="pct"/>
            <w:tcBorders>
              <w:top w:val="nil"/>
              <w:left w:val="nil"/>
              <w:bottom w:val="single" w:sz="4" w:space="0" w:color="auto"/>
              <w:right w:val="nil"/>
            </w:tcBorders>
            <w:shd w:val="clear" w:color="000000" w:fill="CCECFF"/>
            <w:noWrap/>
            <w:vAlign w:val="bottom"/>
            <w:hideMark/>
          </w:tcPr>
          <w:p w14:paraId="0CE6D185"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2%</w:t>
            </w:r>
          </w:p>
        </w:tc>
        <w:tc>
          <w:tcPr>
            <w:tcW w:w="560" w:type="pct"/>
            <w:tcBorders>
              <w:top w:val="nil"/>
              <w:left w:val="nil"/>
              <w:bottom w:val="single" w:sz="4" w:space="0" w:color="auto"/>
              <w:right w:val="nil"/>
            </w:tcBorders>
            <w:shd w:val="clear" w:color="000000" w:fill="FFFFFF"/>
            <w:noWrap/>
            <w:vAlign w:val="bottom"/>
            <w:hideMark/>
          </w:tcPr>
          <w:p w14:paraId="0E0087AD" w14:textId="24684ABD" w:rsidR="00F95897" w:rsidRPr="00F95897" w:rsidRDefault="000A5A16" w:rsidP="00F95897">
            <w:pPr>
              <w:spacing w:after="0" w:line="240" w:lineRule="auto"/>
              <w:jc w:val="right"/>
              <w:rPr>
                <w:rFonts w:eastAsia="Times New Roman" w:cs="Calibri"/>
                <w:color w:val="000000"/>
                <w:sz w:val="16"/>
                <w:szCs w:val="16"/>
                <w:lang w:eastAsia="en-GB"/>
              </w:rPr>
            </w:pPr>
            <w:r>
              <w:rPr>
                <w:rFonts w:eastAsia="Times New Roman" w:cs="Calibri"/>
                <w:color w:val="000000"/>
                <w:sz w:val="16"/>
                <w:szCs w:val="16"/>
                <w:lang w:eastAsia="en-GB"/>
              </w:rPr>
              <w:t>(</w:t>
            </w:r>
            <w:r w:rsidR="00F95897" w:rsidRPr="00F95897">
              <w:rPr>
                <w:rFonts w:eastAsia="Times New Roman" w:cs="Calibri"/>
                <w:color w:val="000000"/>
                <w:sz w:val="16"/>
                <w:szCs w:val="16"/>
                <w:lang w:eastAsia="en-GB"/>
              </w:rPr>
              <w:t>1.</w:t>
            </w:r>
            <w:r w:rsidR="00B833C3">
              <w:rPr>
                <w:rFonts w:eastAsia="Times New Roman" w:cs="Calibri"/>
                <w:color w:val="000000"/>
                <w:sz w:val="16"/>
                <w:szCs w:val="16"/>
                <w:lang w:eastAsia="en-GB"/>
              </w:rPr>
              <w:t>5</w:t>
            </w:r>
            <w:r w:rsidR="00F95897" w:rsidRPr="00F95897">
              <w:rPr>
                <w:rFonts w:eastAsia="Times New Roman" w:cs="Calibri"/>
                <w:color w:val="000000"/>
                <w:sz w:val="16"/>
                <w:szCs w:val="16"/>
                <w:lang w:eastAsia="en-GB"/>
              </w:rPr>
              <w:t>%</w:t>
            </w:r>
            <w:r>
              <w:rPr>
                <w:rFonts w:eastAsia="Times New Roman" w:cs="Calibri"/>
                <w:color w:val="000000"/>
                <w:sz w:val="16"/>
                <w:szCs w:val="16"/>
                <w:lang w:eastAsia="en-GB"/>
              </w:rPr>
              <w:t>)</w:t>
            </w:r>
          </w:p>
        </w:tc>
        <w:tc>
          <w:tcPr>
            <w:tcW w:w="560" w:type="pct"/>
            <w:tcBorders>
              <w:top w:val="nil"/>
              <w:left w:val="nil"/>
              <w:bottom w:val="single" w:sz="4" w:space="0" w:color="auto"/>
              <w:right w:val="nil"/>
            </w:tcBorders>
            <w:shd w:val="clear" w:color="000000" w:fill="CCECFF"/>
            <w:noWrap/>
            <w:vAlign w:val="bottom"/>
            <w:hideMark/>
          </w:tcPr>
          <w:p w14:paraId="4561BFB4" w14:textId="77777777" w:rsidR="00F95897" w:rsidRPr="00F95897" w:rsidRDefault="00F95897" w:rsidP="00F95897">
            <w:pPr>
              <w:spacing w:after="0" w:line="240" w:lineRule="auto"/>
              <w:jc w:val="right"/>
              <w:rPr>
                <w:rFonts w:eastAsia="Times New Roman" w:cs="Calibri"/>
                <w:color w:val="000000"/>
                <w:sz w:val="16"/>
                <w:szCs w:val="16"/>
                <w:lang w:eastAsia="en-GB"/>
              </w:rPr>
            </w:pPr>
            <w:r w:rsidRPr="00F95897">
              <w:rPr>
                <w:rFonts w:eastAsia="Times New Roman" w:cs="Calibri"/>
                <w:color w:val="000000"/>
                <w:sz w:val="16"/>
                <w:szCs w:val="16"/>
                <w:lang w:eastAsia="en-GB"/>
              </w:rPr>
              <w:t>1.4%</w:t>
            </w:r>
          </w:p>
        </w:tc>
      </w:tr>
    </w:tbl>
    <w:p w14:paraId="3EF326BE" w14:textId="77777777" w:rsidR="003C09E9" w:rsidRPr="00673492" w:rsidRDefault="003C09E9" w:rsidP="003356AE">
      <w:pPr>
        <w:spacing w:line="240" w:lineRule="auto"/>
        <w:rPr>
          <w:rFonts w:asciiTheme="minorHAnsi" w:hAnsiTheme="minorHAnsi"/>
          <w:sz w:val="18"/>
        </w:rPr>
      </w:pPr>
    </w:p>
    <w:p w14:paraId="5E4D9A1C" w14:textId="48BB6DCC" w:rsidR="004C739A" w:rsidRDefault="003C09E9" w:rsidP="003356AE">
      <w:pPr>
        <w:spacing w:line="240" w:lineRule="auto"/>
        <w:rPr>
          <w:rFonts w:asciiTheme="minorHAnsi" w:hAnsiTheme="minorHAnsi"/>
          <w:color w:val="auto"/>
          <w:sz w:val="24"/>
          <w:lang w:val="en-US"/>
        </w:rPr>
      </w:pPr>
      <w:r w:rsidRPr="00673492">
        <w:lastRenderedPageBreak/>
        <w:t xml:space="preserve">The Police Pension Scheme has no assets to cover its liabilities.  Assets in the Local Government Pension Fund are valued at fair value, principally </w:t>
      </w:r>
      <w:r w:rsidRPr="00673492">
        <w:rPr>
          <w:bCs/>
        </w:rPr>
        <w:t>market value</w:t>
      </w:r>
      <w:r w:rsidRPr="00673492">
        <w:t xml:space="preserve"> for investment, and consist of the following categories by proportion of the total assets held by the Fund:</w:t>
      </w:r>
    </w:p>
    <w:p w14:paraId="01DAB383" w14:textId="7F05B92B" w:rsidR="00C45D5F" w:rsidRPr="00C1562C" w:rsidRDefault="00C45D5F" w:rsidP="003356AE">
      <w:pPr>
        <w:pStyle w:val="Footer"/>
        <w:spacing w:line="240" w:lineRule="auto"/>
        <w:rPr>
          <w:rFonts w:asciiTheme="minorHAnsi" w:hAnsiTheme="minorHAnsi"/>
          <w:color w:val="auto"/>
          <w:sz w:val="14"/>
          <w:szCs w:val="14"/>
          <w:lang w:val="en-US"/>
        </w:rPr>
      </w:pPr>
    </w:p>
    <w:tbl>
      <w:tblPr>
        <w:tblW w:w="5000" w:type="pct"/>
        <w:tblLook w:val="04A0" w:firstRow="1" w:lastRow="0" w:firstColumn="1" w:lastColumn="0" w:noHBand="0" w:noVBand="1"/>
      </w:tblPr>
      <w:tblGrid>
        <w:gridCol w:w="3053"/>
        <w:gridCol w:w="1504"/>
        <w:gridCol w:w="1506"/>
        <w:gridCol w:w="1505"/>
        <w:gridCol w:w="1504"/>
      </w:tblGrid>
      <w:tr w:rsidR="006B7770" w:rsidRPr="006B7770" w14:paraId="285A4F39" w14:textId="77777777" w:rsidTr="00F7735C">
        <w:trPr>
          <w:trHeight w:val="283"/>
        </w:trPr>
        <w:tc>
          <w:tcPr>
            <w:tcW w:w="1683" w:type="pct"/>
            <w:tcBorders>
              <w:top w:val="nil"/>
              <w:left w:val="nil"/>
              <w:bottom w:val="nil"/>
              <w:right w:val="nil"/>
            </w:tcBorders>
            <w:shd w:val="clear" w:color="000000" w:fill="000099"/>
            <w:noWrap/>
            <w:vAlign w:val="center"/>
            <w:hideMark/>
          </w:tcPr>
          <w:p w14:paraId="66054B58" w14:textId="77777777" w:rsidR="006B7770" w:rsidRPr="006B7770" w:rsidRDefault="006B7770" w:rsidP="006B7770">
            <w:pPr>
              <w:spacing w:after="0" w:line="240" w:lineRule="auto"/>
              <w:jc w:val="left"/>
              <w:rPr>
                <w:rFonts w:eastAsia="Times New Roman" w:cs="Calibri"/>
                <w:b/>
                <w:bCs/>
                <w:color w:val="FFFFFF"/>
                <w:sz w:val="18"/>
                <w:szCs w:val="18"/>
                <w:lang w:eastAsia="en-GB"/>
              </w:rPr>
            </w:pPr>
            <w:bookmarkStart w:id="222" w:name="_Toc517077314"/>
            <w:bookmarkStart w:id="223" w:name="_Toc9272539"/>
            <w:bookmarkStart w:id="224" w:name="_Toc9592083"/>
            <w:r w:rsidRPr="006B7770">
              <w:rPr>
                <w:rFonts w:eastAsia="Times New Roman" w:cs="Calibri"/>
                <w:b/>
                <w:bCs/>
                <w:color w:val="FFFFFF"/>
                <w:sz w:val="18"/>
                <w:szCs w:val="18"/>
                <w:lang w:eastAsia="en-GB"/>
              </w:rPr>
              <w:t>Fair value of plan assets</w:t>
            </w:r>
          </w:p>
        </w:tc>
        <w:tc>
          <w:tcPr>
            <w:tcW w:w="829" w:type="pct"/>
            <w:tcBorders>
              <w:top w:val="nil"/>
              <w:left w:val="nil"/>
              <w:bottom w:val="nil"/>
              <w:right w:val="nil"/>
            </w:tcBorders>
            <w:shd w:val="clear" w:color="000000" w:fill="000099"/>
            <w:noWrap/>
            <w:vAlign w:val="center"/>
            <w:hideMark/>
          </w:tcPr>
          <w:p w14:paraId="74286487"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 </w:t>
            </w:r>
          </w:p>
        </w:tc>
        <w:tc>
          <w:tcPr>
            <w:tcW w:w="829" w:type="pct"/>
            <w:tcBorders>
              <w:top w:val="nil"/>
              <w:left w:val="nil"/>
              <w:bottom w:val="nil"/>
              <w:right w:val="nil"/>
            </w:tcBorders>
            <w:shd w:val="clear" w:color="000000" w:fill="000099"/>
            <w:noWrap/>
            <w:vAlign w:val="center"/>
            <w:hideMark/>
          </w:tcPr>
          <w:p w14:paraId="4CA58F05"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 </w:t>
            </w:r>
          </w:p>
        </w:tc>
        <w:tc>
          <w:tcPr>
            <w:tcW w:w="829" w:type="pct"/>
            <w:tcBorders>
              <w:top w:val="nil"/>
              <w:left w:val="nil"/>
              <w:bottom w:val="nil"/>
              <w:right w:val="nil"/>
            </w:tcBorders>
            <w:shd w:val="clear" w:color="000000" w:fill="000099"/>
            <w:noWrap/>
            <w:vAlign w:val="center"/>
            <w:hideMark/>
          </w:tcPr>
          <w:p w14:paraId="066C95F3"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 </w:t>
            </w:r>
          </w:p>
        </w:tc>
        <w:tc>
          <w:tcPr>
            <w:tcW w:w="829" w:type="pct"/>
            <w:tcBorders>
              <w:top w:val="nil"/>
              <w:left w:val="nil"/>
              <w:bottom w:val="nil"/>
              <w:right w:val="nil"/>
            </w:tcBorders>
            <w:shd w:val="clear" w:color="000000" w:fill="000099"/>
            <w:noWrap/>
            <w:vAlign w:val="center"/>
            <w:hideMark/>
          </w:tcPr>
          <w:p w14:paraId="0EC14AAC"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 </w:t>
            </w:r>
          </w:p>
        </w:tc>
      </w:tr>
      <w:tr w:rsidR="006B7770" w:rsidRPr="006B7770" w14:paraId="100A57CF" w14:textId="77777777" w:rsidTr="00F7735C">
        <w:trPr>
          <w:trHeight w:val="283"/>
        </w:trPr>
        <w:tc>
          <w:tcPr>
            <w:tcW w:w="1683" w:type="pct"/>
            <w:tcBorders>
              <w:top w:val="nil"/>
              <w:left w:val="nil"/>
              <w:bottom w:val="nil"/>
              <w:right w:val="nil"/>
            </w:tcBorders>
            <w:shd w:val="clear" w:color="000000" w:fill="000099"/>
            <w:noWrap/>
            <w:vAlign w:val="center"/>
            <w:hideMark/>
          </w:tcPr>
          <w:p w14:paraId="2B9E1407"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 </w:t>
            </w:r>
          </w:p>
        </w:tc>
        <w:tc>
          <w:tcPr>
            <w:tcW w:w="1659" w:type="pct"/>
            <w:gridSpan w:val="2"/>
            <w:tcBorders>
              <w:top w:val="nil"/>
              <w:left w:val="nil"/>
              <w:bottom w:val="nil"/>
              <w:right w:val="nil"/>
            </w:tcBorders>
            <w:shd w:val="clear" w:color="000000" w:fill="000099"/>
            <w:noWrap/>
            <w:vAlign w:val="center"/>
            <w:hideMark/>
          </w:tcPr>
          <w:p w14:paraId="6A730D9B"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31 March 2025</w:t>
            </w:r>
          </w:p>
        </w:tc>
        <w:tc>
          <w:tcPr>
            <w:tcW w:w="1659" w:type="pct"/>
            <w:gridSpan w:val="2"/>
            <w:tcBorders>
              <w:top w:val="nil"/>
              <w:left w:val="nil"/>
              <w:bottom w:val="nil"/>
              <w:right w:val="nil"/>
            </w:tcBorders>
            <w:shd w:val="clear" w:color="000000" w:fill="000099"/>
            <w:noWrap/>
            <w:vAlign w:val="center"/>
            <w:hideMark/>
          </w:tcPr>
          <w:p w14:paraId="5ADDF4EF"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31 March 2026</w:t>
            </w:r>
          </w:p>
        </w:tc>
      </w:tr>
      <w:tr w:rsidR="006B7770" w:rsidRPr="006B7770" w14:paraId="1E40B9E5" w14:textId="77777777" w:rsidTr="00F7735C">
        <w:trPr>
          <w:trHeight w:val="283"/>
        </w:trPr>
        <w:tc>
          <w:tcPr>
            <w:tcW w:w="1683" w:type="pct"/>
            <w:tcBorders>
              <w:top w:val="nil"/>
              <w:left w:val="nil"/>
              <w:bottom w:val="nil"/>
              <w:right w:val="nil"/>
            </w:tcBorders>
            <w:shd w:val="clear" w:color="000000" w:fill="000099"/>
            <w:noWrap/>
            <w:vAlign w:val="center"/>
            <w:hideMark/>
          </w:tcPr>
          <w:p w14:paraId="77D751A6" w14:textId="77777777" w:rsidR="006B7770" w:rsidRPr="006B7770" w:rsidRDefault="006B7770" w:rsidP="006B7770">
            <w:pPr>
              <w:spacing w:after="0" w:line="240" w:lineRule="auto"/>
              <w:jc w:val="left"/>
              <w:rPr>
                <w:rFonts w:eastAsia="Times New Roman" w:cs="Calibri"/>
                <w:b/>
                <w:bCs/>
                <w:color w:val="FFFFFF"/>
                <w:sz w:val="18"/>
                <w:szCs w:val="18"/>
                <w:lang w:eastAsia="en-GB"/>
              </w:rPr>
            </w:pPr>
            <w:r w:rsidRPr="006B7770">
              <w:rPr>
                <w:rFonts w:eastAsia="Times New Roman" w:cs="Calibri"/>
                <w:b/>
                <w:bCs/>
                <w:color w:val="FFFFFF"/>
                <w:sz w:val="18"/>
                <w:szCs w:val="18"/>
                <w:lang w:eastAsia="en-GB"/>
              </w:rPr>
              <w:t>Asset category</w:t>
            </w:r>
          </w:p>
        </w:tc>
        <w:tc>
          <w:tcPr>
            <w:tcW w:w="829" w:type="pct"/>
            <w:tcBorders>
              <w:top w:val="nil"/>
              <w:left w:val="nil"/>
              <w:bottom w:val="nil"/>
              <w:right w:val="nil"/>
            </w:tcBorders>
            <w:shd w:val="clear" w:color="000000" w:fill="000099"/>
            <w:noWrap/>
            <w:vAlign w:val="center"/>
            <w:hideMark/>
          </w:tcPr>
          <w:p w14:paraId="1A644904"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Total</w:t>
            </w:r>
          </w:p>
        </w:tc>
        <w:tc>
          <w:tcPr>
            <w:tcW w:w="829" w:type="pct"/>
            <w:tcBorders>
              <w:top w:val="nil"/>
              <w:left w:val="nil"/>
              <w:bottom w:val="nil"/>
              <w:right w:val="nil"/>
            </w:tcBorders>
            <w:shd w:val="clear" w:color="000000" w:fill="000099"/>
            <w:noWrap/>
            <w:vAlign w:val="center"/>
            <w:hideMark/>
          </w:tcPr>
          <w:p w14:paraId="1451CDBC"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Percentage</w:t>
            </w:r>
          </w:p>
        </w:tc>
        <w:tc>
          <w:tcPr>
            <w:tcW w:w="829" w:type="pct"/>
            <w:tcBorders>
              <w:top w:val="nil"/>
              <w:left w:val="nil"/>
              <w:bottom w:val="nil"/>
              <w:right w:val="nil"/>
            </w:tcBorders>
            <w:shd w:val="clear" w:color="000000" w:fill="000099"/>
            <w:noWrap/>
            <w:vAlign w:val="center"/>
            <w:hideMark/>
          </w:tcPr>
          <w:p w14:paraId="214E7061"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Total</w:t>
            </w:r>
          </w:p>
        </w:tc>
        <w:tc>
          <w:tcPr>
            <w:tcW w:w="829" w:type="pct"/>
            <w:tcBorders>
              <w:top w:val="nil"/>
              <w:left w:val="nil"/>
              <w:bottom w:val="nil"/>
              <w:right w:val="nil"/>
            </w:tcBorders>
            <w:shd w:val="clear" w:color="000000" w:fill="000099"/>
            <w:noWrap/>
            <w:vAlign w:val="center"/>
            <w:hideMark/>
          </w:tcPr>
          <w:p w14:paraId="5939ECDD"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Percentage</w:t>
            </w:r>
          </w:p>
        </w:tc>
      </w:tr>
      <w:tr w:rsidR="006B7770" w:rsidRPr="006B7770" w14:paraId="4C5C6B57" w14:textId="77777777" w:rsidTr="00F7735C">
        <w:trPr>
          <w:trHeight w:val="283"/>
        </w:trPr>
        <w:tc>
          <w:tcPr>
            <w:tcW w:w="1683" w:type="pct"/>
            <w:tcBorders>
              <w:top w:val="nil"/>
              <w:left w:val="nil"/>
              <w:bottom w:val="nil"/>
              <w:right w:val="nil"/>
            </w:tcBorders>
            <w:shd w:val="clear" w:color="000000" w:fill="000099"/>
            <w:noWrap/>
            <w:vAlign w:val="center"/>
            <w:hideMark/>
          </w:tcPr>
          <w:p w14:paraId="34285757"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 </w:t>
            </w:r>
          </w:p>
        </w:tc>
        <w:tc>
          <w:tcPr>
            <w:tcW w:w="829" w:type="pct"/>
            <w:tcBorders>
              <w:top w:val="nil"/>
              <w:left w:val="nil"/>
              <w:bottom w:val="nil"/>
              <w:right w:val="nil"/>
            </w:tcBorders>
            <w:shd w:val="clear" w:color="000000" w:fill="000099"/>
            <w:noWrap/>
            <w:vAlign w:val="center"/>
            <w:hideMark/>
          </w:tcPr>
          <w:p w14:paraId="0AAB7395"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£000</w:t>
            </w:r>
          </w:p>
        </w:tc>
        <w:tc>
          <w:tcPr>
            <w:tcW w:w="829" w:type="pct"/>
            <w:tcBorders>
              <w:top w:val="nil"/>
              <w:left w:val="nil"/>
              <w:bottom w:val="nil"/>
              <w:right w:val="nil"/>
            </w:tcBorders>
            <w:shd w:val="clear" w:color="000000" w:fill="000099"/>
            <w:noWrap/>
            <w:vAlign w:val="center"/>
            <w:hideMark/>
          </w:tcPr>
          <w:p w14:paraId="6E7DDFD6"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w:t>
            </w:r>
          </w:p>
        </w:tc>
        <w:tc>
          <w:tcPr>
            <w:tcW w:w="829" w:type="pct"/>
            <w:tcBorders>
              <w:top w:val="nil"/>
              <w:left w:val="nil"/>
              <w:bottom w:val="nil"/>
              <w:right w:val="nil"/>
            </w:tcBorders>
            <w:shd w:val="clear" w:color="000000" w:fill="000099"/>
            <w:noWrap/>
            <w:vAlign w:val="center"/>
            <w:hideMark/>
          </w:tcPr>
          <w:p w14:paraId="6E01043C"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£000</w:t>
            </w:r>
          </w:p>
        </w:tc>
        <w:tc>
          <w:tcPr>
            <w:tcW w:w="829" w:type="pct"/>
            <w:tcBorders>
              <w:top w:val="nil"/>
              <w:left w:val="nil"/>
              <w:bottom w:val="nil"/>
              <w:right w:val="nil"/>
            </w:tcBorders>
            <w:shd w:val="clear" w:color="000000" w:fill="000099"/>
            <w:noWrap/>
            <w:vAlign w:val="center"/>
            <w:hideMark/>
          </w:tcPr>
          <w:p w14:paraId="380C566D" w14:textId="77777777" w:rsidR="006B7770" w:rsidRPr="006B7770" w:rsidRDefault="006B7770" w:rsidP="006B7770">
            <w:pPr>
              <w:spacing w:after="0" w:line="240" w:lineRule="auto"/>
              <w:jc w:val="center"/>
              <w:rPr>
                <w:rFonts w:eastAsia="Times New Roman" w:cs="Calibri"/>
                <w:b/>
                <w:bCs/>
                <w:color w:val="FFFFFF"/>
                <w:sz w:val="18"/>
                <w:szCs w:val="18"/>
                <w:lang w:eastAsia="en-GB"/>
              </w:rPr>
            </w:pPr>
            <w:r w:rsidRPr="006B7770">
              <w:rPr>
                <w:rFonts w:eastAsia="Times New Roman" w:cs="Calibri"/>
                <w:b/>
                <w:bCs/>
                <w:color w:val="FFFFFF"/>
                <w:sz w:val="18"/>
                <w:szCs w:val="18"/>
                <w:lang w:eastAsia="en-GB"/>
              </w:rPr>
              <w:t>%</w:t>
            </w:r>
          </w:p>
        </w:tc>
      </w:tr>
      <w:tr w:rsidR="006B7770" w:rsidRPr="006B7770" w14:paraId="5EAFB3DB" w14:textId="77777777" w:rsidTr="00F17AF0">
        <w:trPr>
          <w:trHeight w:val="283"/>
        </w:trPr>
        <w:tc>
          <w:tcPr>
            <w:tcW w:w="1683" w:type="pct"/>
            <w:tcBorders>
              <w:top w:val="nil"/>
              <w:left w:val="nil"/>
              <w:bottom w:val="nil"/>
              <w:right w:val="nil"/>
            </w:tcBorders>
            <w:shd w:val="clear" w:color="000000" w:fill="FFFFFF"/>
            <w:noWrap/>
            <w:vAlign w:val="center"/>
            <w:hideMark/>
          </w:tcPr>
          <w:p w14:paraId="108EB6FC"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Equity Securities</w:t>
            </w:r>
          </w:p>
        </w:tc>
        <w:tc>
          <w:tcPr>
            <w:tcW w:w="829" w:type="pct"/>
            <w:tcBorders>
              <w:top w:val="nil"/>
              <w:left w:val="nil"/>
              <w:bottom w:val="nil"/>
              <w:right w:val="nil"/>
            </w:tcBorders>
            <w:shd w:val="clear" w:color="000000" w:fill="FFFFFF"/>
            <w:noWrap/>
            <w:vAlign w:val="center"/>
            <w:hideMark/>
          </w:tcPr>
          <w:p w14:paraId="4E0E94DF"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FFFFFF"/>
            <w:noWrap/>
            <w:vAlign w:val="center"/>
            <w:hideMark/>
          </w:tcPr>
          <w:p w14:paraId="2072191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543A28C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563C3450"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r>
      <w:tr w:rsidR="006B7770" w:rsidRPr="006B7770" w14:paraId="2F3C6A49" w14:textId="77777777" w:rsidTr="00F17AF0">
        <w:trPr>
          <w:trHeight w:val="283"/>
        </w:trPr>
        <w:tc>
          <w:tcPr>
            <w:tcW w:w="1683" w:type="pct"/>
            <w:tcBorders>
              <w:top w:val="nil"/>
              <w:left w:val="nil"/>
              <w:bottom w:val="nil"/>
              <w:right w:val="nil"/>
            </w:tcBorders>
            <w:shd w:val="clear" w:color="000000" w:fill="FFFFFF"/>
            <w:noWrap/>
            <w:vAlign w:val="center"/>
            <w:hideMark/>
          </w:tcPr>
          <w:p w14:paraId="1593CDC0"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Consumer</w:t>
            </w:r>
          </w:p>
        </w:tc>
        <w:tc>
          <w:tcPr>
            <w:tcW w:w="829" w:type="pct"/>
            <w:tcBorders>
              <w:top w:val="nil"/>
              <w:left w:val="nil"/>
              <w:bottom w:val="nil"/>
              <w:right w:val="nil"/>
            </w:tcBorders>
            <w:shd w:val="clear" w:color="000000" w:fill="FFFFFF"/>
            <w:noWrap/>
            <w:vAlign w:val="center"/>
            <w:hideMark/>
          </w:tcPr>
          <w:p w14:paraId="6248F58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2,486.8</w:t>
            </w:r>
          </w:p>
        </w:tc>
        <w:tc>
          <w:tcPr>
            <w:tcW w:w="829" w:type="pct"/>
            <w:tcBorders>
              <w:top w:val="nil"/>
              <w:left w:val="nil"/>
              <w:bottom w:val="nil"/>
              <w:right w:val="nil"/>
            </w:tcBorders>
            <w:shd w:val="clear" w:color="000000" w:fill="FFFFFF"/>
            <w:noWrap/>
            <w:vAlign w:val="center"/>
            <w:hideMark/>
          </w:tcPr>
          <w:p w14:paraId="23FFE70E"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c>
          <w:tcPr>
            <w:tcW w:w="829" w:type="pct"/>
            <w:tcBorders>
              <w:top w:val="nil"/>
              <w:left w:val="nil"/>
              <w:bottom w:val="nil"/>
              <w:right w:val="nil"/>
            </w:tcBorders>
            <w:shd w:val="clear" w:color="000000" w:fill="CCECFF"/>
            <w:noWrap/>
            <w:vAlign w:val="center"/>
            <w:hideMark/>
          </w:tcPr>
          <w:p w14:paraId="2B4FC19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2,692.9 </w:t>
            </w:r>
          </w:p>
        </w:tc>
        <w:tc>
          <w:tcPr>
            <w:tcW w:w="829" w:type="pct"/>
            <w:tcBorders>
              <w:top w:val="nil"/>
              <w:left w:val="nil"/>
              <w:bottom w:val="nil"/>
              <w:right w:val="nil"/>
            </w:tcBorders>
            <w:shd w:val="clear" w:color="000000" w:fill="CCECFF"/>
            <w:noWrap/>
            <w:vAlign w:val="center"/>
            <w:hideMark/>
          </w:tcPr>
          <w:p w14:paraId="2DC30FA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r>
      <w:tr w:rsidR="006B7770" w:rsidRPr="006B7770" w14:paraId="6FBEFEE5" w14:textId="77777777" w:rsidTr="00F17AF0">
        <w:trPr>
          <w:trHeight w:val="283"/>
        </w:trPr>
        <w:tc>
          <w:tcPr>
            <w:tcW w:w="1683" w:type="pct"/>
            <w:tcBorders>
              <w:top w:val="nil"/>
              <w:left w:val="nil"/>
              <w:bottom w:val="nil"/>
              <w:right w:val="nil"/>
            </w:tcBorders>
            <w:shd w:val="clear" w:color="000000" w:fill="FFFFFF"/>
            <w:noWrap/>
            <w:vAlign w:val="center"/>
            <w:hideMark/>
          </w:tcPr>
          <w:p w14:paraId="3BC64C95"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Manufacturing</w:t>
            </w:r>
          </w:p>
        </w:tc>
        <w:tc>
          <w:tcPr>
            <w:tcW w:w="829" w:type="pct"/>
            <w:tcBorders>
              <w:top w:val="nil"/>
              <w:left w:val="nil"/>
              <w:bottom w:val="nil"/>
              <w:right w:val="nil"/>
            </w:tcBorders>
            <w:shd w:val="clear" w:color="000000" w:fill="FFFFFF"/>
            <w:noWrap/>
            <w:vAlign w:val="center"/>
            <w:hideMark/>
          </w:tcPr>
          <w:p w14:paraId="4174D6B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2,254.0</w:t>
            </w:r>
          </w:p>
        </w:tc>
        <w:tc>
          <w:tcPr>
            <w:tcW w:w="829" w:type="pct"/>
            <w:tcBorders>
              <w:top w:val="nil"/>
              <w:left w:val="nil"/>
              <w:bottom w:val="nil"/>
              <w:right w:val="nil"/>
            </w:tcBorders>
            <w:shd w:val="clear" w:color="000000" w:fill="FFFFFF"/>
            <w:noWrap/>
            <w:vAlign w:val="center"/>
            <w:hideMark/>
          </w:tcPr>
          <w:p w14:paraId="3A5DAAC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c>
          <w:tcPr>
            <w:tcW w:w="829" w:type="pct"/>
            <w:tcBorders>
              <w:top w:val="nil"/>
              <w:left w:val="nil"/>
              <w:bottom w:val="nil"/>
              <w:right w:val="nil"/>
            </w:tcBorders>
            <w:shd w:val="clear" w:color="000000" w:fill="CCECFF"/>
            <w:noWrap/>
            <w:vAlign w:val="center"/>
            <w:hideMark/>
          </w:tcPr>
          <w:p w14:paraId="366D8A02"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2,267.7 </w:t>
            </w:r>
          </w:p>
        </w:tc>
        <w:tc>
          <w:tcPr>
            <w:tcW w:w="829" w:type="pct"/>
            <w:tcBorders>
              <w:top w:val="nil"/>
              <w:left w:val="nil"/>
              <w:bottom w:val="nil"/>
              <w:right w:val="nil"/>
            </w:tcBorders>
            <w:shd w:val="clear" w:color="000000" w:fill="CCECFF"/>
            <w:noWrap/>
            <w:vAlign w:val="center"/>
            <w:hideMark/>
          </w:tcPr>
          <w:p w14:paraId="23542FE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r>
      <w:tr w:rsidR="006B7770" w:rsidRPr="006B7770" w14:paraId="4C99A499" w14:textId="77777777" w:rsidTr="00F17AF0">
        <w:trPr>
          <w:trHeight w:val="283"/>
        </w:trPr>
        <w:tc>
          <w:tcPr>
            <w:tcW w:w="1683" w:type="pct"/>
            <w:tcBorders>
              <w:top w:val="nil"/>
              <w:left w:val="nil"/>
              <w:bottom w:val="nil"/>
              <w:right w:val="nil"/>
            </w:tcBorders>
            <w:shd w:val="clear" w:color="000000" w:fill="FFFFFF"/>
            <w:noWrap/>
            <w:vAlign w:val="center"/>
            <w:hideMark/>
          </w:tcPr>
          <w:p w14:paraId="0D457DB2"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Energy and Utilities</w:t>
            </w:r>
          </w:p>
        </w:tc>
        <w:tc>
          <w:tcPr>
            <w:tcW w:w="829" w:type="pct"/>
            <w:tcBorders>
              <w:top w:val="nil"/>
              <w:left w:val="nil"/>
              <w:bottom w:val="nil"/>
              <w:right w:val="nil"/>
            </w:tcBorders>
            <w:shd w:val="clear" w:color="000000" w:fill="FFFFFF"/>
            <w:noWrap/>
            <w:vAlign w:val="center"/>
            <w:hideMark/>
          </w:tcPr>
          <w:p w14:paraId="3DF3DBB9"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1,003.7</w:t>
            </w:r>
          </w:p>
        </w:tc>
        <w:tc>
          <w:tcPr>
            <w:tcW w:w="829" w:type="pct"/>
            <w:tcBorders>
              <w:top w:val="nil"/>
              <w:left w:val="nil"/>
              <w:bottom w:val="nil"/>
              <w:right w:val="nil"/>
            </w:tcBorders>
            <w:shd w:val="clear" w:color="000000" w:fill="FFFFFF"/>
            <w:noWrap/>
            <w:vAlign w:val="center"/>
            <w:hideMark/>
          </w:tcPr>
          <w:p w14:paraId="4F411BA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0FCFA30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1,098.6 </w:t>
            </w:r>
          </w:p>
        </w:tc>
        <w:tc>
          <w:tcPr>
            <w:tcW w:w="829" w:type="pct"/>
            <w:tcBorders>
              <w:top w:val="nil"/>
              <w:left w:val="nil"/>
              <w:bottom w:val="nil"/>
              <w:right w:val="nil"/>
            </w:tcBorders>
            <w:shd w:val="clear" w:color="000000" w:fill="CCECFF"/>
            <w:noWrap/>
            <w:vAlign w:val="center"/>
            <w:hideMark/>
          </w:tcPr>
          <w:p w14:paraId="2BADFB9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50AC3046" w14:textId="77777777" w:rsidTr="00F17AF0">
        <w:trPr>
          <w:trHeight w:val="283"/>
        </w:trPr>
        <w:tc>
          <w:tcPr>
            <w:tcW w:w="1683" w:type="pct"/>
            <w:tcBorders>
              <w:top w:val="nil"/>
              <w:left w:val="nil"/>
              <w:bottom w:val="nil"/>
              <w:right w:val="nil"/>
            </w:tcBorders>
            <w:shd w:val="clear" w:color="000000" w:fill="FFFFFF"/>
            <w:noWrap/>
            <w:vAlign w:val="center"/>
            <w:hideMark/>
          </w:tcPr>
          <w:p w14:paraId="3D4C6C21"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Financial Institutions</w:t>
            </w:r>
          </w:p>
        </w:tc>
        <w:tc>
          <w:tcPr>
            <w:tcW w:w="829" w:type="pct"/>
            <w:tcBorders>
              <w:top w:val="nil"/>
              <w:left w:val="nil"/>
              <w:bottom w:val="nil"/>
              <w:right w:val="nil"/>
            </w:tcBorders>
            <w:shd w:val="clear" w:color="000000" w:fill="FFFFFF"/>
            <w:noWrap/>
            <w:vAlign w:val="center"/>
            <w:hideMark/>
          </w:tcPr>
          <w:p w14:paraId="37DD1311"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2,455.5</w:t>
            </w:r>
          </w:p>
        </w:tc>
        <w:tc>
          <w:tcPr>
            <w:tcW w:w="829" w:type="pct"/>
            <w:tcBorders>
              <w:top w:val="nil"/>
              <w:left w:val="nil"/>
              <w:bottom w:val="nil"/>
              <w:right w:val="nil"/>
            </w:tcBorders>
            <w:shd w:val="clear" w:color="000000" w:fill="FFFFFF"/>
            <w:noWrap/>
            <w:vAlign w:val="center"/>
            <w:hideMark/>
          </w:tcPr>
          <w:p w14:paraId="37314E4A"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c>
          <w:tcPr>
            <w:tcW w:w="829" w:type="pct"/>
            <w:tcBorders>
              <w:top w:val="nil"/>
              <w:left w:val="nil"/>
              <w:bottom w:val="nil"/>
              <w:right w:val="nil"/>
            </w:tcBorders>
            <w:shd w:val="clear" w:color="000000" w:fill="CCECFF"/>
            <w:noWrap/>
            <w:vAlign w:val="center"/>
            <w:hideMark/>
          </w:tcPr>
          <w:p w14:paraId="799541E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3,119.2 </w:t>
            </w:r>
          </w:p>
        </w:tc>
        <w:tc>
          <w:tcPr>
            <w:tcW w:w="829" w:type="pct"/>
            <w:tcBorders>
              <w:top w:val="nil"/>
              <w:left w:val="nil"/>
              <w:bottom w:val="nil"/>
              <w:right w:val="nil"/>
            </w:tcBorders>
            <w:shd w:val="clear" w:color="000000" w:fill="CCECFF"/>
            <w:noWrap/>
            <w:vAlign w:val="center"/>
            <w:hideMark/>
          </w:tcPr>
          <w:p w14:paraId="6E0F012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r>
      <w:tr w:rsidR="006B7770" w:rsidRPr="006B7770" w14:paraId="03DE0714" w14:textId="77777777" w:rsidTr="00F17AF0">
        <w:trPr>
          <w:trHeight w:val="283"/>
        </w:trPr>
        <w:tc>
          <w:tcPr>
            <w:tcW w:w="1683" w:type="pct"/>
            <w:tcBorders>
              <w:top w:val="nil"/>
              <w:left w:val="nil"/>
              <w:bottom w:val="nil"/>
              <w:right w:val="nil"/>
            </w:tcBorders>
            <w:shd w:val="clear" w:color="000000" w:fill="FFFFFF"/>
            <w:noWrap/>
            <w:vAlign w:val="center"/>
            <w:hideMark/>
          </w:tcPr>
          <w:p w14:paraId="78C4D80D"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Health and Care</w:t>
            </w:r>
          </w:p>
        </w:tc>
        <w:tc>
          <w:tcPr>
            <w:tcW w:w="829" w:type="pct"/>
            <w:tcBorders>
              <w:top w:val="nil"/>
              <w:left w:val="nil"/>
              <w:bottom w:val="nil"/>
              <w:right w:val="nil"/>
            </w:tcBorders>
            <w:shd w:val="clear" w:color="000000" w:fill="FFFFFF"/>
            <w:noWrap/>
            <w:vAlign w:val="center"/>
            <w:hideMark/>
          </w:tcPr>
          <w:p w14:paraId="32A156C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1,493.8</w:t>
            </w:r>
          </w:p>
        </w:tc>
        <w:tc>
          <w:tcPr>
            <w:tcW w:w="829" w:type="pct"/>
            <w:tcBorders>
              <w:top w:val="nil"/>
              <w:left w:val="nil"/>
              <w:bottom w:val="nil"/>
              <w:right w:val="nil"/>
            </w:tcBorders>
            <w:shd w:val="clear" w:color="000000" w:fill="FFFFFF"/>
            <w:noWrap/>
            <w:vAlign w:val="center"/>
            <w:hideMark/>
          </w:tcPr>
          <w:p w14:paraId="728A9AB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c>
          <w:tcPr>
            <w:tcW w:w="829" w:type="pct"/>
            <w:tcBorders>
              <w:top w:val="nil"/>
              <w:left w:val="nil"/>
              <w:bottom w:val="nil"/>
              <w:right w:val="nil"/>
            </w:tcBorders>
            <w:shd w:val="clear" w:color="000000" w:fill="CCECFF"/>
            <w:noWrap/>
            <w:vAlign w:val="center"/>
            <w:hideMark/>
          </w:tcPr>
          <w:p w14:paraId="4A5DF51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1,797.1 </w:t>
            </w:r>
          </w:p>
        </w:tc>
        <w:tc>
          <w:tcPr>
            <w:tcW w:w="829" w:type="pct"/>
            <w:tcBorders>
              <w:top w:val="nil"/>
              <w:left w:val="nil"/>
              <w:bottom w:val="nil"/>
              <w:right w:val="nil"/>
            </w:tcBorders>
            <w:shd w:val="clear" w:color="000000" w:fill="CCECFF"/>
            <w:noWrap/>
            <w:vAlign w:val="center"/>
            <w:hideMark/>
          </w:tcPr>
          <w:p w14:paraId="1191079F"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r>
      <w:tr w:rsidR="006B7770" w:rsidRPr="006B7770" w14:paraId="5C37F314" w14:textId="77777777" w:rsidTr="00F17AF0">
        <w:trPr>
          <w:trHeight w:val="283"/>
        </w:trPr>
        <w:tc>
          <w:tcPr>
            <w:tcW w:w="1683" w:type="pct"/>
            <w:tcBorders>
              <w:top w:val="nil"/>
              <w:left w:val="nil"/>
              <w:bottom w:val="nil"/>
              <w:right w:val="nil"/>
            </w:tcBorders>
            <w:shd w:val="clear" w:color="000000" w:fill="FFFFFF"/>
            <w:noWrap/>
            <w:vAlign w:val="center"/>
            <w:hideMark/>
          </w:tcPr>
          <w:p w14:paraId="77C23319"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Information Technology</w:t>
            </w:r>
          </w:p>
        </w:tc>
        <w:tc>
          <w:tcPr>
            <w:tcW w:w="829" w:type="pct"/>
            <w:tcBorders>
              <w:top w:val="nil"/>
              <w:left w:val="nil"/>
              <w:bottom w:val="nil"/>
              <w:right w:val="nil"/>
            </w:tcBorders>
            <w:shd w:val="clear" w:color="000000" w:fill="FFFFFF"/>
            <w:noWrap/>
            <w:vAlign w:val="center"/>
            <w:hideMark/>
          </w:tcPr>
          <w:p w14:paraId="702F460F"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5,314.9</w:t>
            </w:r>
          </w:p>
        </w:tc>
        <w:tc>
          <w:tcPr>
            <w:tcW w:w="829" w:type="pct"/>
            <w:tcBorders>
              <w:top w:val="nil"/>
              <w:left w:val="nil"/>
              <w:bottom w:val="nil"/>
              <w:right w:val="nil"/>
            </w:tcBorders>
            <w:shd w:val="clear" w:color="000000" w:fill="FFFFFF"/>
            <w:noWrap/>
            <w:vAlign w:val="center"/>
            <w:hideMark/>
          </w:tcPr>
          <w:p w14:paraId="609F909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2%</w:t>
            </w:r>
          </w:p>
        </w:tc>
        <w:tc>
          <w:tcPr>
            <w:tcW w:w="829" w:type="pct"/>
            <w:tcBorders>
              <w:top w:val="nil"/>
              <w:left w:val="nil"/>
              <w:bottom w:val="nil"/>
              <w:right w:val="nil"/>
            </w:tcBorders>
            <w:shd w:val="clear" w:color="000000" w:fill="CCECFF"/>
            <w:noWrap/>
            <w:vAlign w:val="center"/>
            <w:hideMark/>
          </w:tcPr>
          <w:p w14:paraId="647A639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6,493.6 </w:t>
            </w:r>
          </w:p>
        </w:tc>
        <w:tc>
          <w:tcPr>
            <w:tcW w:w="829" w:type="pct"/>
            <w:tcBorders>
              <w:top w:val="nil"/>
              <w:left w:val="nil"/>
              <w:bottom w:val="nil"/>
              <w:right w:val="nil"/>
            </w:tcBorders>
            <w:shd w:val="clear" w:color="000000" w:fill="CCECFF"/>
            <w:noWrap/>
            <w:vAlign w:val="center"/>
            <w:hideMark/>
          </w:tcPr>
          <w:p w14:paraId="464B924A"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2%</w:t>
            </w:r>
          </w:p>
        </w:tc>
      </w:tr>
      <w:tr w:rsidR="006B7770" w:rsidRPr="006B7770" w14:paraId="4CD9448F" w14:textId="77777777" w:rsidTr="00F17AF0">
        <w:trPr>
          <w:trHeight w:val="283"/>
        </w:trPr>
        <w:tc>
          <w:tcPr>
            <w:tcW w:w="1683" w:type="pct"/>
            <w:tcBorders>
              <w:top w:val="nil"/>
              <w:left w:val="nil"/>
              <w:bottom w:val="nil"/>
              <w:right w:val="nil"/>
            </w:tcBorders>
            <w:shd w:val="clear" w:color="000000" w:fill="FFFFFF"/>
            <w:noWrap/>
            <w:vAlign w:val="center"/>
            <w:hideMark/>
          </w:tcPr>
          <w:p w14:paraId="69752A11"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Other</w:t>
            </w:r>
          </w:p>
        </w:tc>
        <w:tc>
          <w:tcPr>
            <w:tcW w:w="829" w:type="pct"/>
            <w:tcBorders>
              <w:top w:val="nil"/>
              <w:left w:val="nil"/>
              <w:bottom w:val="nil"/>
              <w:right w:val="nil"/>
            </w:tcBorders>
            <w:shd w:val="clear" w:color="000000" w:fill="FFFFFF"/>
            <w:noWrap/>
            <w:vAlign w:val="center"/>
            <w:hideMark/>
          </w:tcPr>
          <w:p w14:paraId="4EDBCC4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562.4</w:t>
            </w:r>
          </w:p>
        </w:tc>
        <w:tc>
          <w:tcPr>
            <w:tcW w:w="829" w:type="pct"/>
            <w:tcBorders>
              <w:top w:val="nil"/>
              <w:left w:val="nil"/>
              <w:bottom w:val="nil"/>
              <w:right w:val="nil"/>
            </w:tcBorders>
            <w:shd w:val="clear" w:color="000000" w:fill="FFFFFF"/>
            <w:noWrap/>
            <w:vAlign w:val="center"/>
            <w:hideMark/>
          </w:tcPr>
          <w:p w14:paraId="6138B48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57729F1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515.5 </w:t>
            </w:r>
          </w:p>
        </w:tc>
        <w:tc>
          <w:tcPr>
            <w:tcW w:w="829" w:type="pct"/>
            <w:tcBorders>
              <w:top w:val="nil"/>
              <w:left w:val="nil"/>
              <w:bottom w:val="nil"/>
              <w:right w:val="nil"/>
            </w:tcBorders>
            <w:shd w:val="clear" w:color="000000" w:fill="CCECFF"/>
            <w:noWrap/>
            <w:vAlign w:val="center"/>
            <w:hideMark/>
          </w:tcPr>
          <w:p w14:paraId="634E45D1"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70AB4772" w14:textId="77777777" w:rsidTr="00F17AF0">
        <w:trPr>
          <w:trHeight w:val="283"/>
        </w:trPr>
        <w:tc>
          <w:tcPr>
            <w:tcW w:w="1683" w:type="pct"/>
            <w:tcBorders>
              <w:top w:val="nil"/>
              <w:left w:val="nil"/>
              <w:bottom w:val="nil"/>
              <w:right w:val="nil"/>
            </w:tcBorders>
            <w:shd w:val="clear" w:color="000000" w:fill="FFFFFF"/>
            <w:noWrap/>
            <w:vAlign w:val="center"/>
            <w:hideMark/>
          </w:tcPr>
          <w:p w14:paraId="4627EF6D"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Debt Securities</w:t>
            </w:r>
          </w:p>
        </w:tc>
        <w:tc>
          <w:tcPr>
            <w:tcW w:w="829" w:type="pct"/>
            <w:tcBorders>
              <w:top w:val="nil"/>
              <w:left w:val="nil"/>
              <w:bottom w:val="nil"/>
              <w:right w:val="nil"/>
            </w:tcBorders>
            <w:shd w:val="clear" w:color="000000" w:fill="FFFFFF"/>
            <w:noWrap/>
            <w:vAlign w:val="center"/>
            <w:hideMark/>
          </w:tcPr>
          <w:p w14:paraId="0518FB6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FFFFFF"/>
            <w:noWrap/>
            <w:vAlign w:val="center"/>
            <w:hideMark/>
          </w:tcPr>
          <w:p w14:paraId="2A71208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50F9451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05DC54B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r>
      <w:tr w:rsidR="006B7770" w:rsidRPr="006B7770" w14:paraId="52273C66" w14:textId="77777777" w:rsidTr="00F17AF0">
        <w:trPr>
          <w:trHeight w:val="283"/>
        </w:trPr>
        <w:tc>
          <w:tcPr>
            <w:tcW w:w="1683" w:type="pct"/>
            <w:tcBorders>
              <w:top w:val="nil"/>
              <w:left w:val="nil"/>
              <w:bottom w:val="nil"/>
              <w:right w:val="nil"/>
            </w:tcBorders>
            <w:shd w:val="clear" w:color="000000" w:fill="FFFFFF"/>
            <w:vAlign w:val="center"/>
            <w:hideMark/>
          </w:tcPr>
          <w:p w14:paraId="75E0E57C"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Corporate Bonds (investment grade)</w:t>
            </w:r>
          </w:p>
        </w:tc>
        <w:tc>
          <w:tcPr>
            <w:tcW w:w="829" w:type="pct"/>
            <w:tcBorders>
              <w:top w:val="nil"/>
              <w:left w:val="nil"/>
              <w:bottom w:val="nil"/>
              <w:right w:val="nil"/>
            </w:tcBorders>
            <w:shd w:val="clear" w:color="000000" w:fill="FFFFFF"/>
            <w:noWrap/>
            <w:vAlign w:val="center"/>
            <w:hideMark/>
          </w:tcPr>
          <w:p w14:paraId="4FD0B6AA"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14FC71E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33AA4BB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27285A91"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0596D65D" w14:textId="77777777" w:rsidTr="00F17AF0">
        <w:trPr>
          <w:trHeight w:val="283"/>
        </w:trPr>
        <w:tc>
          <w:tcPr>
            <w:tcW w:w="1683" w:type="pct"/>
            <w:tcBorders>
              <w:top w:val="nil"/>
              <w:left w:val="nil"/>
              <w:bottom w:val="nil"/>
              <w:right w:val="nil"/>
            </w:tcBorders>
            <w:shd w:val="clear" w:color="000000" w:fill="FFFFFF"/>
            <w:vAlign w:val="center"/>
            <w:hideMark/>
          </w:tcPr>
          <w:p w14:paraId="4644F915"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Corporate Bonds (non-investment grade)</w:t>
            </w:r>
          </w:p>
        </w:tc>
        <w:tc>
          <w:tcPr>
            <w:tcW w:w="829" w:type="pct"/>
            <w:tcBorders>
              <w:top w:val="nil"/>
              <w:left w:val="nil"/>
              <w:bottom w:val="nil"/>
              <w:right w:val="nil"/>
            </w:tcBorders>
            <w:shd w:val="clear" w:color="000000" w:fill="FFFFFF"/>
            <w:noWrap/>
            <w:vAlign w:val="center"/>
            <w:hideMark/>
          </w:tcPr>
          <w:p w14:paraId="5F14874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319670CE"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737269A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074BE4D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2041FCE7" w14:textId="77777777" w:rsidTr="00F17AF0">
        <w:trPr>
          <w:trHeight w:val="283"/>
        </w:trPr>
        <w:tc>
          <w:tcPr>
            <w:tcW w:w="1683" w:type="pct"/>
            <w:tcBorders>
              <w:top w:val="nil"/>
              <w:left w:val="nil"/>
              <w:bottom w:val="nil"/>
              <w:right w:val="nil"/>
            </w:tcBorders>
            <w:shd w:val="clear" w:color="000000" w:fill="FFFFFF"/>
            <w:noWrap/>
            <w:vAlign w:val="center"/>
            <w:hideMark/>
          </w:tcPr>
          <w:p w14:paraId="06AA617D"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UK Government</w:t>
            </w:r>
          </w:p>
        </w:tc>
        <w:tc>
          <w:tcPr>
            <w:tcW w:w="829" w:type="pct"/>
            <w:tcBorders>
              <w:top w:val="nil"/>
              <w:left w:val="nil"/>
              <w:bottom w:val="nil"/>
              <w:right w:val="nil"/>
            </w:tcBorders>
            <w:shd w:val="clear" w:color="000000" w:fill="FFFFFF"/>
            <w:noWrap/>
            <w:vAlign w:val="center"/>
            <w:hideMark/>
          </w:tcPr>
          <w:p w14:paraId="516AB89F"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31,518.7</w:t>
            </w:r>
          </w:p>
        </w:tc>
        <w:tc>
          <w:tcPr>
            <w:tcW w:w="829" w:type="pct"/>
            <w:tcBorders>
              <w:top w:val="nil"/>
              <w:left w:val="nil"/>
              <w:bottom w:val="nil"/>
              <w:right w:val="nil"/>
            </w:tcBorders>
            <w:shd w:val="clear" w:color="000000" w:fill="FFFFFF"/>
            <w:noWrap/>
            <w:vAlign w:val="center"/>
            <w:hideMark/>
          </w:tcPr>
          <w:p w14:paraId="06399F2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13%</w:t>
            </w:r>
          </w:p>
        </w:tc>
        <w:tc>
          <w:tcPr>
            <w:tcW w:w="829" w:type="pct"/>
            <w:tcBorders>
              <w:top w:val="nil"/>
              <w:left w:val="nil"/>
              <w:bottom w:val="nil"/>
              <w:right w:val="nil"/>
            </w:tcBorders>
            <w:shd w:val="clear" w:color="000000" w:fill="CCECFF"/>
            <w:noWrap/>
            <w:vAlign w:val="center"/>
            <w:hideMark/>
          </w:tcPr>
          <w:p w14:paraId="6B9B6A8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42,010.5 </w:t>
            </w:r>
          </w:p>
        </w:tc>
        <w:tc>
          <w:tcPr>
            <w:tcW w:w="829" w:type="pct"/>
            <w:tcBorders>
              <w:top w:val="nil"/>
              <w:left w:val="nil"/>
              <w:bottom w:val="nil"/>
              <w:right w:val="nil"/>
            </w:tcBorders>
            <w:shd w:val="clear" w:color="000000" w:fill="CCECFF"/>
            <w:noWrap/>
            <w:vAlign w:val="center"/>
            <w:hideMark/>
          </w:tcPr>
          <w:p w14:paraId="44523181"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16%</w:t>
            </w:r>
          </w:p>
        </w:tc>
      </w:tr>
      <w:tr w:rsidR="006B7770" w:rsidRPr="006B7770" w14:paraId="5496DF4B" w14:textId="77777777" w:rsidTr="00F17AF0">
        <w:trPr>
          <w:trHeight w:val="283"/>
        </w:trPr>
        <w:tc>
          <w:tcPr>
            <w:tcW w:w="1683" w:type="pct"/>
            <w:tcBorders>
              <w:top w:val="nil"/>
              <w:left w:val="nil"/>
              <w:bottom w:val="nil"/>
              <w:right w:val="nil"/>
            </w:tcBorders>
            <w:shd w:val="clear" w:color="000000" w:fill="FFFFFF"/>
            <w:noWrap/>
            <w:vAlign w:val="center"/>
            <w:hideMark/>
          </w:tcPr>
          <w:p w14:paraId="1E8FF7FF"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Other</w:t>
            </w:r>
          </w:p>
        </w:tc>
        <w:tc>
          <w:tcPr>
            <w:tcW w:w="829" w:type="pct"/>
            <w:tcBorders>
              <w:top w:val="nil"/>
              <w:left w:val="nil"/>
              <w:bottom w:val="nil"/>
              <w:right w:val="nil"/>
            </w:tcBorders>
            <w:shd w:val="clear" w:color="000000" w:fill="FFFFFF"/>
            <w:noWrap/>
            <w:vAlign w:val="center"/>
            <w:hideMark/>
          </w:tcPr>
          <w:p w14:paraId="1429AF7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1E3CC95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1D05AE8F"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7E06592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57C4883A" w14:textId="77777777" w:rsidTr="00F17AF0">
        <w:trPr>
          <w:trHeight w:val="283"/>
        </w:trPr>
        <w:tc>
          <w:tcPr>
            <w:tcW w:w="1683" w:type="pct"/>
            <w:tcBorders>
              <w:top w:val="nil"/>
              <w:left w:val="nil"/>
              <w:bottom w:val="nil"/>
              <w:right w:val="nil"/>
            </w:tcBorders>
            <w:shd w:val="clear" w:color="000000" w:fill="FFFFFF"/>
            <w:noWrap/>
            <w:vAlign w:val="center"/>
            <w:hideMark/>
          </w:tcPr>
          <w:p w14:paraId="3B012E04"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Private Equity</w:t>
            </w:r>
          </w:p>
        </w:tc>
        <w:tc>
          <w:tcPr>
            <w:tcW w:w="829" w:type="pct"/>
            <w:tcBorders>
              <w:top w:val="nil"/>
              <w:left w:val="nil"/>
              <w:bottom w:val="nil"/>
              <w:right w:val="nil"/>
            </w:tcBorders>
            <w:shd w:val="clear" w:color="000000" w:fill="FFFFFF"/>
            <w:noWrap/>
            <w:vAlign w:val="center"/>
            <w:hideMark/>
          </w:tcPr>
          <w:p w14:paraId="374F2D4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FFFFFF"/>
            <w:noWrap/>
            <w:vAlign w:val="center"/>
            <w:hideMark/>
          </w:tcPr>
          <w:p w14:paraId="73884D10"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4F0143F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7E993CF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r>
      <w:tr w:rsidR="006B7770" w:rsidRPr="006B7770" w14:paraId="1662B896" w14:textId="77777777" w:rsidTr="00F17AF0">
        <w:trPr>
          <w:trHeight w:val="283"/>
        </w:trPr>
        <w:tc>
          <w:tcPr>
            <w:tcW w:w="1683" w:type="pct"/>
            <w:tcBorders>
              <w:top w:val="nil"/>
              <w:left w:val="nil"/>
              <w:bottom w:val="nil"/>
              <w:right w:val="nil"/>
            </w:tcBorders>
            <w:shd w:val="clear" w:color="000000" w:fill="FFFFFF"/>
            <w:noWrap/>
            <w:vAlign w:val="center"/>
            <w:hideMark/>
          </w:tcPr>
          <w:p w14:paraId="29AAF16A"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All</w:t>
            </w:r>
          </w:p>
        </w:tc>
        <w:tc>
          <w:tcPr>
            <w:tcW w:w="829" w:type="pct"/>
            <w:tcBorders>
              <w:top w:val="nil"/>
              <w:left w:val="nil"/>
              <w:bottom w:val="nil"/>
              <w:right w:val="nil"/>
            </w:tcBorders>
            <w:shd w:val="clear" w:color="000000" w:fill="FFFFFF"/>
            <w:noWrap/>
            <w:vAlign w:val="center"/>
            <w:hideMark/>
          </w:tcPr>
          <w:p w14:paraId="1DFC28E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18,200.3</w:t>
            </w:r>
          </w:p>
        </w:tc>
        <w:tc>
          <w:tcPr>
            <w:tcW w:w="829" w:type="pct"/>
            <w:tcBorders>
              <w:top w:val="nil"/>
              <w:left w:val="nil"/>
              <w:bottom w:val="nil"/>
              <w:right w:val="nil"/>
            </w:tcBorders>
            <w:shd w:val="clear" w:color="000000" w:fill="FFFFFF"/>
            <w:noWrap/>
            <w:vAlign w:val="center"/>
            <w:hideMark/>
          </w:tcPr>
          <w:p w14:paraId="6DBA0500"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8%</w:t>
            </w:r>
          </w:p>
        </w:tc>
        <w:tc>
          <w:tcPr>
            <w:tcW w:w="829" w:type="pct"/>
            <w:tcBorders>
              <w:top w:val="nil"/>
              <w:left w:val="nil"/>
              <w:bottom w:val="nil"/>
              <w:right w:val="nil"/>
            </w:tcBorders>
            <w:shd w:val="clear" w:color="000000" w:fill="CCECFF"/>
            <w:noWrap/>
            <w:vAlign w:val="center"/>
            <w:hideMark/>
          </w:tcPr>
          <w:p w14:paraId="145EBE19"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19,884.9 </w:t>
            </w:r>
          </w:p>
        </w:tc>
        <w:tc>
          <w:tcPr>
            <w:tcW w:w="829" w:type="pct"/>
            <w:tcBorders>
              <w:top w:val="nil"/>
              <w:left w:val="nil"/>
              <w:bottom w:val="nil"/>
              <w:right w:val="nil"/>
            </w:tcBorders>
            <w:shd w:val="clear" w:color="000000" w:fill="CCECFF"/>
            <w:noWrap/>
            <w:vAlign w:val="center"/>
            <w:hideMark/>
          </w:tcPr>
          <w:p w14:paraId="11AF8A8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7%</w:t>
            </w:r>
          </w:p>
        </w:tc>
      </w:tr>
      <w:tr w:rsidR="006B7770" w:rsidRPr="006B7770" w14:paraId="6F01B992" w14:textId="77777777" w:rsidTr="00F17AF0">
        <w:trPr>
          <w:trHeight w:val="283"/>
        </w:trPr>
        <w:tc>
          <w:tcPr>
            <w:tcW w:w="1683" w:type="pct"/>
            <w:tcBorders>
              <w:top w:val="nil"/>
              <w:left w:val="nil"/>
              <w:bottom w:val="nil"/>
              <w:right w:val="nil"/>
            </w:tcBorders>
            <w:shd w:val="clear" w:color="000000" w:fill="FFFFFF"/>
            <w:noWrap/>
            <w:vAlign w:val="center"/>
            <w:hideMark/>
          </w:tcPr>
          <w:p w14:paraId="64500DE9"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Real Estate</w:t>
            </w:r>
          </w:p>
        </w:tc>
        <w:tc>
          <w:tcPr>
            <w:tcW w:w="829" w:type="pct"/>
            <w:tcBorders>
              <w:top w:val="nil"/>
              <w:left w:val="nil"/>
              <w:bottom w:val="nil"/>
              <w:right w:val="nil"/>
            </w:tcBorders>
            <w:shd w:val="clear" w:color="000000" w:fill="FFFFFF"/>
            <w:noWrap/>
            <w:vAlign w:val="center"/>
            <w:hideMark/>
          </w:tcPr>
          <w:p w14:paraId="6E327F0E"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FFFFFF"/>
            <w:noWrap/>
            <w:vAlign w:val="center"/>
            <w:hideMark/>
          </w:tcPr>
          <w:p w14:paraId="22412D01"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39684F03"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71AC032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r>
      <w:tr w:rsidR="006B7770" w:rsidRPr="006B7770" w14:paraId="40B2A3C5" w14:textId="77777777" w:rsidTr="00F17AF0">
        <w:trPr>
          <w:trHeight w:val="283"/>
        </w:trPr>
        <w:tc>
          <w:tcPr>
            <w:tcW w:w="1683" w:type="pct"/>
            <w:tcBorders>
              <w:top w:val="nil"/>
              <w:left w:val="nil"/>
              <w:bottom w:val="nil"/>
              <w:right w:val="nil"/>
            </w:tcBorders>
            <w:shd w:val="clear" w:color="000000" w:fill="FFFFFF"/>
            <w:noWrap/>
            <w:vAlign w:val="center"/>
            <w:hideMark/>
          </w:tcPr>
          <w:p w14:paraId="3038FE1E"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UK Property</w:t>
            </w:r>
          </w:p>
        </w:tc>
        <w:tc>
          <w:tcPr>
            <w:tcW w:w="829" w:type="pct"/>
            <w:tcBorders>
              <w:top w:val="nil"/>
              <w:left w:val="nil"/>
              <w:bottom w:val="nil"/>
              <w:right w:val="nil"/>
            </w:tcBorders>
            <w:shd w:val="clear" w:color="000000" w:fill="FFFFFF"/>
            <w:noWrap/>
            <w:vAlign w:val="center"/>
            <w:hideMark/>
          </w:tcPr>
          <w:p w14:paraId="157983E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21,181.3</w:t>
            </w:r>
          </w:p>
        </w:tc>
        <w:tc>
          <w:tcPr>
            <w:tcW w:w="829" w:type="pct"/>
            <w:tcBorders>
              <w:top w:val="nil"/>
              <w:left w:val="nil"/>
              <w:bottom w:val="nil"/>
              <w:right w:val="nil"/>
            </w:tcBorders>
            <w:shd w:val="clear" w:color="000000" w:fill="FFFFFF"/>
            <w:noWrap/>
            <w:vAlign w:val="center"/>
            <w:hideMark/>
          </w:tcPr>
          <w:p w14:paraId="71C678A1"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9%</w:t>
            </w:r>
          </w:p>
        </w:tc>
        <w:tc>
          <w:tcPr>
            <w:tcW w:w="829" w:type="pct"/>
            <w:tcBorders>
              <w:top w:val="nil"/>
              <w:left w:val="nil"/>
              <w:bottom w:val="nil"/>
              <w:right w:val="nil"/>
            </w:tcBorders>
            <w:shd w:val="clear" w:color="000000" w:fill="CCECFF"/>
            <w:noWrap/>
            <w:vAlign w:val="center"/>
            <w:hideMark/>
          </w:tcPr>
          <w:p w14:paraId="660EA369"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19,279.4 </w:t>
            </w:r>
          </w:p>
        </w:tc>
        <w:tc>
          <w:tcPr>
            <w:tcW w:w="829" w:type="pct"/>
            <w:tcBorders>
              <w:top w:val="nil"/>
              <w:left w:val="nil"/>
              <w:bottom w:val="nil"/>
              <w:right w:val="nil"/>
            </w:tcBorders>
            <w:shd w:val="clear" w:color="000000" w:fill="CCECFF"/>
            <w:noWrap/>
            <w:vAlign w:val="center"/>
            <w:hideMark/>
          </w:tcPr>
          <w:p w14:paraId="5A9FD4C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7%</w:t>
            </w:r>
          </w:p>
        </w:tc>
      </w:tr>
      <w:tr w:rsidR="006B7770" w:rsidRPr="006B7770" w14:paraId="71AC0214" w14:textId="77777777" w:rsidTr="00F17AF0">
        <w:trPr>
          <w:trHeight w:val="283"/>
        </w:trPr>
        <w:tc>
          <w:tcPr>
            <w:tcW w:w="1683" w:type="pct"/>
            <w:tcBorders>
              <w:top w:val="nil"/>
              <w:left w:val="nil"/>
              <w:bottom w:val="nil"/>
              <w:right w:val="nil"/>
            </w:tcBorders>
            <w:shd w:val="clear" w:color="000000" w:fill="FFFFFF"/>
            <w:noWrap/>
            <w:vAlign w:val="center"/>
            <w:hideMark/>
          </w:tcPr>
          <w:p w14:paraId="20418F5D"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Overseas Property</w:t>
            </w:r>
          </w:p>
        </w:tc>
        <w:tc>
          <w:tcPr>
            <w:tcW w:w="829" w:type="pct"/>
            <w:tcBorders>
              <w:top w:val="nil"/>
              <w:left w:val="nil"/>
              <w:bottom w:val="nil"/>
              <w:right w:val="nil"/>
            </w:tcBorders>
            <w:shd w:val="clear" w:color="000000" w:fill="FFFFFF"/>
            <w:noWrap/>
            <w:vAlign w:val="center"/>
            <w:hideMark/>
          </w:tcPr>
          <w:p w14:paraId="0E25B19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1,686.7</w:t>
            </w:r>
          </w:p>
        </w:tc>
        <w:tc>
          <w:tcPr>
            <w:tcW w:w="829" w:type="pct"/>
            <w:tcBorders>
              <w:top w:val="nil"/>
              <w:left w:val="nil"/>
              <w:bottom w:val="nil"/>
              <w:right w:val="nil"/>
            </w:tcBorders>
            <w:shd w:val="clear" w:color="000000" w:fill="FFFFFF"/>
            <w:noWrap/>
            <w:vAlign w:val="center"/>
            <w:hideMark/>
          </w:tcPr>
          <w:p w14:paraId="571B8ACF"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c>
          <w:tcPr>
            <w:tcW w:w="829" w:type="pct"/>
            <w:tcBorders>
              <w:top w:val="nil"/>
              <w:left w:val="nil"/>
              <w:bottom w:val="nil"/>
              <w:right w:val="nil"/>
            </w:tcBorders>
            <w:shd w:val="clear" w:color="000000" w:fill="CCECFF"/>
            <w:noWrap/>
            <w:vAlign w:val="center"/>
            <w:hideMark/>
          </w:tcPr>
          <w:p w14:paraId="56A8F892"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1,839.8 </w:t>
            </w:r>
          </w:p>
        </w:tc>
        <w:tc>
          <w:tcPr>
            <w:tcW w:w="829" w:type="pct"/>
            <w:tcBorders>
              <w:top w:val="nil"/>
              <w:left w:val="nil"/>
              <w:bottom w:val="nil"/>
              <w:right w:val="nil"/>
            </w:tcBorders>
            <w:shd w:val="clear" w:color="000000" w:fill="CCECFF"/>
            <w:noWrap/>
            <w:vAlign w:val="center"/>
            <w:hideMark/>
          </w:tcPr>
          <w:p w14:paraId="2B54DCE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w:t>
            </w:r>
          </w:p>
        </w:tc>
      </w:tr>
      <w:tr w:rsidR="006B7770" w:rsidRPr="006B7770" w14:paraId="62A053DF" w14:textId="77777777" w:rsidTr="00F17AF0">
        <w:trPr>
          <w:trHeight w:val="283"/>
        </w:trPr>
        <w:tc>
          <w:tcPr>
            <w:tcW w:w="1683" w:type="pct"/>
            <w:tcBorders>
              <w:top w:val="nil"/>
              <w:left w:val="nil"/>
              <w:bottom w:val="nil"/>
              <w:right w:val="nil"/>
            </w:tcBorders>
            <w:shd w:val="clear" w:color="000000" w:fill="FFFFFF"/>
            <w:vAlign w:val="center"/>
            <w:hideMark/>
          </w:tcPr>
          <w:p w14:paraId="6ED8A9E1"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Investment Funds and Unit Trusts</w:t>
            </w:r>
          </w:p>
        </w:tc>
        <w:tc>
          <w:tcPr>
            <w:tcW w:w="829" w:type="pct"/>
            <w:tcBorders>
              <w:top w:val="nil"/>
              <w:left w:val="nil"/>
              <w:bottom w:val="nil"/>
              <w:right w:val="nil"/>
            </w:tcBorders>
            <w:shd w:val="clear" w:color="000000" w:fill="FFFFFF"/>
            <w:noWrap/>
            <w:vAlign w:val="center"/>
            <w:hideMark/>
          </w:tcPr>
          <w:p w14:paraId="08FA1D3E"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FFFFFF"/>
            <w:noWrap/>
            <w:vAlign w:val="center"/>
            <w:hideMark/>
          </w:tcPr>
          <w:p w14:paraId="7E409AC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0F7EBA8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0BC6BF2A"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r>
      <w:tr w:rsidR="006B7770" w:rsidRPr="006B7770" w14:paraId="41927708" w14:textId="77777777" w:rsidTr="00F17AF0">
        <w:trPr>
          <w:trHeight w:val="283"/>
        </w:trPr>
        <w:tc>
          <w:tcPr>
            <w:tcW w:w="1683" w:type="pct"/>
            <w:tcBorders>
              <w:top w:val="nil"/>
              <w:left w:val="nil"/>
              <w:bottom w:val="nil"/>
              <w:right w:val="nil"/>
            </w:tcBorders>
            <w:shd w:val="clear" w:color="000000" w:fill="FFFFFF"/>
            <w:noWrap/>
            <w:vAlign w:val="center"/>
            <w:hideMark/>
          </w:tcPr>
          <w:p w14:paraId="3BBE72E5"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Equities</w:t>
            </w:r>
          </w:p>
        </w:tc>
        <w:tc>
          <w:tcPr>
            <w:tcW w:w="829" w:type="pct"/>
            <w:tcBorders>
              <w:top w:val="nil"/>
              <w:left w:val="nil"/>
              <w:bottom w:val="nil"/>
              <w:right w:val="nil"/>
            </w:tcBorders>
            <w:shd w:val="clear" w:color="000000" w:fill="FFFFFF"/>
            <w:noWrap/>
            <w:vAlign w:val="center"/>
            <w:hideMark/>
          </w:tcPr>
          <w:p w14:paraId="144A8FB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91,749.5</w:t>
            </w:r>
          </w:p>
        </w:tc>
        <w:tc>
          <w:tcPr>
            <w:tcW w:w="829" w:type="pct"/>
            <w:tcBorders>
              <w:top w:val="nil"/>
              <w:left w:val="nil"/>
              <w:bottom w:val="nil"/>
              <w:right w:val="nil"/>
            </w:tcBorders>
            <w:shd w:val="clear" w:color="000000" w:fill="FFFFFF"/>
            <w:noWrap/>
            <w:vAlign w:val="center"/>
            <w:hideMark/>
          </w:tcPr>
          <w:p w14:paraId="0B780EC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38%</w:t>
            </w:r>
          </w:p>
        </w:tc>
        <w:tc>
          <w:tcPr>
            <w:tcW w:w="829" w:type="pct"/>
            <w:tcBorders>
              <w:top w:val="nil"/>
              <w:left w:val="nil"/>
              <w:bottom w:val="nil"/>
              <w:right w:val="nil"/>
            </w:tcBorders>
            <w:shd w:val="clear" w:color="000000" w:fill="CCECFF"/>
            <w:noWrap/>
            <w:vAlign w:val="center"/>
            <w:hideMark/>
          </w:tcPr>
          <w:p w14:paraId="17DB19E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97,679.3 </w:t>
            </w:r>
          </w:p>
        </w:tc>
        <w:tc>
          <w:tcPr>
            <w:tcW w:w="829" w:type="pct"/>
            <w:tcBorders>
              <w:top w:val="nil"/>
              <w:left w:val="nil"/>
              <w:bottom w:val="nil"/>
              <w:right w:val="nil"/>
            </w:tcBorders>
            <w:shd w:val="clear" w:color="000000" w:fill="CCECFF"/>
            <w:noWrap/>
            <w:vAlign w:val="center"/>
            <w:hideMark/>
          </w:tcPr>
          <w:p w14:paraId="4B7E265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37%</w:t>
            </w:r>
          </w:p>
        </w:tc>
      </w:tr>
      <w:tr w:rsidR="006B7770" w:rsidRPr="006B7770" w14:paraId="50336AAF" w14:textId="77777777" w:rsidTr="00F17AF0">
        <w:trPr>
          <w:trHeight w:val="283"/>
        </w:trPr>
        <w:tc>
          <w:tcPr>
            <w:tcW w:w="1683" w:type="pct"/>
            <w:tcBorders>
              <w:top w:val="nil"/>
              <w:left w:val="nil"/>
              <w:bottom w:val="nil"/>
              <w:right w:val="nil"/>
            </w:tcBorders>
            <w:shd w:val="clear" w:color="000000" w:fill="FFFFFF"/>
            <w:noWrap/>
            <w:vAlign w:val="center"/>
            <w:hideMark/>
          </w:tcPr>
          <w:p w14:paraId="2AED3F0E"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Bonds</w:t>
            </w:r>
          </w:p>
        </w:tc>
        <w:tc>
          <w:tcPr>
            <w:tcW w:w="829" w:type="pct"/>
            <w:tcBorders>
              <w:top w:val="nil"/>
              <w:left w:val="nil"/>
              <w:bottom w:val="nil"/>
              <w:right w:val="nil"/>
            </w:tcBorders>
            <w:shd w:val="clear" w:color="000000" w:fill="FFFFFF"/>
            <w:noWrap/>
            <w:vAlign w:val="center"/>
            <w:hideMark/>
          </w:tcPr>
          <w:p w14:paraId="6A98CB0F"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35,481.7</w:t>
            </w:r>
          </w:p>
        </w:tc>
        <w:tc>
          <w:tcPr>
            <w:tcW w:w="829" w:type="pct"/>
            <w:tcBorders>
              <w:top w:val="nil"/>
              <w:left w:val="nil"/>
              <w:bottom w:val="nil"/>
              <w:right w:val="nil"/>
            </w:tcBorders>
            <w:shd w:val="clear" w:color="000000" w:fill="FFFFFF"/>
            <w:noWrap/>
            <w:vAlign w:val="center"/>
            <w:hideMark/>
          </w:tcPr>
          <w:p w14:paraId="02B2E98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15%</w:t>
            </w:r>
          </w:p>
        </w:tc>
        <w:tc>
          <w:tcPr>
            <w:tcW w:w="829" w:type="pct"/>
            <w:tcBorders>
              <w:top w:val="nil"/>
              <w:left w:val="nil"/>
              <w:bottom w:val="nil"/>
              <w:right w:val="nil"/>
            </w:tcBorders>
            <w:shd w:val="clear" w:color="000000" w:fill="CCECFF"/>
            <w:noWrap/>
            <w:vAlign w:val="center"/>
            <w:hideMark/>
          </w:tcPr>
          <w:p w14:paraId="24B582D0"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39,413.8 </w:t>
            </w:r>
          </w:p>
        </w:tc>
        <w:tc>
          <w:tcPr>
            <w:tcW w:w="829" w:type="pct"/>
            <w:tcBorders>
              <w:top w:val="nil"/>
              <w:left w:val="nil"/>
              <w:bottom w:val="nil"/>
              <w:right w:val="nil"/>
            </w:tcBorders>
            <w:shd w:val="clear" w:color="000000" w:fill="CCECFF"/>
            <w:noWrap/>
            <w:vAlign w:val="center"/>
            <w:hideMark/>
          </w:tcPr>
          <w:p w14:paraId="626823D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15%</w:t>
            </w:r>
          </w:p>
        </w:tc>
      </w:tr>
      <w:tr w:rsidR="006B7770" w:rsidRPr="006B7770" w14:paraId="7DE80591" w14:textId="77777777" w:rsidTr="00F17AF0">
        <w:trPr>
          <w:trHeight w:val="283"/>
        </w:trPr>
        <w:tc>
          <w:tcPr>
            <w:tcW w:w="1683" w:type="pct"/>
            <w:tcBorders>
              <w:top w:val="nil"/>
              <w:left w:val="nil"/>
              <w:bottom w:val="nil"/>
              <w:right w:val="nil"/>
            </w:tcBorders>
            <w:shd w:val="clear" w:color="000000" w:fill="FFFFFF"/>
            <w:noWrap/>
            <w:vAlign w:val="center"/>
            <w:hideMark/>
          </w:tcPr>
          <w:p w14:paraId="5F90A047"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Hedge Funds</w:t>
            </w:r>
          </w:p>
        </w:tc>
        <w:tc>
          <w:tcPr>
            <w:tcW w:w="829" w:type="pct"/>
            <w:tcBorders>
              <w:top w:val="nil"/>
              <w:left w:val="nil"/>
              <w:bottom w:val="nil"/>
              <w:right w:val="nil"/>
            </w:tcBorders>
            <w:shd w:val="clear" w:color="000000" w:fill="FFFFFF"/>
            <w:noWrap/>
            <w:vAlign w:val="center"/>
            <w:hideMark/>
          </w:tcPr>
          <w:p w14:paraId="4A61A26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1EA11940"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25526413"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64D5ECB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4B081FC9" w14:textId="77777777" w:rsidTr="00F17AF0">
        <w:trPr>
          <w:trHeight w:val="283"/>
        </w:trPr>
        <w:tc>
          <w:tcPr>
            <w:tcW w:w="1683" w:type="pct"/>
            <w:tcBorders>
              <w:top w:val="nil"/>
              <w:left w:val="nil"/>
              <w:bottom w:val="nil"/>
              <w:right w:val="nil"/>
            </w:tcBorders>
            <w:shd w:val="clear" w:color="000000" w:fill="FFFFFF"/>
            <w:noWrap/>
            <w:vAlign w:val="center"/>
            <w:hideMark/>
          </w:tcPr>
          <w:p w14:paraId="492A95FE"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Commodities</w:t>
            </w:r>
          </w:p>
        </w:tc>
        <w:tc>
          <w:tcPr>
            <w:tcW w:w="829" w:type="pct"/>
            <w:tcBorders>
              <w:top w:val="nil"/>
              <w:left w:val="nil"/>
              <w:bottom w:val="nil"/>
              <w:right w:val="nil"/>
            </w:tcBorders>
            <w:shd w:val="clear" w:color="000000" w:fill="FFFFFF"/>
            <w:noWrap/>
            <w:vAlign w:val="center"/>
            <w:hideMark/>
          </w:tcPr>
          <w:p w14:paraId="01C9171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1A88148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7187DE2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0462529E"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40D62143" w14:textId="77777777" w:rsidTr="00F17AF0">
        <w:trPr>
          <w:trHeight w:val="283"/>
        </w:trPr>
        <w:tc>
          <w:tcPr>
            <w:tcW w:w="1683" w:type="pct"/>
            <w:tcBorders>
              <w:top w:val="nil"/>
              <w:left w:val="nil"/>
              <w:bottom w:val="nil"/>
              <w:right w:val="nil"/>
            </w:tcBorders>
            <w:shd w:val="clear" w:color="000000" w:fill="FFFFFF"/>
            <w:noWrap/>
            <w:vAlign w:val="center"/>
            <w:hideMark/>
          </w:tcPr>
          <w:p w14:paraId="11B83831"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Infrastructure</w:t>
            </w:r>
          </w:p>
        </w:tc>
        <w:tc>
          <w:tcPr>
            <w:tcW w:w="829" w:type="pct"/>
            <w:tcBorders>
              <w:top w:val="nil"/>
              <w:left w:val="nil"/>
              <w:bottom w:val="nil"/>
              <w:right w:val="nil"/>
            </w:tcBorders>
            <w:shd w:val="clear" w:color="000000" w:fill="FFFFFF"/>
            <w:noWrap/>
            <w:vAlign w:val="center"/>
            <w:hideMark/>
          </w:tcPr>
          <w:p w14:paraId="63505EEE"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14,509.9</w:t>
            </w:r>
          </w:p>
        </w:tc>
        <w:tc>
          <w:tcPr>
            <w:tcW w:w="829" w:type="pct"/>
            <w:tcBorders>
              <w:top w:val="nil"/>
              <w:left w:val="nil"/>
              <w:bottom w:val="nil"/>
              <w:right w:val="nil"/>
            </w:tcBorders>
            <w:shd w:val="clear" w:color="000000" w:fill="FFFFFF"/>
            <w:noWrap/>
            <w:vAlign w:val="center"/>
            <w:hideMark/>
          </w:tcPr>
          <w:p w14:paraId="1D56B3F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6%</w:t>
            </w:r>
          </w:p>
        </w:tc>
        <w:tc>
          <w:tcPr>
            <w:tcW w:w="829" w:type="pct"/>
            <w:tcBorders>
              <w:top w:val="nil"/>
              <w:left w:val="nil"/>
              <w:bottom w:val="nil"/>
              <w:right w:val="nil"/>
            </w:tcBorders>
            <w:shd w:val="clear" w:color="000000" w:fill="CCECFF"/>
            <w:noWrap/>
            <w:vAlign w:val="center"/>
            <w:hideMark/>
          </w:tcPr>
          <w:p w14:paraId="2242ECF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16,211.8 </w:t>
            </w:r>
          </w:p>
        </w:tc>
        <w:tc>
          <w:tcPr>
            <w:tcW w:w="829" w:type="pct"/>
            <w:tcBorders>
              <w:top w:val="nil"/>
              <w:left w:val="nil"/>
              <w:bottom w:val="nil"/>
              <w:right w:val="nil"/>
            </w:tcBorders>
            <w:shd w:val="clear" w:color="000000" w:fill="CCECFF"/>
            <w:noWrap/>
            <w:vAlign w:val="center"/>
            <w:hideMark/>
          </w:tcPr>
          <w:p w14:paraId="7C897839"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6%</w:t>
            </w:r>
          </w:p>
        </w:tc>
      </w:tr>
      <w:tr w:rsidR="006B7770" w:rsidRPr="006B7770" w14:paraId="6F0AEA65" w14:textId="77777777" w:rsidTr="00F17AF0">
        <w:trPr>
          <w:trHeight w:val="283"/>
        </w:trPr>
        <w:tc>
          <w:tcPr>
            <w:tcW w:w="1683" w:type="pct"/>
            <w:tcBorders>
              <w:top w:val="nil"/>
              <w:left w:val="nil"/>
              <w:bottom w:val="nil"/>
              <w:right w:val="nil"/>
            </w:tcBorders>
            <w:shd w:val="clear" w:color="000000" w:fill="FFFFFF"/>
            <w:noWrap/>
            <w:vAlign w:val="center"/>
            <w:hideMark/>
          </w:tcPr>
          <w:p w14:paraId="71C6D93C"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Other</w:t>
            </w:r>
          </w:p>
        </w:tc>
        <w:tc>
          <w:tcPr>
            <w:tcW w:w="829" w:type="pct"/>
            <w:tcBorders>
              <w:top w:val="nil"/>
              <w:left w:val="nil"/>
              <w:bottom w:val="nil"/>
              <w:right w:val="nil"/>
            </w:tcBorders>
            <w:shd w:val="clear" w:color="000000" w:fill="FFFFFF"/>
            <w:noWrap/>
            <w:vAlign w:val="center"/>
            <w:hideMark/>
          </w:tcPr>
          <w:p w14:paraId="7488C11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3D64779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524C5C1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56755A02"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2D0476F3" w14:textId="77777777" w:rsidTr="00F17AF0">
        <w:trPr>
          <w:trHeight w:val="283"/>
        </w:trPr>
        <w:tc>
          <w:tcPr>
            <w:tcW w:w="1683" w:type="pct"/>
            <w:tcBorders>
              <w:top w:val="nil"/>
              <w:left w:val="nil"/>
              <w:bottom w:val="nil"/>
              <w:right w:val="nil"/>
            </w:tcBorders>
            <w:shd w:val="clear" w:color="000000" w:fill="FFFFFF"/>
            <w:noWrap/>
            <w:vAlign w:val="center"/>
            <w:hideMark/>
          </w:tcPr>
          <w:p w14:paraId="10CF2592"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Derivatives</w:t>
            </w:r>
          </w:p>
        </w:tc>
        <w:tc>
          <w:tcPr>
            <w:tcW w:w="829" w:type="pct"/>
            <w:tcBorders>
              <w:top w:val="nil"/>
              <w:left w:val="nil"/>
              <w:bottom w:val="nil"/>
              <w:right w:val="nil"/>
            </w:tcBorders>
            <w:shd w:val="clear" w:color="000000" w:fill="FFFFFF"/>
            <w:noWrap/>
            <w:vAlign w:val="center"/>
            <w:hideMark/>
          </w:tcPr>
          <w:p w14:paraId="75E115B2"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FFFFFF"/>
            <w:noWrap/>
            <w:vAlign w:val="center"/>
            <w:hideMark/>
          </w:tcPr>
          <w:p w14:paraId="570A4EB1"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4179AE0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7416E2B7"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r>
      <w:tr w:rsidR="006B7770" w:rsidRPr="006B7770" w14:paraId="6B446BB2" w14:textId="77777777" w:rsidTr="00F17AF0">
        <w:trPr>
          <w:trHeight w:val="283"/>
        </w:trPr>
        <w:tc>
          <w:tcPr>
            <w:tcW w:w="1683" w:type="pct"/>
            <w:tcBorders>
              <w:top w:val="nil"/>
              <w:left w:val="nil"/>
              <w:bottom w:val="nil"/>
              <w:right w:val="nil"/>
            </w:tcBorders>
            <w:shd w:val="clear" w:color="000000" w:fill="FFFFFF"/>
            <w:noWrap/>
            <w:vAlign w:val="center"/>
            <w:hideMark/>
          </w:tcPr>
          <w:p w14:paraId="1F54147B"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Inflation</w:t>
            </w:r>
          </w:p>
        </w:tc>
        <w:tc>
          <w:tcPr>
            <w:tcW w:w="829" w:type="pct"/>
            <w:tcBorders>
              <w:top w:val="nil"/>
              <w:left w:val="nil"/>
              <w:bottom w:val="nil"/>
              <w:right w:val="nil"/>
            </w:tcBorders>
            <w:shd w:val="clear" w:color="000000" w:fill="FFFFFF"/>
            <w:noWrap/>
            <w:vAlign w:val="center"/>
            <w:hideMark/>
          </w:tcPr>
          <w:p w14:paraId="77A2821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3066345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5BF2515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7A27FDE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11C4E306" w14:textId="77777777" w:rsidTr="00F17AF0">
        <w:trPr>
          <w:trHeight w:val="283"/>
        </w:trPr>
        <w:tc>
          <w:tcPr>
            <w:tcW w:w="1683" w:type="pct"/>
            <w:tcBorders>
              <w:top w:val="nil"/>
              <w:left w:val="nil"/>
              <w:bottom w:val="nil"/>
              <w:right w:val="nil"/>
            </w:tcBorders>
            <w:shd w:val="clear" w:color="000000" w:fill="FFFFFF"/>
            <w:noWrap/>
            <w:vAlign w:val="center"/>
            <w:hideMark/>
          </w:tcPr>
          <w:p w14:paraId="3AE47158"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Interest Rate</w:t>
            </w:r>
          </w:p>
        </w:tc>
        <w:tc>
          <w:tcPr>
            <w:tcW w:w="829" w:type="pct"/>
            <w:tcBorders>
              <w:top w:val="nil"/>
              <w:left w:val="nil"/>
              <w:bottom w:val="nil"/>
              <w:right w:val="nil"/>
            </w:tcBorders>
            <w:shd w:val="clear" w:color="000000" w:fill="FFFFFF"/>
            <w:noWrap/>
            <w:vAlign w:val="center"/>
            <w:hideMark/>
          </w:tcPr>
          <w:p w14:paraId="68DD032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01CFB6C2"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18A2E90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3CD3508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3B357AA0" w14:textId="77777777" w:rsidTr="00F17AF0">
        <w:trPr>
          <w:trHeight w:val="283"/>
        </w:trPr>
        <w:tc>
          <w:tcPr>
            <w:tcW w:w="1683" w:type="pct"/>
            <w:tcBorders>
              <w:top w:val="nil"/>
              <w:left w:val="nil"/>
              <w:bottom w:val="nil"/>
              <w:right w:val="nil"/>
            </w:tcBorders>
            <w:shd w:val="clear" w:color="000000" w:fill="FFFFFF"/>
            <w:noWrap/>
            <w:vAlign w:val="center"/>
            <w:hideMark/>
          </w:tcPr>
          <w:p w14:paraId="49461573"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Foreign Exchange</w:t>
            </w:r>
          </w:p>
        </w:tc>
        <w:tc>
          <w:tcPr>
            <w:tcW w:w="829" w:type="pct"/>
            <w:tcBorders>
              <w:top w:val="nil"/>
              <w:left w:val="nil"/>
              <w:bottom w:val="nil"/>
              <w:right w:val="nil"/>
            </w:tcBorders>
            <w:shd w:val="clear" w:color="000000" w:fill="FFFFFF"/>
            <w:noWrap/>
            <w:vAlign w:val="center"/>
            <w:hideMark/>
          </w:tcPr>
          <w:p w14:paraId="20B1C66E"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(1.7)</w:t>
            </w:r>
          </w:p>
        </w:tc>
        <w:tc>
          <w:tcPr>
            <w:tcW w:w="829" w:type="pct"/>
            <w:tcBorders>
              <w:top w:val="nil"/>
              <w:left w:val="nil"/>
              <w:bottom w:val="nil"/>
              <w:right w:val="nil"/>
            </w:tcBorders>
            <w:shd w:val="clear" w:color="000000" w:fill="FFFFFF"/>
            <w:noWrap/>
            <w:vAlign w:val="center"/>
            <w:hideMark/>
          </w:tcPr>
          <w:p w14:paraId="5F1621C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6F1ADBDB"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0.1</w:t>
            </w:r>
          </w:p>
        </w:tc>
        <w:tc>
          <w:tcPr>
            <w:tcW w:w="829" w:type="pct"/>
            <w:tcBorders>
              <w:top w:val="nil"/>
              <w:left w:val="nil"/>
              <w:bottom w:val="nil"/>
              <w:right w:val="nil"/>
            </w:tcBorders>
            <w:shd w:val="clear" w:color="000000" w:fill="CCECFF"/>
            <w:noWrap/>
            <w:vAlign w:val="center"/>
            <w:hideMark/>
          </w:tcPr>
          <w:p w14:paraId="74715778"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687C8AFF" w14:textId="77777777" w:rsidTr="00F17AF0">
        <w:trPr>
          <w:trHeight w:val="283"/>
        </w:trPr>
        <w:tc>
          <w:tcPr>
            <w:tcW w:w="1683" w:type="pct"/>
            <w:tcBorders>
              <w:top w:val="nil"/>
              <w:left w:val="nil"/>
              <w:bottom w:val="nil"/>
              <w:right w:val="nil"/>
            </w:tcBorders>
            <w:shd w:val="clear" w:color="000000" w:fill="FFFFFF"/>
            <w:noWrap/>
            <w:vAlign w:val="center"/>
            <w:hideMark/>
          </w:tcPr>
          <w:p w14:paraId="0DAE127C"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Other</w:t>
            </w:r>
          </w:p>
        </w:tc>
        <w:tc>
          <w:tcPr>
            <w:tcW w:w="829" w:type="pct"/>
            <w:tcBorders>
              <w:top w:val="nil"/>
              <w:left w:val="nil"/>
              <w:bottom w:val="nil"/>
              <w:right w:val="nil"/>
            </w:tcBorders>
            <w:shd w:val="clear" w:color="000000" w:fill="FFFFFF"/>
            <w:noWrap/>
            <w:vAlign w:val="center"/>
            <w:hideMark/>
          </w:tcPr>
          <w:p w14:paraId="6A07E80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w:t>
            </w:r>
          </w:p>
        </w:tc>
        <w:tc>
          <w:tcPr>
            <w:tcW w:w="829" w:type="pct"/>
            <w:tcBorders>
              <w:top w:val="nil"/>
              <w:left w:val="nil"/>
              <w:bottom w:val="nil"/>
              <w:right w:val="nil"/>
            </w:tcBorders>
            <w:shd w:val="clear" w:color="000000" w:fill="FFFFFF"/>
            <w:noWrap/>
            <w:vAlign w:val="center"/>
            <w:hideMark/>
          </w:tcPr>
          <w:p w14:paraId="4C5D2B3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c>
          <w:tcPr>
            <w:tcW w:w="829" w:type="pct"/>
            <w:tcBorders>
              <w:top w:val="nil"/>
              <w:left w:val="nil"/>
              <w:bottom w:val="nil"/>
              <w:right w:val="nil"/>
            </w:tcBorders>
            <w:shd w:val="clear" w:color="000000" w:fill="CCECFF"/>
            <w:noWrap/>
            <w:vAlign w:val="center"/>
            <w:hideMark/>
          </w:tcPr>
          <w:p w14:paraId="2D507CB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   </w:t>
            </w:r>
          </w:p>
        </w:tc>
        <w:tc>
          <w:tcPr>
            <w:tcW w:w="829" w:type="pct"/>
            <w:tcBorders>
              <w:top w:val="nil"/>
              <w:left w:val="nil"/>
              <w:bottom w:val="nil"/>
              <w:right w:val="nil"/>
            </w:tcBorders>
            <w:shd w:val="clear" w:color="000000" w:fill="CCECFF"/>
            <w:noWrap/>
            <w:vAlign w:val="center"/>
            <w:hideMark/>
          </w:tcPr>
          <w:p w14:paraId="03CCF26A"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0%</w:t>
            </w:r>
          </w:p>
        </w:tc>
      </w:tr>
      <w:tr w:rsidR="006B7770" w:rsidRPr="006B7770" w14:paraId="02CE9EA4" w14:textId="77777777" w:rsidTr="00F17AF0">
        <w:trPr>
          <w:trHeight w:val="283"/>
        </w:trPr>
        <w:tc>
          <w:tcPr>
            <w:tcW w:w="1683" w:type="pct"/>
            <w:tcBorders>
              <w:top w:val="nil"/>
              <w:left w:val="nil"/>
              <w:bottom w:val="nil"/>
              <w:right w:val="nil"/>
            </w:tcBorders>
            <w:shd w:val="clear" w:color="000000" w:fill="FFFFFF"/>
            <w:noWrap/>
            <w:vAlign w:val="center"/>
            <w:hideMark/>
          </w:tcPr>
          <w:p w14:paraId="0CED4536"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Cash and Cash Equivalents</w:t>
            </w:r>
          </w:p>
        </w:tc>
        <w:tc>
          <w:tcPr>
            <w:tcW w:w="829" w:type="pct"/>
            <w:tcBorders>
              <w:top w:val="nil"/>
              <w:left w:val="nil"/>
              <w:bottom w:val="nil"/>
              <w:right w:val="nil"/>
            </w:tcBorders>
            <w:shd w:val="clear" w:color="000000" w:fill="FFFFFF"/>
            <w:noWrap/>
            <w:vAlign w:val="center"/>
            <w:hideMark/>
          </w:tcPr>
          <w:p w14:paraId="0584E3AA"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FFFFFF"/>
            <w:noWrap/>
            <w:vAlign w:val="center"/>
            <w:hideMark/>
          </w:tcPr>
          <w:p w14:paraId="561EA954"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7152DAAC"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c>
          <w:tcPr>
            <w:tcW w:w="829" w:type="pct"/>
            <w:tcBorders>
              <w:top w:val="nil"/>
              <w:left w:val="nil"/>
              <w:bottom w:val="nil"/>
              <w:right w:val="nil"/>
            </w:tcBorders>
            <w:shd w:val="clear" w:color="000000" w:fill="CCECFF"/>
            <w:noWrap/>
            <w:vAlign w:val="center"/>
            <w:hideMark/>
          </w:tcPr>
          <w:p w14:paraId="129BEC8D"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w:t>
            </w:r>
          </w:p>
        </w:tc>
      </w:tr>
      <w:tr w:rsidR="006B7770" w:rsidRPr="006B7770" w14:paraId="7A2764B3" w14:textId="77777777" w:rsidTr="00F17AF0">
        <w:trPr>
          <w:trHeight w:val="283"/>
        </w:trPr>
        <w:tc>
          <w:tcPr>
            <w:tcW w:w="1683" w:type="pct"/>
            <w:tcBorders>
              <w:top w:val="nil"/>
              <w:left w:val="nil"/>
              <w:bottom w:val="nil"/>
              <w:right w:val="nil"/>
            </w:tcBorders>
            <w:shd w:val="clear" w:color="000000" w:fill="FFFFFF"/>
            <w:noWrap/>
            <w:vAlign w:val="center"/>
            <w:hideMark/>
          </w:tcPr>
          <w:p w14:paraId="4BA89CA5" w14:textId="77777777" w:rsidR="006B7770" w:rsidRPr="006B7770" w:rsidRDefault="006B7770" w:rsidP="00F17AF0">
            <w:pPr>
              <w:spacing w:after="0" w:line="240" w:lineRule="auto"/>
              <w:jc w:val="left"/>
              <w:rPr>
                <w:rFonts w:eastAsia="Times New Roman" w:cs="Calibri"/>
                <w:color w:val="000000"/>
                <w:sz w:val="18"/>
                <w:szCs w:val="18"/>
                <w:lang w:eastAsia="en-GB"/>
              </w:rPr>
            </w:pPr>
            <w:r w:rsidRPr="006B7770">
              <w:rPr>
                <w:rFonts w:eastAsia="Times New Roman" w:cs="Calibri"/>
                <w:color w:val="000000"/>
                <w:sz w:val="18"/>
                <w:szCs w:val="18"/>
                <w:lang w:eastAsia="en-GB"/>
              </w:rPr>
              <w:t>All</w:t>
            </w:r>
          </w:p>
        </w:tc>
        <w:tc>
          <w:tcPr>
            <w:tcW w:w="829" w:type="pct"/>
            <w:tcBorders>
              <w:top w:val="nil"/>
              <w:left w:val="nil"/>
              <w:bottom w:val="nil"/>
              <w:right w:val="nil"/>
            </w:tcBorders>
            <w:shd w:val="clear" w:color="000000" w:fill="FFFFFF"/>
            <w:noWrap/>
            <w:vAlign w:val="center"/>
            <w:hideMark/>
          </w:tcPr>
          <w:p w14:paraId="1E8E4016"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9,839.5</w:t>
            </w:r>
          </w:p>
        </w:tc>
        <w:tc>
          <w:tcPr>
            <w:tcW w:w="829" w:type="pct"/>
            <w:tcBorders>
              <w:top w:val="nil"/>
              <w:left w:val="nil"/>
              <w:bottom w:val="nil"/>
              <w:right w:val="nil"/>
            </w:tcBorders>
            <w:shd w:val="clear" w:color="000000" w:fill="FFFFFF"/>
            <w:noWrap/>
            <w:vAlign w:val="center"/>
            <w:hideMark/>
          </w:tcPr>
          <w:p w14:paraId="523D43D0"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4%</w:t>
            </w:r>
          </w:p>
        </w:tc>
        <w:tc>
          <w:tcPr>
            <w:tcW w:w="829" w:type="pct"/>
            <w:tcBorders>
              <w:top w:val="nil"/>
              <w:left w:val="nil"/>
              <w:bottom w:val="nil"/>
              <w:right w:val="nil"/>
            </w:tcBorders>
            <w:shd w:val="clear" w:color="000000" w:fill="CCECFF"/>
            <w:noWrap/>
            <w:vAlign w:val="center"/>
            <w:hideMark/>
          </w:tcPr>
          <w:p w14:paraId="135F68C5"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 xml:space="preserve">                12,566.8 </w:t>
            </w:r>
          </w:p>
        </w:tc>
        <w:tc>
          <w:tcPr>
            <w:tcW w:w="829" w:type="pct"/>
            <w:tcBorders>
              <w:top w:val="nil"/>
              <w:left w:val="nil"/>
              <w:bottom w:val="nil"/>
              <w:right w:val="nil"/>
            </w:tcBorders>
            <w:shd w:val="clear" w:color="000000" w:fill="CCECFF"/>
            <w:noWrap/>
            <w:vAlign w:val="center"/>
            <w:hideMark/>
          </w:tcPr>
          <w:p w14:paraId="4E42F7C0" w14:textId="77777777" w:rsidR="006B7770" w:rsidRPr="006B7770" w:rsidRDefault="006B7770" w:rsidP="00F17AF0">
            <w:pPr>
              <w:spacing w:after="0" w:line="240" w:lineRule="auto"/>
              <w:jc w:val="right"/>
              <w:rPr>
                <w:rFonts w:eastAsia="Times New Roman" w:cs="Calibri"/>
                <w:color w:val="000000"/>
                <w:sz w:val="18"/>
                <w:szCs w:val="18"/>
                <w:lang w:eastAsia="en-GB"/>
              </w:rPr>
            </w:pPr>
            <w:r w:rsidRPr="006B7770">
              <w:rPr>
                <w:rFonts w:eastAsia="Times New Roman" w:cs="Calibri"/>
                <w:color w:val="000000"/>
                <w:sz w:val="18"/>
                <w:szCs w:val="18"/>
                <w:lang w:eastAsia="en-GB"/>
              </w:rPr>
              <w:t>5%</w:t>
            </w:r>
          </w:p>
        </w:tc>
      </w:tr>
      <w:tr w:rsidR="006B7770" w:rsidRPr="006B7770" w14:paraId="664D9D15" w14:textId="77777777" w:rsidTr="00F17AF0">
        <w:trPr>
          <w:trHeight w:val="283"/>
        </w:trPr>
        <w:tc>
          <w:tcPr>
            <w:tcW w:w="1683" w:type="pct"/>
            <w:tcBorders>
              <w:top w:val="single" w:sz="4" w:space="0" w:color="auto"/>
              <w:left w:val="nil"/>
              <w:bottom w:val="single" w:sz="4" w:space="0" w:color="auto"/>
              <w:right w:val="nil"/>
            </w:tcBorders>
            <w:shd w:val="clear" w:color="000000" w:fill="FFFFFF"/>
            <w:noWrap/>
            <w:vAlign w:val="center"/>
            <w:hideMark/>
          </w:tcPr>
          <w:p w14:paraId="544F3311" w14:textId="77777777" w:rsidR="006B7770" w:rsidRPr="006B7770" w:rsidRDefault="006B7770" w:rsidP="00F17AF0">
            <w:pPr>
              <w:spacing w:after="0" w:line="240" w:lineRule="auto"/>
              <w:jc w:val="left"/>
              <w:rPr>
                <w:rFonts w:eastAsia="Times New Roman" w:cs="Calibri"/>
                <w:b/>
                <w:bCs/>
                <w:color w:val="000000"/>
                <w:sz w:val="18"/>
                <w:szCs w:val="18"/>
                <w:lang w:eastAsia="en-GB"/>
              </w:rPr>
            </w:pPr>
            <w:r w:rsidRPr="006B7770">
              <w:rPr>
                <w:rFonts w:eastAsia="Times New Roman" w:cs="Calibri"/>
                <w:b/>
                <w:bCs/>
                <w:color w:val="000000"/>
                <w:sz w:val="18"/>
                <w:szCs w:val="18"/>
                <w:lang w:eastAsia="en-GB"/>
              </w:rPr>
              <w:t>Totals</w:t>
            </w:r>
          </w:p>
        </w:tc>
        <w:tc>
          <w:tcPr>
            <w:tcW w:w="829" w:type="pct"/>
            <w:tcBorders>
              <w:top w:val="single" w:sz="4" w:space="0" w:color="auto"/>
              <w:left w:val="nil"/>
              <w:bottom w:val="single" w:sz="4" w:space="0" w:color="auto"/>
              <w:right w:val="nil"/>
            </w:tcBorders>
            <w:shd w:val="clear" w:color="000000" w:fill="FFFFFF"/>
            <w:noWrap/>
            <w:vAlign w:val="center"/>
            <w:hideMark/>
          </w:tcPr>
          <w:p w14:paraId="7D66FFBE" w14:textId="77777777" w:rsidR="006B7770" w:rsidRPr="006B7770" w:rsidRDefault="006B7770" w:rsidP="00F17AF0">
            <w:pPr>
              <w:spacing w:after="0" w:line="240" w:lineRule="auto"/>
              <w:jc w:val="right"/>
              <w:rPr>
                <w:rFonts w:eastAsia="Times New Roman" w:cs="Calibri"/>
                <w:b/>
                <w:bCs/>
                <w:color w:val="000000"/>
                <w:sz w:val="18"/>
                <w:szCs w:val="18"/>
                <w:lang w:eastAsia="en-GB"/>
              </w:rPr>
            </w:pPr>
            <w:r w:rsidRPr="006B7770">
              <w:rPr>
                <w:rFonts w:eastAsia="Times New Roman" w:cs="Calibri"/>
                <w:b/>
                <w:bCs/>
                <w:color w:val="000000"/>
                <w:sz w:val="18"/>
                <w:szCs w:val="18"/>
                <w:lang w:eastAsia="en-GB"/>
              </w:rPr>
              <w:t>239,737.0</w:t>
            </w:r>
          </w:p>
        </w:tc>
        <w:tc>
          <w:tcPr>
            <w:tcW w:w="829" w:type="pct"/>
            <w:tcBorders>
              <w:top w:val="single" w:sz="4" w:space="0" w:color="auto"/>
              <w:left w:val="nil"/>
              <w:bottom w:val="single" w:sz="4" w:space="0" w:color="auto"/>
              <w:right w:val="nil"/>
            </w:tcBorders>
            <w:shd w:val="clear" w:color="000000" w:fill="FFFFFF"/>
            <w:noWrap/>
            <w:vAlign w:val="center"/>
            <w:hideMark/>
          </w:tcPr>
          <w:p w14:paraId="736E23CA" w14:textId="77777777" w:rsidR="006B7770" w:rsidRPr="006B7770" w:rsidRDefault="006B7770" w:rsidP="00F17AF0">
            <w:pPr>
              <w:spacing w:after="0" w:line="240" w:lineRule="auto"/>
              <w:jc w:val="right"/>
              <w:rPr>
                <w:rFonts w:eastAsia="Times New Roman" w:cs="Calibri"/>
                <w:b/>
                <w:bCs/>
                <w:color w:val="000000"/>
                <w:sz w:val="18"/>
                <w:szCs w:val="18"/>
                <w:lang w:eastAsia="en-GB"/>
              </w:rPr>
            </w:pPr>
            <w:r w:rsidRPr="006B7770">
              <w:rPr>
                <w:rFonts w:eastAsia="Times New Roman" w:cs="Calibri"/>
                <w:b/>
                <w:bCs/>
                <w:color w:val="000000"/>
                <w:sz w:val="18"/>
                <w:szCs w:val="18"/>
                <w:lang w:eastAsia="en-GB"/>
              </w:rPr>
              <w:t>100%</w:t>
            </w:r>
          </w:p>
        </w:tc>
        <w:tc>
          <w:tcPr>
            <w:tcW w:w="829" w:type="pct"/>
            <w:tcBorders>
              <w:top w:val="single" w:sz="4" w:space="0" w:color="auto"/>
              <w:left w:val="nil"/>
              <w:bottom w:val="single" w:sz="4" w:space="0" w:color="auto"/>
              <w:right w:val="nil"/>
            </w:tcBorders>
            <w:shd w:val="clear" w:color="000000" w:fill="CCECFF"/>
            <w:noWrap/>
            <w:vAlign w:val="center"/>
            <w:hideMark/>
          </w:tcPr>
          <w:p w14:paraId="636001AE" w14:textId="77777777" w:rsidR="006B7770" w:rsidRPr="006B7770" w:rsidRDefault="006B7770" w:rsidP="00F17AF0">
            <w:pPr>
              <w:spacing w:after="0" w:line="240" w:lineRule="auto"/>
              <w:jc w:val="right"/>
              <w:rPr>
                <w:rFonts w:eastAsia="Times New Roman" w:cs="Calibri"/>
                <w:b/>
                <w:bCs/>
                <w:color w:val="000000"/>
                <w:sz w:val="18"/>
                <w:szCs w:val="18"/>
                <w:lang w:eastAsia="en-GB"/>
              </w:rPr>
            </w:pPr>
            <w:r w:rsidRPr="006B7770">
              <w:rPr>
                <w:rFonts w:eastAsia="Times New Roman" w:cs="Calibri"/>
                <w:b/>
                <w:bCs/>
                <w:color w:val="000000"/>
                <w:sz w:val="18"/>
                <w:szCs w:val="18"/>
                <w:lang w:eastAsia="en-GB"/>
              </w:rPr>
              <w:t xml:space="preserve">             266,871.0 </w:t>
            </w:r>
          </w:p>
        </w:tc>
        <w:tc>
          <w:tcPr>
            <w:tcW w:w="829" w:type="pct"/>
            <w:tcBorders>
              <w:top w:val="single" w:sz="4" w:space="0" w:color="auto"/>
              <w:left w:val="nil"/>
              <w:bottom w:val="single" w:sz="4" w:space="0" w:color="auto"/>
              <w:right w:val="nil"/>
            </w:tcBorders>
            <w:shd w:val="clear" w:color="000000" w:fill="CCECFF"/>
            <w:noWrap/>
            <w:vAlign w:val="center"/>
            <w:hideMark/>
          </w:tcPr>
          <w:p w14:paraId="752D4F71" w14:textId="77777777" w:rsidR="006B7770" w:rsidRPr="006B7770" w:rsidRDefault="006B7770" w:rsidP="00F17AF0">
            <w:pPr>
              <w:spacing w:after="0" w:line="240" w:lineRule="auto"/>
              <w:jc w:val="right"/>
              <w:rPr>
                <w:rFonts w:eastAsia="Times New Roman" w:cs="Calibri"/>
                <w:b/>
                <w:bCs/>
                <w:color w:val="000000"/>
                <w:sz w:val="18"/>
                <w:szCs w:val="18"/>
                <w:lang w:eastAsia="en-GB"/>
              </w:rPr>
            </w:pPr>
            <w:r w:rsidRPr="006B7770">
              <w:rPr>
                <w:rFonts w:eastAsia="Times New Roman" w:cs="Calibri"/>
                <w:b/>
                <w:bCs/>
                <w:color w:val="000000"/>
                <w:sz w:val="18"/>
                <w:szCs w:val="18"/>
                <w:lang w:eastAsia="en-GB"/>
              </w:rPr>
              <w:t>100%</w:t>
            </w:r>
          </w:p>
        </w:tc>
      </w:tr>
    </w:tbl>
    <w:p w14:paraId="158CEA5C" w14:textId="77777777" w:rsidR="00F7735C" w:rsidRDefault="00F7735C" w:rsidP="003356AE">
      <w:pPr>
        <w:pStyle w:val="VAHeadingLevel2"/>
        <w:spacing w:line="240" w:lineRule="auto"/>
      </w:pPr>
    </w:p>
    <w:p w14:paraId="1F3564D3" w14:textId="719C559A" w:rsidR="00E0127C" w:rsidRDefault="00E0127C" w:rsidP="003356AE">
      <w:pPr>
        <w:pStyle w:val="VAHeadingLevel2"/>
        <w:spacing w:line="240" w:lineRule="auto"/>
      </w:pPr>
      <w:r w:rsidRPr="00E0127C">
        <w:t xml:space="preserve">Impact on the </w:t>
      </w:r>
      <w:r w:rsidR="00372F7D">
        <w:t>A</w:t>
      </w:r>
      <w:r w:rsidRPr="00E0127C">
        <w:t>uthority’s cash flows</w:t>
      </w:r>
    </w:p>
    <w:p w14:paraId="5E69B902" w14:textId="5F6CEB51" w:rsidR="00E0127C" w:rsidRDefault="00E0127C" w:rsidP="003356AE">
      <w:pPr>
        <w:spacing w:line="240" w:lineRule="auto"/>
      </w:pPr>
    </w:p>
    <w:p w14:paraId="390D3832" w14:textId="7C2F374A" w:rsidR="000C7E5C" w:rsidRPr="000C7E5C" w:rsidRDefault="000C7E5C" w:rsidP="000C7E5C">
      <w:pPr>
        <w:spacing w:line="240" w:lineRule="auto"/>
      </w:pPr>
      <w:r w:rsidRPr="000C7E5C">
        <w:t>The objectives of the Local Government Pension Scheme (LGPS) are to maintain employer contribution rates as stable as possible over time</w:t>
      </w:r>
      <w:r w:rsidR="00E92978" w:rsidRPr="000C7E5C">
        <w:t xml:space="preserve">.  </w:t>
      </w:r>
      <w:r w:rsidRPr="000C7E5C">
        <w:t>Funding levels are monitored on an annual basis, with a full actuarial valuation carried out every three years</w:t>
      </w:r>
      <w:r w:rsidR="00E92978" w:rsidRPr="000C7E5C">
        <w:t xml:space="preserve">.  </w:t>
      </w:r>
      <w:r w:rsidRPr="000C7E5C">
        <w:t xml:space="preserve">The latest triennial valuation was completed as </w:t>
      </w:r>
      <w:proofErr w:type="gramStart"/>
      <w:r w:rsidRPr="000C7E5C">
        <w:t>at</w:t>
      </w:r>
      <w:proofErr w:type="gramEnd"/>
      <w:r w:rsidRPr="000C7E5C">
        <w:t xml:space="preserve"> 31 March 2023, with the next valuation due as at 31 March 2026</w:t>
      </w:r>
      <w:r>
        <w:t>.</w:t>
      </w:r>
    </w:p>
    <w:p w14:paraId="4203BD80" w14:textId="77777777" w:rsidR="000C7E5C" w:rsidRPr="00E0127C" w:rsidRDefault="000C7E5C" w:rsidP="003356AE">
      <w:pPr>
        <w:spacing w:line="240" w:lineRule="auto"/>
      </w:pPr>
    </w:p>
    <w:p w14:paraId="1B5D963C" w14:textId="69E51952" w:rsidR="00E0127C" w:rsidRDefault="004A70F9" w:rsidP="0020117E">
      <w:r w:rsidRPr="00927853">
        <w:lastRenderedPageBreak/>
        <w:t>The scheme take</w:t>
      </w:r>
      <w:r>
        <w:t>s</w:t>
      </w:r>
      <w:r w:rsidRPr="00927853">
        <w:t xml:space="preserve"> account of the national changes to the scheme under the Public Pensions Services Act 2013.  Under the Act, the </w:t>
      </w:r>
      <w:r>
        <w:t xml:space="preserve">previous </w:t>
      </w:r>
      <w:r w:rsidRPr="00927853">
        <w:t xml:space="preserve">Local Government Pension Scheme in England and Wales and the other main existing public service schemes may not provide benefits in relation to service after 31 March 2014 (or service after 31 March 2015 for other main existing public service pension schemes in England and Wales).  The Act provides for scheme regulations to be made within a common framework, to establish new </w:t>
      </w:r>
      <w:r>
        <w:t>C</w:t>
      </w:r>
      <w:r w:rsidRPr="00927853">
        <w:t xml:space="preserve">areer </w:t>
      </w:r>
      <w:r>
        <w:t>A</w:t>
      </w:r>
      <w:r w:rsidRPr="00927853">
        <w:t xml:space="preserve">verage </w:t>
      </w:r>
      <w:r>
        <w:t>R</w:t>
      </w:r>
      <w:r w:rsidRPr="00927853">
        <w:t xml:space="preserve">evalued </w:t>
      </w:r>
      <w:r>
        <w:t>E</w:t>
      </w:r>
      <w:r w:rsidRPr="00927853">
        <w:t xml:space="preserve">arnings </w:t>
      </w:r>
      <w:r>
        <w:t>(CARE)</w:t>
      </w:r>
      <w:r w:rsidRPr="00927853">
        <w:t xml:space="preserve"> schemes to pay pensions and other benefits to certain public servants.</w:t>
      </w:r>
    </w:p>
    <w:p w14:paraId="6663C7DA" w14:textId="77777777" w:rsidR="004A70F9" w:rsidRPr="00E0127C" w:rsidRDefault="004A70F9" w:rsidP="003356AE">
      <w:pPr>
        <w:spacing w:line="240" w:lineRule="auto"/>
      </w:pPr>
    </w:p>
    <w:p w14:paraId="70593557" w14:textId="0811BD87" w:rsidR="00E0127C" w:rsidRPr="00E0127C" w:rsidRDefault="00E0127C" w:rsidP="0020117E">
      <w:r w:rsidRPr="00E0127C">
        <w:t xml:space="preserve">The authority anticipated </w:t>
      </w:r>
      <w:r w:rsidRPr="00096BBE">
        <w:t xml:space="preserve">to pay </w:t>
      </w:r>
      <w:r w:rsidRPr="00583CE2">
        <w:t>£</w:t>
      </w:r>
      <w:r w:rsidR="00583CE2">
        <w:t>31</w:t>
      </w:r>
      <w:r w:rsidRPr="00583CE2">
        <w:t>.</w:t>
      </w:r>
      <w:r w:rsidR="00583CE2">
        <w:t>019</w:t>
      </w:r>
      <w:r w:rsidRPr="00583CE2">
        <w:t>m</w:t>
      </w:r>
      <w:r w:rsidRPr="00096BBE">
        <w:t xml:space="preserve"> expected</w:t>
      </w:r>
      <w:r w:rsidRPr="00E0127C">
        <w:t xml:space="preserve"> contributions to the scheme in 202</w:t>
      </w:r>
      <w:r w:rsidR="00764125">
        <w:t>5</w:t>
      </w:r>
      <w:r w:rsidRPr="00E0127C">
        <w:t>/2</w:t>
      </w:r>
      <w:r w:rsidR="00764125">
        <w:t>6</w:t>
      </w:r>
      <w:r w:rsidRPr="00E0127C">
        <w:t>.</w:t>
      </w:r>
    </w:p>
    <w:p w14:paraId="7E3E499A" w14:textId="77777777" w:rsidR="00EA47B5" w:rsidRDefault="00EA47B5" w:rsidP="003356AE">
      <w:pPr>
        <w:spacing w:line="240" w:lineRule="auto"/>
      </w:pPr>
      <w:bookmarkStart w:id="225" w:name="_Toc517077315"/>
      <w:bookmarkStart w:id="226" w:name="_Toc9272540"/>
      <w:bookmarkStart w:id="227" w:name="_Toc9592084"/>
      <w:bookmarkStart w:id="228" w:name="_Toc109632238"/>
      <w:bookmarkEnd w:id="222"/>
      <w:bookmarkEnd w:id="223"/>
      <w:bookmarkEnd w:id="224"/>
    </w:p>
    <w:p w14:paraId="64948F7C" w14:textId="3C93D776" w:rsidR="00F27943" w:rsidRPr="008A7A76" w:rsidRDefault="00F27943" w:rsidP="003356AE">
      <w:pPr>
        <w:pStyle w:val="VAHeadingLevel2"/>
        <w:spacing w:line="240" w:lineRule="auto"/>
      </w:pPr>
      <w:r w:rsidRPr="008A7A76">
        <w:t xml:space="preserve">Virgin Media Section 37 Case – </w:t>
      </w:r>
      <w:r w:rsidR="00D77A0E">
        <w:t>Accounting Uncertainty</w:t>
      </w:r>
    </w:p>
    <w:p w14:paraId="706548AB" w14:textId="77777777" w:rsidR="00F27943" w:rsidRPr="008A7A76" w:rsidRDefault="00F27943" w:rsidP="00BF33E9"/>
    <w:p w14:paraId="1ACD050A" w14:textId="341F7354" w:rsidR="00836689" w:rsidRPr="008F0441" w:rsidRDefault="00836689" w:rsidP="00BF33E9">
      <w:r w:rsidRPr="008F0441">
        <w:t>Following the Court of Appeal judgment in July 2024, uncertainty remains over historic amendments to contracted-out defined benefit pension schemes where Section 37 actuarial confirmation was not obtained.</w:t>
      </w:r>
      <w:r w:rsidR="00BF33E9">
        <w:t xml:space="preserve">  </w:t>
      </w:r>
      <w:r w:rsidRPr="008F0441">
        <w:t>HM Treasury has yet to issue scheme-specific guidance for public service pension schemes, including the Police</w:t>
      </w:r>
      <w:r w:rsidR="00BF33E9">
        <w:t xml:space="preserve"> </w:t>
      </w:r>
      <w:r w:rsidRPr="008F0441">
        <w:t xml:space="preserve">Pension Schemes. </w:t>
      </w:r>
      <w:r w:rsidR="0020117E">
        <w:t xml:space="preserve"> </w:t>
      </w:r>
      <w:r w:rsidRPr="008F0441">
        <w:t xml:space="preserve">As </w:t>
      </w:r>
      <w:proofErr w:type="gramStart"/>
      <w:r w:rsidRPr="008F0441">
        <w:t>at</w:t>
      </w:r>
      <w:proofErr w:type="gramEnd"/>
      <w:r w:rsidRPr="008F0441">
        <w:t xml:space="preserve"> 31 March 2026, the potential financial impact cannot be reliably estimated.</w:t>
      </w:r>
      <w:r w:rsidR="00BF33E9">
        <w:t xml:space="preserve">  </w:t>
      </w:r>
      <w:r w:rsidRPr="008F0441">
        <w:t>Accordingly, no provision or adjustment has been made in these financial statements.</w:t>
      </w:r>
    </w:p>
    <w:p w14:paraId="77B908D9" w14:textId="77777777" w:rsidR="00F27943" w:rsidRDefault="00F27943" w:rsidP="00BF33E9"/>
    <w:p w14:paraId="45F0C7F6" w14:textId="768F9E05" w:rsidR="002522D4" w:rsidRPr="00083C5D" w:rsidRDefault="002522D4" w:rsidP="003356AE">
      <w:pPr>
        <w:pStyle w:val="NoteHeader"/>
        <w:spacing w:line="240" w:lineRule="auto"/>
      </w:pPr>
      <w:bookmarkStart w:id="229" w:name="_Toc230858593"/>
      <w:r w:rsidRPr="00A14CAC">
        <w:rPr>
          <w:lang w:val="pt-BR"/>
        </w:rPr>
        <w:t>Note 3</w:t>
      </w:r>
      <w:r w:rsidR="00AE0965">
        <w:rPr>
          <w:lang w:val="pt-BR"/>
        </w:rPr>
        <w:t>8</w:t>
      </w:r>
      <w:r w:rsidRPr="00A14CAC">
        <w:rPr>
          <w:lang w:val="pt-BR"/>
        </w:rPr>
        <w:t xml:space="preserve"> - Financial Instruments</w:t>
      </w:r>
      <w:bookmarkEnd w:id="225"/>
      <w:bookmarkEnd w:id="226"/>
      <w:bookmarkEnd w:id="227"/>
      <w:bookmarkEnd w:id="228"/>
      <w:bookmarkEnd w:id="229"/>
    </w:p>
    <w:p w14:paraId="41340A39" w14:textId="77777777" w:rsidR="002522D4" w:rsidRPr="00A14CAC" w:rsidRDefault="002522D4" w:rsidP="003356AE">
      <w:pPr>
        <w:spacing w:line="240" w:lineRule="auto"/>
        <w:rPr>
          <w:lang w:val="pt-BR"/>
        </w:rPr>
      </w:pPr>
    </w:p>
    <w:p w14:paraId="65E0F8F0" w14:textId="47AF6253" w:rsidR="00A805A9" w:rsidRPr="00A805A9" w:rsidRDefault="00A805A9" w:rsidP="0020117E">
      <w:pPr>
        <w:rPr>
          <w:noProof/>
          <w:lang w:eastAsia="en-GB"/>
        </w:rPr>
      </w:pPr>
      <w:r w:rsidRPr="00A805A9">
        <w:rPr>
          <w:noProof/>
          <w:lang w:eastAsia="en-GB"/>
        </w:rPr>
        <w:t xml:space="preserve">The Chief Constable holds no balance in respect of these items. For information, please refer to Note </w:t>
      </w:r>
      <w:r>
        <w:rPr>
          <w:noProof/>
          <w:lang w:eastAsia="en-GB"/>
        </w:rPr>
        <w:t>38</w:t>
      </w:r>
      <w:r w:rsidRPr="00A805A9">
        <w:rPr>
          <w:noProof/>
          <w:lang w:eastAsia="en-GB"/>
        </w:rPr>
        <w:t xml:space="preserve"> of the Office of the Police, Fire &amp; Crime Commissioner (OPFCC) Statement of Accounts.</w:t>
      </w:r>
    </w:p>
    <w:p w14:paraId="6C7F3454" w14:textId="77777777" w:rsidR="005433C7" w:rsidRPr="00A14CAC" w:rsidRDefault="005433C7" w:rsidP="003356AE">
      <w:pPr>
        <w:spacing w:line="240" w:lineRule="auto"/>
        <w:rPr>
          <w:rFonts w:ascii="Verdana" w:eastAsia="Arial Unicode MS" w:hAnsi="Verdana"/>
          <w:b/>
          <w:bCs/>
          <w:szCs w:val="18"/>
        </w:rPr>
      </w:pPr>
    </w:p>
    <w:p w14:paraId="67077373" w14:textId="18425E95" w:rsidR="002522D4" w:rsidRPr="00A14CAC" w:rsidRDefault="00007E18" w:rsidP="003356AE">
      <w:pPr>
        <w:pStyle w:val="NoteHeader"/>
        <w:spacing w:line="240" w:lineRule="auto"/>
      </w:pPr>
      <w:bookmarkStart w:id="230" w:name="_Toc517077316"/>
      <w:bookmarkStart w:id="231" w:name="_Toc9272541"/>
      <w:bookmarkStart w:id="232" w:name="_Toc9592085"/>
      <w:bookmarkStart w:id="233" w:name="_Toc109632239"/>
      <w:bookmarkStart w:id="234" w:name="_Toc230858594"/>
      <w:r>
        <w:t xml:space="preserve">Note </w:t>
      </w:r>
      <w:r w:rsidR="00AE0965">
        <w:t>39</w:t>
      </w:r>
      <w:r>
        <w:t xml:space="preserve"> -</w:t>
      </w:r>
      <w:r w:rsidR="002522D4" w:rsidRPr="00A14CAC">
        <w:t xml:space="preserve"> Joint Operations</w:t>
      </w:r>
      <w:bookmarkEnd w:id="230"/>
      <w:r w:rsidR="002522D4" w:rsidRPr="00A14CAC">
        <w:t xml:space="preserve"> &amp; Associate Entities</w:t>
      </w:r>
      <w:bookmarkStart w:id="235" w:name="Notes"/>
      <w:bookmarkEnd w:id="231"/>
      <w:bookmarkEnd w:id="232"/>
      <w:bookmarkEnd w:id="233"/>
      <w:bookmarkEnd w:id="234"/>
    </w:p>
    <w:p w14:paraId="23E4E336" w14:textId="77777777" w:rsidR="002522D4" w:rsidRPr="00A14CAC" w:rsidRDefault="002522D4" w:rsidP="003356AE">
      <w:pPr>
        <w:spacing w:line="240" w:lineRule="auto"/>
        <w:rPr>
          <w:lang w:val="en-AU"/>
        </w:rPr>
      </w:pPr>
    </w:p>
    <w:p w14:paraId="0265F6C7" w14:textId="3A42EE3F" w:rsidR="00A805A9" w:rsidRPr="00A805A9" w:rsidRDefault="00A805A9" w:rsidP="0020117E">
      <w:pPr>
        <w:rPr>
          <w:noProof/>
          <w:lang w:eastAsia="en-GB"/>
        </w:rPr>
      </w:pPr>
      <w:bookmarkStart w:id="236" w:name="_Toc517077321"/>
      <w:bookmarkStart w:id="237" w:name="_Toc9272543"/>
      <w:bookmarkStart w:id="238" w:name="End"/>
      <w:r w:rsidRPr="00A805A9">
        <w:rPr>
          <w:noProof/>
          <w:lang w:eastAsia="en-GB"/>
        </w:rPr>
        <w:t xml:space="preserve">The Chief Constable holds no balance in respect of these items. For information, please refer to Note </w:t>
      </w:r>
      <w:r>
        <w:rPr>
          <w:noProof/>
          <w:lang w:eastAsia="en-GB"/>
        </w:rPr>
        <w:t>3</w:t>
      </w:r>
      <w:r w:rsidRPr="00A805A9">
        <w:rPr>
          <w:noProof/>
          <w:lang w:eastAsia="en-GB"/>
        </w:rPr>
        <w:t>9 of the Office of the Police, Fire &amp; Crime Commissioner (OPFCC) Statement of Accounts.</w:t>
      </w:r>
    </w:p>
    <w:p w14:paraId="36768C88" w14:textId="77777777" w:rsidR="00B121D3" w:rsidRPr="00A14CAC" w:rsidRDefault="00B121D3" w:rsidP="003356AE">
      <w:pPr>
        <w:spacing w:line="240" w:lineRule="auto"/>
        <w:rPr>
          <w:noProof/>
          <w:szCs w:val="20"/>
          <w:lang w:eastAsia="en-GB"/>
        </w:rPr>
      </w:pPr>
    </w:p>
    <w:p w14:paraId="7CFA0629" w14:textId="13E19E74" w:rsidR="00B121D3" w:rsidRPr="002351FB" w:rsidRDefault="00B121D3" w:rsidP="003356AE">
      <w:pPr>
        <w:pStyle w:val="NoteHeader"/>
        <w:spacing w:line="240" w:lineRule="auto"/>
        <w:rPr>
          <w:lang w:val="pt-BR"/>
        </w:rPr>
      </w:pPr>
      <w:bookmarkStart w:id="239" w:name="_Toc517077320"/>
      <w:bookmarkStart w:id="240" w:name="_Toc9272542"/>
      <w:bookmarkStart w:id="241" w:name="_Toc9584305"/>
      <w:bookmarkStart w:id="242" w:name="_Toc9588168"/>
      <w:bookmarkStart w:id="243" w:name="_Toc109632240"/>
      <w:bookmarkStart w:id="244" w:name="_Toc230858595"/>
      <w:r w:rsidRPr="002351FB">
        <w:rPr>
          <w:lang w:val="pt-BR"/>
        </w:rPr>
        <w:t>Note 4</w:t>
      </w:r>
      <w:r w:rsidR="00AE0965">
        <w:rPr>
          <w:lang w:val="pt-BR"/>
        </w:rPr>
        <w:t>0</w:t>
      </w:r>
      <w:r w:rsidRPr="002351FB">
        <w:rPr>
          <w:lang w:val="pt-BR"/>
        </w:rPr>
        <w:t xml:space="preserve"> - Accounting Standards Issued, Not Adopted</w:t>
      </w:r>
      <w:bookmarkEnd w:id="239"/>
      <w:bookmarkEnd w:id="240"/>
      <w:bookmarkEnd w:id="241"/>
      <w:bookmarkEnd w:id="242"/>
      <w:bookmarkEnd w:id="243"/>
      <w:bookmarkEnd w:id="244"/>
      <w:r w:rsidRPr="002351FB">
        <w:rPr>
          <w:lang w:val="pt-BR"/>
        </w:rPr>
        <w:t xml:space="preserve"> </w:t>
      </w:r>
    </w:p>
    <w:p w14:paraId="1ECB3B0C" w14:textId="77777777" w:rsidR="001D2D0F" w:rsidRPr="002351FB" w:rsidRDefault="001D2D0F" w:rsidP="003356AE">
      <w:pPr>
        <w:spacing w:line="240" w:lineRule="auto"/>
        <w:rPr>
          <w:lang w:val="pt-BR"/>
        </w:rPr>
      </w:pPr>
    </w:p>
    <w:p w14:paraId="0EE35B8A" w14:textId="4A4F0195" w:rsidR="00D1610F" w:rsidRPr="0097203D" w:rsidRDefault="00D1610F" w:rsidP="0020117E">
      <w:r>
        <w:t xml:space="preserve">Under The Code of Practice on Local Authority Accounting disclosure of the impact of accounting standards issued but not yet adopted is required. </w:t>
      </w:r>
      <w:r w:rsidR="00155219">
        <w:t xml:space="preserve"> </w:t>
      </w:r>
      <w:r>
        <w:t xml:space="preserve">Following a review of the relevant standards it has been determined that there would </w:t>
      </w:r>
      <w:r w:rsidRPr="0097203D">
        <w:t>be no material changes to the accounts if these were to have been adopted.</w:t>
      </w:r>
      <w:r w:rsidR="00155219">
        <w:t xml:space="preserve"> </w:t>
      </w:r>
      <w:r w:rsidRPr="0097203D">
        <w:t xml:space="preserve"> The relevant standards being introduced for 202</w:t>
      </w:r>
      <w:r w:rsidR="00E11595">
        <w:t>5</w:t>
      </w:r>
      <w:r w:rsidRPr="0097203D">
        <w:t>/2</w:t>
      </w:r>
      <w:r w:rsidR="00E11595">
        <w:t>6</w:t>
      </w:r>
      <w:r w:rsidRPr="0097203D">
        <w:t xml:space="preserve"> are:</w:t>
      </w:r>
    </w:p>
    <w:p w14:paraId="6D0A2117" w14:textId="77777777" w:rsidR="00E90D5D" w:rsidRPr="000D7759" w:rsidRDefault="00E90D5D" w:rsidP="00E90D5D">
      <w:pPr>
        <w:pStyle w:val="RedBullet"/>
        <w:spacing w:line="240" w:lineRule="auto"/>
      </w:pPr>
      <w:r>
        <w:t>Amendments to IFRS 102 The Financial Reporting Standard applicable in the UK and Republic of Ireland (Amendments to Heritage assets) issued in March 2024</w:t>
      </w:r>
    </w:p>
    <w:p w14:paraId="38A463B8" w14:textId="77777777" w:rsidR="00E90D5D" w:rsidRDefault="00E90D5D" w:rsidP="00E90D5D">
      <w:pPr>
        <w:pStyle w:val="RedBullet"/>
        <w:spacing w:line="240" w:lineRule="auto"/>
      </w:pPr>
      <w:r w:rsidRPr="000C7AF9">
        <w:t>Amendments to the Classification and Measurement of Financial Instruments (Amendments to IFRS 9 and IFRS 7) issued in May 2024</w:t>
      </w:r>
    </w:p>
    <w:p w14:paraId="15926722" w14:textId="77777777" w:rsidR="00E90D5D" w:rsidRDefault="00E90D5D" w:rsidP="00E90D5D">
      <w:pPr>
        <w:pStyle w:val="RedBullet"/>
        <w:spacing w:line="240" w:lineRule="auto"/>
      </w:pPr>
      <w:r w:rsidRPr="003E2E2A">
        <w:t>Annual improvements to IFRS accounting standards – Volume 11 issued in July 2024</w:t>
      </w:r>
    </w:p>
    <w:p w14:paraId="2C8B3C4C" w14:textId="77777777" w:rsidR="00E90D5D" w:rsidRPr="00EB628A" w:rsidRDefault="00E90D5D" w:rsidP="00E90D5D">
      <w:pPr>
        <w:pStyle w:val="RedBullet"/>
        <w:spacing w:line="240" w:lineRule="auto"/>
      </w:pPr>
      <w:r w:rsidRPr="00FA6BFD">
        <w:t>Contracts Referencing Nature-dependent Electricity (Amendments to IFRS 9 and IFRS 7) issued in December 2024</w:t>
      </w:r>
    </w:p>
    <w:p w14:paraId="7BCB2DE0" w14:textId="053CB680" w:rsidR="00A805A9" w:rsidRDefault="00A805A9" w:rsidP="003356AE">
      <w:pPr>
        <w:spacing w:line="240" w:lineRule="auto"/>
        <w:jc w:val="left"/>
        <w:rPr>
          <w:rFonts w:asciiTheme="minorHAnsi" w:eastAsia="Times New Roman" w:hAnsiTheme="minorHAnsi" w:cs="Times New Roman"/>
          <w:b/>
          <w:bCs/>
          <w:color w:val="25316C"/>
          <w:sz w:val="24"/>
          <w:u w:val="single"/>
          <w:lang w:val="pt-BR"/>
        </w:rPr>
      </w:pPr>
      <w:bookmarkStart w:id="245" w:name="_Toc9584306"/>
      <w:bookmarkStart w:id="246" w:name="_Toc9588169"/>
      <w:bookmarkStart w:id="247" w:name="_Toc109632241"/>
    </w:p>
    <w:p w14:paraId="40105EF0" w14:textId="34BAC2AD" w:rsidR="00B121D3" w:rsidRPr="001D2D0F" w:rsidRDefault="00B121D3" w:rsidP="003356AE">
      <w:pPr>
        <w:pStyle w:val="NoteHeader"/>
        <w:spacing w:line="240" w:lineRule="auto"/>
        <w:rPr>
          <w:lang w:val="pt-BR"/>
        </w:rPr>
      </w:pPr>
      <w:bookmarkStart w:id="248" w:name="_Toc230858596"/>
      <w:r w:rsidRPr="001D2D0F">
        <w:rPr>
          <w:lang w:val="pt-BR"/>
        </w:rPr>
        <w:t>Note 4</w:t>
      </w:r>
      <w:r w:rsidR="00AE0965">
        <w:rPr>
          <w:lang w:val="pt-BR"/>
        </w:rPr>
        <w:t>1</w:t>
      </w:r>
      <w:r w:rsidRPr="001D2D0F">
        <w:rPr>
          <w:lang w:val="pt-BR"/>
        </w:rPr>
        <w:t xml:space="preserve"> - Restatements</w:t>
      </w:r>
      <w:bookmarkEnd w:id="245"/>
      <w:bookmarkEnd w:id="246"/>
      <w:bookmarkEnd w:id="247"/>
      <w:bookmarkEnd w:id="248"/>
      <w:r w:rsidRPr="001D2D0F">
        <w:rPr>
          <w:lang w:val="pt-BR"/>
        </w:rPr>
        <w:t xml:space="preserve"> </w:t>
      </w:r>
    </w:p>
    <w:p w14:paraId="4F16FAD9" w14:textId="77777777" w:rsidR="00B121D3" w:rsidRPr="001D2D0F" w:rsidRDefault="00B121D3" w:rsidP="003356AE">
      <w:pPr>
        <w:spacing w:line="240" w:lineRule="auto"/>
        <w:rPr>
          <w:lang w:val="pt-BR"/>
        </w:rPr>
      </w:pPr>
    </w:p>
    <w:p w14:paraId="51899B3D" w14:textId="12C2E4BB" w:rsidR="00EC2F7C" w:rsidRDefault="002351FB" w:rsidP="0020117E">
      <w:pPr>
        <w:rPr>
          <w:lang w:val="en-AU"/>
        </w:rPr>
      </w:pPr>
      <w:r w:rsidRPr="00C6603B">
        <w:rPr>
          <w:lang w:val="en-AU"/>
        </w:rPr>
        <w:t xml:space="preserve">No restatements have taken </w:t>
      </w:r>
      <w:r w:rsidR="008C3689" w:rsidRPr="00C6603B">
        <w:rPr>
          <w:lang w:val="en-AU"/>
        </w:rPr>
        <w:t>place in preparation of the 202</w:t>
      </w:r>
      <w:r w:rsidR="00356EB5">
        <w:rPr>
          <w:lang w:val="en-AU"/>
        </w:rPr>
        <w:t>5</w:t>
      </w:r>
      <w:r w:rsidR="008C3689" w:rsidRPr="00C6603B">
        <w:rPr>
          <w:lang w:val="en-AU"/>
        </w:rPr>
        <w:t>/2</w:t>
      </w:r>
      <w:r w:rsidR="00356EB5">
        <w:rPr>
          <w:lang w:val="en-AU"/>
        </w:rPr>
        <w:t>6</w:t>
      </w:r>
      <w:r w:rsidRPr="00C6603B">
        <w:rPr>
          <w:lang w:val="en-AU"/>
        </w:rPr>
        <w:t xml:space="preserve"> Statement of Accounts for the OCC.</w:t>
      </w:r>
      <w:bookmarkEnd w:id="235"/>
    </w:p>
    <w:p w14:paraId="41A08CC2" w14:textId="705174CF" w:rsidR="00EC2F7C" w:rsidRDefault="00EC2F7C" w:rsidP="003356AE">
      <w:pPr>
        <w:spacing w:line="240" w:lineRule="auto"/>
        <w:jc w:val="left"/>
        <w:rPr>
          <w:rFonts w:cstheme="minorHAnsi"/>
          <w:szCs w:val="20"/>
          <w:lang w:val="en-AU"/>
        </w:rPr>
      </w:pPr>
    </w:p>
    <w:p w14:paraId="67CBE74C" w14:textId="77777777" w:rsidR="00160221" w:rsidRDefault="00160221">
      <w:pPr>
        <w:spacing w:after="0" w:line="240" w:lineRule="auto"/>
        <w:jc w:val="left"/>
        <w:rPr>
          <w:rFonts w:asciiTheme="minorHAnsi" w:eastAsia="Times New Roman" w:hAnsiTheme="minorHAnsi" w:cs="Times New Roman"/>
          <w:b/>
          <w:bCs/>
          <w:color w:val="25316C"/>
          <w:sz w:val="24"/>
          <w:u w:val="single"/>
        </w:rPr>
      </w:pPr>
      <w:r>
        <w:br w:type="page"/>
      </w:r>
    </w:p>
    <w:p w14:paraId="240127FD" w14:textId="0531EFDF" w:rsidR="00955B07" w:rsidRPr="001D2D0F" w:rsidRDefault="00955B07" w:rsidP="003356AE">
      <w:pPr>
        <w:pStyle w:val="NoteHeader"/>
        <w:spacing w:line="240" w:lineRule="auto"/>
      </w:pPr>
      <w:bookmarkStart w:id="249" w:name="_Toc230858597"/>
      <w:r w:rsidRPr="001D2D0F">
        <w:lastRenderedPageBreak/>
        <w:t>Note 4</w:t>
      </w:r>
      <w:r>
        <w:t>2</w:t>
      </w:r>
      <w:r w:rsidRPr="001D2D0F">
        <w:t xml:space="preserve"> </w:t>
      </w:r>
      <w:r w:rsidR="00024CE6">
        <w:t>-</w:t>
      </w:r>
      <w:r w:rsidRPr="001D2D0F">
        <w:t xml:space="preserve"> </w:t>
      </w:r>
      <w:r w:rsidR="00D60522">
        <w:t>Borrowing</w:t>
      </w:r>
      <w:bookmarkEnd w:id="249"/>
      <w:r w:rsidRPr="001D2D0F">
        <w:t xml:space="preserve"> </w:t>
      </w:r>
    </w:p>
    <w:p w14:paraId="3534BBFF" w14:textId="77777777" w:rsidR="00EC2F7C" w:rsidRDefault="00EC2F7C" w:rsidP="003356AE">
      <w:pPr>
        <w:spacing w:line="240" w:lineRule="auto"/>
        <w:rPr>
          <w:noProof/>
          <w:szCs w:val="20"/>
          <w:lang w:eastAsia="en-GB"/>
        </w:rPr>
      </w:pPr>
    </w:p>
    <w:p w14:paraId="5CA62126" w14:textId="7F6FDB88" w:rsidR="00A805A9" w:rsidRPr="00A805A9" w:rsidRDefault="00A805A9" w:rsidP="0020117E">
      <w:pPr>
        <w:rPr>
          <w:noProof/>
          <w:lang w:eastAsia="en-GB"/>
        </w:rPr>
      </w:pPr>
      <w:r w:rsidRPr="00A805A9">
        <w:rPr>
          <w:noProof/>
          <w:lang w:eastAsia="en-GB"/>
        </w:rPr>
        <w:t xml:space="preserve">The Chief Constable holds no balance in respect of these items. For information, please refer to Note </w:t>
      </w:r>
      <w:r>
        <w:rPr>
          <w:noProof/>
          <w:lang w:eastAsia="en-GB"/>
        </w:rPr>
        <w:t>42</w:t>
      </w:r>
      <w:r w:rsidRPr="00A805A9">
        <w:rPr>
          <w:noProof/>
          <w:lang w:eastAsia="en-GB"/>
        </w:rPr>
        <w:t xml:space="preserve"> of the Office of the Police, Fire &amp; Crime Commissioner (OPFCC) Statement of Accounts.</w:t>
      </w:r>
    </w:p>
    <w:p w14:paraId="19B67CCD" w14:textId="77777777" w:rsidR="00665B0C" w:rsidRDefault="00665B0C" w:rsidP="003356AE">
      <w:pPr>
        <w:spacing w:line="240" w:lineRule="auto"/>
        <w:rPr>
          <w:rFonts w:asciiTheme="minorHAnsi" w:eastAsia="Times New Roman" w:hAnsiTheme="minorHAnsi" w:cs="Times New Roman"/>
          <w:b/>
          <w:bCs/>
          <w:color w:val="25316C"/>
          <w:sz w:val="24"/>
          <w:u w:val="single"/>
        </w:rPr>
      </w:pPr>
    </w:p>
    <w:p w14:paraId="665411A3" w14:textId="7CDF6F8C" w:rsidR="00D60522" w:rsidRDefault="00D60522" w:rsidP="003356AE">
      <w:pPr>
        <w:pStyle w:val="NoteHeader"/>
        <w:spacing w:line="240" w:lineRule="auto"/>
      </w:pPr>
      <w:bookmarkStart w:id="250" w:name="_Toc230858598"/>
      <w:r w:rsidRPr="001D2D0F">
        <w:t>Note 4</w:t>
      </w:r>
      <w:r>
        <w:t>3</w:t>
      </w:r>
      <w:r w:rsidRPr="001D2D0F">
        <w:t xml:space="preserve"> </w:t>
      </w:r>
      <w:r w:rsidR="00024CE6">
        <w:t>-</w:t>
      </w:r>
      <w:r w:rsidRPr="001D2D0F">
        <w:t xml:space="preserve"> </w:t>
      </w:r>
      <w:r>
        <w:t xml:space="preserve">Other </w:t>
      </w:r>
      <w:proofErr w:type="gramStart"/>
      <w:r>
        <w:t>Long Term</w:t>
      </w:r>
      <w:proofErr w:type="gramEnd"/>
      <w:r>
        <w:t xml:space="preserve"> Liabilities</w:t>
      </w:r>
      <w:bookmarkEnd w:id="250"/>
    </w:p>
    <w:p w14:paraId="18A0A407" w14:textId="77777777" w:rsidR="00D60522" w:rsidRDefault="00D60522" w:rsidP="003356AE">
      <w:pPr>
        <w:spacing w:line="240" w:lineRule="auto"/>
        <w:rPr>
          <w:lang w:val="pt-BR"/>
        </w:rPr>
      </w:pPr>
    </w:p>
    <w:p w14:paraId="4263A0BF" w14:textId="006B0EDF" w:rsidR="00D60522" w:rsidRPr="001D2D0F" w:rsidRDefault="00C177A4" w:rsidP="0020117E">
      <w:pPr>
        <w:rPr>
          <w:lang w:val="pt-BR"/>
        </w:rPr>
      </w:pPr>
      <w:r w:rsidRPr="00A64995">
        <w:t xml:space="preserve">The Authority has other </w:t>
      </w:r>
      <w:proofErr w:type="gramStart"/>
      <w:r w:rsidRPr="00A64995">
        <w:t>long term</w:t>
      </w:r>
      <w:proofErr w:type="gramEnd"/>
      <w:r w:rsidRPr="00A64995">
        <w:t xml:space="preserve"> liabilities as below, which relate to pension liabilities estimated to fall due over the longer term. </w:t>
      </w:r>
      <w:r w:rsidR="00D60522" w:rsidRPr="001D2D0F">
        <w:rPr>
          <w:lang w:val="pt-BR"/>
        </w:rPr>
        <w:t xml:space="preserve"> </w:t>
      </w:r>
    </w:p>
    <w:p w14:paraId="3811EA8D" w14:textId="5A448EE4" w:rsidR="004B1C7A" w:rsidRDefault="004B1C7A" w:rsidP="003356AE">
      <w:pPr>
        <w:spacing w:line="240" w:lineRule="auto"/>
        <w:jc w:val="left"/>
        <w:rPr>
          <w:rFonts w:asciiTheme="minorHAnsi" w:hAnsiTheme="minorHAnsi"/>
          <w:color w:val="auto"/>
          <w:sz w:val="24"/>
          <w:lang w:val="en-US"/>
        </w:rPr>
      </w:pPr>
    </w:p>
    <w:tbl>
      <w:tblPr>
        <w:tblW w:w="5184" w:type="pct"/>
        <w:tblLook w:val="04A0" w:firstRow="1" w:lastRow="0" w:firstColumn="1" w:lastColumn="0" w:noHBand="0" w:noVBand="1"/>
      </w:tblPr>
      <w:tblGrid>
        <w:gridCol w:w="1864"/>
        <w:gridCol w:w="5670"/>
        <w:gridCol w:w="1872"/>
      </w:tblGrid>
      <w:tr w:rsidR="00A55FCE" w:rsidRPr="00A55FCE" w14:paraId="26C76D69" w14:textId="77777777" w:rsidTr="00D07525">
        <w:trPr>
          <w:trHeight w:val="290"/>
        </w:trPr>
        <w:tc>
          <w:tcPr>
            <w:tcW w:w="991" w:type="pct"/>
            <w:tcBorders>
              <w:top w:val="nil"/>
              <w:left w:val="nil"/>
              <w:bottom w:val="nil"/>
              <w:right w:val="nil"/>
            </w:tcBorders>
            <w:shd w:val="clear" w:color="000000" w:fill="000099"/>
            <w:vAlign w:val="center"/>
            <w:hideMark/>
          </w:tcPr>
          <w:p w14:paraId="1DBCB283" w14:textId="77777777" w:rsidR="00A55FCE" w:rsidRPr="00A55FCE" w:rsidRDefault="00A55FCE" w:rsidP="00D07525">
            <w:pPr>
              <w:spacing w:after="0" w:line="240" w:lineRule="auto"/>
              <w:jc w:val="right"/>
              <w:rPr>
                <w:rFonts w:eastAsia="Times New Roman" w:cs="Calibri"/>
                <w:b/>
                <w:bCs/>
                <w:color w:val="FFFFFF"/>
                <w:sz w:val="18"/>
                <w:szCs w:val="18"/>
                <w:lang w:eastAsia="en-GB"/>
              </w:rPr>
            </w:pPr>
            <w:r w:rsidRPr="00A55FCE">
              <w:rPr>
                <w:rFonts w:eastAsia="Times New Roman" w:cs="Calibri"/>
                <w:b/>
                <w:bCs/>
                <w:color w:val="FFFFFF"/>
                <w:sz w:val="18"/>
                <w:szCs w:val="18"/>
                <w:lang w:eastAsia="en-GB"/>
              </w:rPr>
              <w:t>31 March 2025</w:t>
            </w:r>
          </w:p>
        </w:tc>
        <w:tc>
          <w:tcPr>
            <w:tcW w:w="3014" w:type="pct"/>
            <w:tcBorders>
              <w:top w:val="nil"/>
              <w:left w:val="nil"/>
              <w:bottom w:val="nil"/>
              <w:right w:val="nil"/>
            </w:tcBorders>
            <w:shd w:val="clear" w:color="000000" w:fill="000099"/>
            <w:vAlign w:val="bottom"/>
            <w:hideMark/>
          </w:tcPr>
          <w:p w14:paraId="6B1903C9" w14:textId="77777777" w:rsidR="00A55FCE" w:rsidRPr="00A55FCE" w:rsidRDefault="00A55FCE" w:rsidP="00A55FCE">
            <w:pPr>
              <w:spacing w:after="0" w:line="240" w:lineRule="auto"/>
              <w:jc w:val="left"/>
              <w:rPr>
                <w:rFonts w:eastAsia="Times New Roman" w:cs="Calibri"/>
                <w:b/>
                <w:bCs/>
                <w:color w:val="FFFFFF"/>
                <w:sz w:val="18"/>
                <w:szCs w:val="18"/>
                <w:lang w:eastAsia="en-GB"/>
              </w:rPr>
            </w:pPr>
            <w:r w:rsidRPr="00A55FCE">
              <w:rPr>
                <w:rFonts w:eastAsia="Times New Roman" w:cs="Calibri"/>
                <w:b/>
                <w:bCs/>
                <w:color w:val="FFFFFF"/>
                <w:sz w:val="18"/>
                <w:szCs w:val="18"/>
                <w:lang w:eastAsia="en-GB"/>
              </w:rPr>
              <w:t xml:space="preserve"> </w:t>
            </w:r>
          </w:p>
        </w:tc>
        <w:tc>
          <w:tcPr>
            <w:tcW w:w="995" w:type="pct"/>
            <w:tcBorders>
              <w:top w:val="nil"/>
              <w:left w:val="nil"/>
              <w:bottom w:val="nil"/>
              <w:right w:val="nil"/>
            </w:tcBorders>
            <w:shd w:val="clear" w:color="000000" w:fill="000099"/>
            <w:vAlign w:val="center"/>
            <w:hideMark/>
          </w:tcPr>
          <w:p w14:paraId="39B318B3" w14:textId="77777777" w:rsidR="00A55FCE" w:rsidRPr="00A55FCE" w:rsidRDefault="00A55FCE" w:rsidP="00D07525">
            <w:pPr>
              <w:spacing w:after="0" w:line="240" w:lineRule="auto"/>
              <w:jc w:val="right"/>
              <w:rPr>
                <w:rFonts w:eastAsia="Times New Roman" w:cs="Calibri"/>
                <w:b/>
                <w:bCs/>
                <w:color w:val="FFFFFF"/>
                <w:sz w:val="18"/>
                <w:szCs w:val="18"/>
                <w:lang w:eastAsia="en-GB"/>
              </w:rPr>
            </w:pPr>
            <w:r w:rsidRPr="00A55FCE">
              <w:rPr>
                <w:rFonts w:eastAsia="Times New Roman" w:cs="Calibri"/>
                <w:b/>
                <w:bCs/>
                <w:color w:val="FFFFFF"/>
                <w:sz w:val="18"/>
                <w:szCs w:val="18"/>
                <w:lang w:eastAsia="en-GB"/>
              </w:rPr>
              <w:t>31 March 2026</w:t>
            </w:r>
          </w:p>
        </w:tc>
      </w:tr>
      <w:tr w:rsidR="00A55FCE" w:rsidRPr="00A55FCE" w14:paraId="5112E201" w14:textId="77777777" w:rsidTr="00D07525">
        <w:trPr>
          <w:trHeight w:val="290"/>
        </w:trPr>
        <w:tc>
          <w:tcPr>
            <w:tcW w:w="991" w:type="pct"/>
            <w:tcBorders>
              <w:top w:val="nil"/>
              <w:left w:val="nil"/>
              <w:bottom w:val="nil"/>
              <w:right w:val="nil"/>
            </w:tcBorders>
            <w:shd w:val="clear" w:color="000000" w:fill="000099"/>
            <w:vAlign w:val="center"/>
            <w:hideMark/>
          </w:tcPr>
          <w:p w14:paraId="4BBD1B94" w14:textId="77777777" w:rsidR="00A55FCE" w:rsidRPr="00A55FCE" w:rsidRDefault="00A55FCE" w:rsidP="00A55FCE">
            <w:pPr>
              <w:spacing w:after="0" w:line="240" w:lineRule="auto"/>
              <w:jc w:val="right"/>
              <w:rPr>
                <w:rFonts w:eastAsia="Times New Roman" w:cs="Calibri"/>
                <w:b/>
                <w:bCs/>
                <w:color w:val="FFFFFF"/>
                <w:sz w:val="18"/>
                <w:szCs w:val="18"/>
                <w:lang w:eastAsia="en-GB"/>
              </w:rPr>
            </w:pPr>
            <w:r w:rsidRPr="00A55FCE">
              <w:rPr>
                <w:rFonts w:eastAsia="Times New Roman" w:cs="Calibri"/>
                <w:b/>
                <w:bCs/>
                <w:color w:val="FFFFFF"/>
                <w:sz w:val="18"/>
                <w:szCs w:val="18"/>
                <w:lang w:eastAsia="en-GB"/>
              </w:rPr>
              <w:t>£000</w:t>
            </w:r>
          </w:p>
        </w:tc>
        <w:tc>
          <w:tcPr>
            <w:tcW w:w="3014" w:type="pct"/>
            <w:tcBorders>
              <w:top w:val="nil"/>
              <w:left w:val="nil"/>
              <w:bottom w:val="nil"/>
              <w:right w:val="nil"/>
            </w:tcBorders>
            <w:shd w:val="clear" w:color="000000" w:fill="000099"/>
            <w:vAlign w:val="bottom"/>
            <w:hideMark/>
          </w:tcPr>
          <w:p w14:paraId="30D7CCB7" w14:textId="77777777" w:rsidR="00A55FCE" w:rsidRPr="00A55FCE" w:rsidRDefault="00A55FCE" w:rsidP="00A55FCE">
            <w:pPr>
              <w:spacing w:after="0" w:line="240" w:lineRule="auto"/>
              <w:jc w:val="left"/>
              <w:rPr>
                <w:rFonts w:eastAsia="Times New Roman" w:cs="Calibri"/>
                <w:b/>
                <w:bCs/>
                <w:color w:val="FFFFFF"/>
                <w:sz w:val="18"/>
                <w:szCs w:val="18"/>
                <w:lang w:eastAsia="en-GB"/>
              </w:rPr>
            </w:pPr>
            <w:r w:rsidRPr="00A55FCE">
              <w:rPr>
                <w:rFonts w:eastAsia="Times New Roman" w:cs="Calibri"/>
                <w:b/>
                <w:bCs/>
                <w:color w:val="FFFFFF"/>
                <w:sz w:val="18"/>
                <w:szCs w:val="18"/>
                <w:lang w:eastAsia="en-GB"/>
              </w:rPr>
              <w:t>Creditors</w:t>
            </w:r>
          </w:p>
        </w:tc>
        <w:tc>
          <w:tcPr>
            <w:tcW w:w="995" w:type="pct"/>
            <w:tcBorders>
              <w:top w:val="nil"/>
              <w:left w:val="nil"/>
              <w:bottom w:val="nil"/>
              <w:right w:val="nil"/>
            </w:tcBorders>
            <w:shd w:val="clear" w:color="000000" w:fill="000099"/>
            <w:vAlign w:val="center"/>
            <w:hideMark/>
          </w:tcPr>
          <w:p w14:paraId="61D55B0D" w14:textId="77777777" w:rsidR="00A55FCE" w:rsidRPr="00A55FCE" w:rsidRDefault="00A55FCE" w:rsidP="00A55FCE">
            <w:pPr>
              <w:spacing w:after="0" w:line="240" w:lineRule="auto"/>
              <w:jc w:val="right"/>
              <w:rPr>
                <w:rFonts w:eastAsia="Times New Roman" w:cs="Calibri"/>
                <w:b/>
                <w:bCs/>
                <w:color w:val="FFFFFF"/>
                <w:sz w:val="18"/>
                <w:szCs w:val="18"/>
                <w:lang w:eastAsia="en-GB"/>
              </w:rPr>
            </w:pPr>
            <w:r w:rsidRPr="00A55FCE">
              <w:rPr>
                <w:rFonts w:eastAsia="Times New Roman" w:cs="Calibri"/>
                <w:b/>
                <w:bCs/>
                <w:color w:val="FFFFFF"/>
                <w:sz w:val="18"/>
                <w:szCs w:val="18"/>
                <w:lang w:eastAsia="en-GB"/>
              </w:rPr>
              <w:t>£000</w:t>
            </w:r>
          </w:p>
        </w:tc>
      </w:tr>
      <w:tr w:rsidR="00A55FCE" w:rsidRPr="00A55FCE" w14:paraId="5B18D8FE" w14:textId="77777777" w:rsidTr="00D07525">
        <w:trPr>
          <w:trHeight w:val="290"/>
        </w:trPr>
        <w:tc>
          <w:tcPr>
            <w:tcW w:w="991" w:type="pct"/>
            <w:tcBorders>
              <w:top w:val="nil"/>
              <w:left w:val="nil"/>
              <w:bottom w:val="nil"/>
              <w:right w:val="nil"/>
            </w:tcBorders>
            <w:shd w:val="clear" w:color="000000" w:fill="FFFFFF"/>
            <w:noWrap/>
            <w:vAlign w:val="center"/>
            <w:hideMark/>
          </w:tcPr>
          <w:p w14:paraId="5C7529DC" w14:textId="77777777" w:rsidR="00A55FCE" w:rsidRPr="00A55FCE" w:rsidRDefault="00A55FCE" w:rsidP="00D52566">
            <w:pPr>
              <w:spacing w:after="0" w:line="240" w:lineRule="auto"/>
              <w:jc w:val="right"/>
              <w:rPr>
                <w:rFonts w:eastAsia="Times New Roman" w:cs="Calibri"/>
                <w:color w:val="000000"/>
                <w:sz w:val="18"/>
                <w:szCs w:val="18"/>
                <w:lang w:eastAsia="en-GB"/>
              </w:rPr>
            </w:pPr>
            <w:r w:rsidRPr="00A55FCE">
              <w:rPr>
                <w:rFonts w:eastAsia="Times New Roman" w:cs="Calibri"/>
                <w:color w:val="000000"/>
                <w:sz w:val="18"/>
                <w:szCs w:val="18"/>
                <w:lang w:eastAsia="en-GB"/>
              </w:rPr>
              <w:t>(953,630)</w:t>
            </w:r>
          </w:p>
        </w:tc>
        <w:tc>
          <w:tcPr>
            <w:tcW w:w="3014" w:type="pct"/>
            <w:tcBorders>
              <w:top w:val="nil"/>
              <w:left w:val="nil"/>
              <w:bottom w:val="nil"/>
              <w:right w:val="nil"/>
            </w:tcBorders>
            <w:shd w:val="clear" w:color="000000" w:fill="FFFFFF"/>
            <w:vAlign w:val="center"/>
            <w:hideMark/>
          </w:tcPr>
          <w:p w14:paraId="15D3D389" w14:textId="77777777" w:rsidR="00A55FCE" w:rsidRPr="00A55FCE" w:rsidRDefault="00A55FCE" w:rsidP="00D52566">
            <w:pPr>
              <w:spacing w:after="0" w:line="240" w:lineRule="auto"/>
              <w:jc w:val="left"/>
              <w:rPr>
                <w:rFonts w:eastAsia="Times New Roman" w:cs="Calibri"/>
                <w:color w:val="000000"/>
                <w:sz w:val="18"/>
                <w:szCs w:val="18"/>
                <w:lang w:eastAsia="en-GB"/>
              </w:rPr>
            </w:pPr>
            <w:r w:rsidRPr="00A55FCE">
              <w:rPr>
                <w:rFonts w:eastAsia="Times New Roman" w:cs="Calibri"/>
                <w:color w:val="000000"/>
                <w:sz w:val="18"/>
                <w:szCs w:val="18"/>
                <w:lang w:eastAsia="en-GB"/>
              </w:rPr>
              <w:t>Pension Liabilities</w:t>
            </w:r>
          </w:p>
        </w:tc>
        <w:tc>
          <w:tcPr>
            <w:tcW w:w="995" w:type="pct"/>
            <w:tcBorders>
              <w:top w:val="nil"/>
              <w:left w:val="nil"/>
              <w:bottom w:val="nil"/>
              <w:right w:val="nil"/>
            </w:tcBorders>
            <w:shd w:val="clear" w:color="000000" w:fill="CCECFF"/>
            <w:noWrap/>
            <w:vAlign w:val="center"/>
            <w:hideMark/>
          </w:tcPr>
          <w:p w14:paraId="7A66F6D9" w14:textId="77777777" w:rsidR="00A55FCE" w:rsidRPr="00A55FCE" w:rsidRDefault="00A55FCE" w:rsidP="00D52566">
            <w:pPr>
              <w:spacing w:after="0" w:line="240" w:lineRule="auto"/>
              <w:jc w:val="right"/>
              <w:rPr>
                <w:rFonts w:eastAsia="Times New Roman" w:cs="Calibri"/>
                <w:color w:val="000000"/>
                <w:sz w:val="18"/>
                <w:szCs w:val="18"/>
                <w:lang w:eastAsia="en-GB"/>
              </w:rPr>
            </w:pPr>
            <w:r w:rsidRPr="00A55FCE">
              <w:rPr>
                <w:rFonts w:eastAsia="Times New Roman" w:cs="Calibri"/>
                <w:color w:val="000000"/>
                <w:sz w:val="18"/>
                <w:szCs w:val="18"/>
                <w:lang w:eastAsia="en-GB"/>
              </w:rPr>
              <w:t>(931,670)</w:t>
            </w:r>
          </w:p>
        </w:tc>
      </w:tr>
      <w:tr w:rsidR="00A55FCE" w:rsidRPr="00A55FCE" w14:paraId="4BB9DCCD" w14:textId="77777777" w:rsidTr="00FE0C4F">
        <w:trPr>
          <w:trHeight w:val="290"/>
        </w:trPr>
        <w:tc>
          <w:tcPr>
            <w:tcW w:w="991" w:type="pct"/>
            <w:tcBorders>
              <w:top w:val="nil"/>
              <w:left w:val="nil"/>
              <w:bottom w:val="nil"/>
              <w:right w:val="nil"/>
            </w:tcBorders>
            <w:shd w:val="clear" w:color="000000" w:fill="FFFFFF"/>
            <w:noWrap/>
            <w:vAlign w:val="center"/>
            <w:hideMark/>
          </w:tcPr>
          <w:p w14:paraId="63497358" w14:textId="77777777" w:rsidR="00A55FCE" w:rsidRPr="00A55FCE" w:rsidRDefault="00A55FCE" w:rsidP="00FE0C4F">
            <w:pPr>
              <w:spacing w:after="0" w:line="240" w:lineRule="auto"/>
              <w:jc w:val="right"/>
              <w:rPr>
                <w:rFonts w:eastAsia="Times New Roman" w:cs="Calibri"/>
                <w:color w:val="000000"/>
                <w:sz w:val="18"/>
                <w:szCs w:val="18"/>
                <w:lang w:eastAsia="en-GB"/>
              </w:rPr>
            </w:pPr>
            <w:r w:rsidRPr="00A55FCE">
              <w:rPr>
                <w:rFonts w:eastAsia="Times New Roman" w:cs="Calibri"/>
                <w:color w:val="000000"/>
                <w:sz w:val="18"/>
                <w:szCs w:val="18"/>
                <w:lang w:eastAsia="en-GB"/>
              </w:rPr>
              <w:t>-</w:t>
            </w:r>
          </w:p>
        </w:tc>
        <w:tc>
          <w:tcPr>
            <w:tcW w:w="3014" w:type="pct"/>
            <w:tcBorders>
              <w:top w:val="nil"/>
              <w:left w:val="nil"/>
              <w:bottom w:val="nil"/>
              <w:right w:val="nil"/>
            </w:tcBorders>
            <w:shd w:val="clear" w:color="000000" w:fill="FFFFFF"/>
            <w:vAlign w:val="center"/>
            <w:hideMark/>
          </w:tcPr>
          <w:p w14:paraId="13DAE677" w14:textId="26DCE654" w:rsidR="00A55FCE" w:rsidRPr="00A55FCE" w:rsidRDefault="00A55FCE" w:rsidP="0040499F">
            <w:pPr>
              <w:spacing w:after="0" w:line="240" w:lineRule="auto"/>
              <w:jc w:val="left"/>
              <w:rPr>
                <w:rFonts w:eastAsia="Times New Roman" w:cs="Calibri"/>
                <w:color w:val="000000"/>
                <w:sz w:val="18"/>
                <w:szCs w:val="18"/>
                <w:lang w:eastAsia="en-GB"/>
              </w:rPr>
            </w:pPr>
            <w:r w:rsidRPr="00A55FCE">
              <w:rPr>
                <w:rFonts w:eastAsia="Times New Roman" w:cs="Calibri"/>
                <w:color w:val="000000"/>
                <w:sz w:val="18"/>
                <w:szCs w:val="18"/>
                <w:lang w:eastAsia="en-GB"/>
              </w:rPr>
              <w:t>Long term lease liabilit</w:t>
            </w:r>
            <w:r w:rsidR="00CC3597">
              <w:rPr>
                <w:rFonts w:eastAsia="Times New Roman" w:cs="Calibri"/>
                <w:color w:val="000000"/>
                <w:sz w:val="18"/>
                <w:szCs w:val="18"/>
                <w:lang w:eastAsia="en-GB"/>
              </w:rPr>
              <w:t>i</w:t>
            </w:r>
            <w:r w:rsidRPr="00A55FCE">
              <w:rPr>
                <w:rFonts w:eastAsia="Times New Roman" w:cs="Calibri"/>
                <w:color w:val="000000"/>
                <w:sz w:val="18"/>
                <w:szCs w:val="18"/>
                <w:lang w:eastAsia="en-GB"/>
              </w:rPr>
              <w:t>es</w:t>
            </w:r>
          </w:p>
        </w:tc>
        <w:tc>
          <w:tcPr>
            <w:tcW w:w="995" w:type="pct"/>
            <w:tcBorders>
              <w:top w:val="nil"/>
              <w:left w:val="nil"/>
              <w:bottom w:val="nil"/>
              <w:right w:val="nil"/>
            </w:tcBorders>
            <w:shd w:val="clear" w:color="000000" w:fill="CCECFF"/>
            <w:noWrap/>
            <w:vAlign w:val="center"/>
            <w:hideMark/>
          </w:tcPr>
          <w:p w14:paraId="4FC8217F" w14:textId="06CCB044" w:rsidR="00A55FCE" w:rsidRPr="00A55FCE" w:rsidRDefault="00C307AA" w:rsidP="00432C4D">
            <w:pPr>
              <w:spacing w:after="0" w:line="240" w:lineRule="auto"/>
              <w:jc w:val="right"/>
              <w:rPr>
                <w:rFonts w:eastAsia="Times New Roman" w:cs="Calibri"/>
                <w:color w:val="000000"/>
                <w:sz w:val="18"/>
                <w:szCs w:val="18"/>
                <w:lang w:eastAsia="en-GB"/>
              </w:rPr>
            </w:pPr>
            <w:r>
              <w:rPr>
                <w:rFonts w:eastAsia="Times New Roman" w:cs="Calibri"/>
                <w:color w:val="000000"/>
                <w:sz w:val="18"/>
                <w:szCs w:val="18"/>
                <w:lang w:eastAsia="en-GB"/>
              </w:rPr>
              <w:t>-</w:t>
            </w:r>
          </w:p>
        </w:tc>
      </w:tr>
      <w:tr w:rsidR="00A55FCE" w:rsidRPr="00A55FCE" w14:paraId="47D18919" w14:textId="77777777" w:rsidTr="00D07525">
        <w:trPr>
          <w:trHeight w:val="290"/>
        </w:trPr>
        <w:tc>
          <w:tcPr>
            <w:tcW w:w="991" w:type="pct"/>
            <w:tcBorders>
              <w:top w:val="single" w:sz="4" w:space="0" w:color="auto"/>
              <w:left w:val="nil"/>
              <w:bottom w:val="single" w:sz="4" w:space="0" w:color="auto"/>
              <w:right w:val="nil"/>
            </w:tcBorders>
            <w:shd w:val="clear" w:color="000000" w:fill="FFFFFF"/>
            <w:noWrap/>
            <w:vAlign w:val="center"/>
            <w:hideMark/>
          </w:tcPr>
          <w:p w14:paraId="3458923E" w14:textId="77777777" w:rsidR="00A55FCE" w:rsidRPr="00A55FCE" w:rsidRDefault="00A55FCE" w:rsidP="00D52566">
            <w:pPr>
              <w:spacing w:after="0" w:line="240" w:lineRule="auto"/>
              <w:jc w:val="right"/>
              <w:rPr>
                <w:rFonts w:eastAsia="Times New Roman" w:cs="Calibri"/>
                <w:b/>
                <w:bCs/>
                <w:color w:val="auto"/>
                <w:sz w:val="18"/>
                <w:szCs w:val="18"/>
                <w:lang w:eastAsia="en-GB"/>
              </w:rPr>
            </w:pPr>
            <w:r w:rsidRPr="00A55FCE">
              <w:rPr>
                <w:rFonts w:eastAsia="Times New Roman" w:cs="Calibri"/>
                <w:b/>
                <w:bCs/>
                <w:color w:val="auto"/>
                <w:sz w:val="18"/>
                <w:szCs w:val="18"/>
                <w:lang w:eastAsia="en-GB"/>
              </w:rPr>
              <w:t>(953,630)</w:t>
            </w:r>
          </w:p>
        </w:tc>
        <w:tc>
          <w:tcPr>
            <w:tcW w:w="3014" w:type="pct"/>
            <w:tcBorders>
              <w:top w:val="single" w:sz="4" w:space="0" w:color="auto"/>
              <w:left w:val="nil"/>
              <w:bottom w:val="single" w:sz="4" w:space="0" w:color="auto"/>
              <w:right w:val="nil"/>
            </w:tcBorders>
            <w:shd w:val="clear" w:color="000000" w:fill="FFFFFF"/>
            <w:noWrap/>
            <w:vAlign w:val="center"/>
            <w:hideMark/>
          </w:tcPr>
          <w:p w14:paraId="44EF3255" w14:textId="77777777" w:rsidR="00A55FCE" w:rsidRPr="00A55FCE" w:rsidRDefault="00A55FCE" w:rsidP="00D52566">
            <w:pPr>
              <w:spacing w:after="0" w:line="240" w:lineRule="auto"/>
              <w:jc w:val="left"/>
              <w:rPr>
                <w:rFonts w:eastAsia="Times New Roman" w:cs="Calibri"/>
                <w:b/>
                <w:bCs/>
                <w:color w:val="auto"/>
                <w:sz w:val="18"/>
                <w:szCs w:val="18"/>
                <w:lang w:eastAsia="en-GB"/>
              </w:rPr>
            </w:pPr>
            <w:r w:rsidRPr="00A55FCE">
              <w:rPr>
                <w:rFonts w:eastAsia="Times New Roman" w:cs="Calibri"/>
                <w:b/>
                <w:bCs/>
                <w:color w:val="auto"/>
                <w:sz w:val="18"/>
                <w:szCs w:val="18"/>
                <w:lang w:eastAsia="en-GB"/>
              </w:rPr>
              <w:t xml:space="preserve">Total </w:t>
            </w:r>
            <w:proofErr w:type="gramStart"/>
            <w:r w:rsidRPr="00A55FCE">
              <w:rPr>
                <w:rFonts w:eastAsia="Times New Roman" w:cs="Calibri"/>
                <w:b/>
                <w:bCs/>
                <w:color w:val="auto"/>
                <w:sz w:val="18"/>
                <w:szCs w:val="18"/>
                <w:lang w:eastAsia="en-GB"/>
              </w:rPr>
              <w:t>Long Term</w:t>
            </w:r>
            <w:proofErr w:type="gramEnd"/>
            <w:r w:rsidRPr="00A55FCE">
              <w:rPr>
                <w:rFonts w:eastAsia="Times New Roman" w:cs="Calibri"/>
                <w:b/>
                <w:bCs/>
                <w:color w:val="auto"/>
                <w:sz w:val="18"/>
                <w:szCs w:val="18"/>
                <w:lang w:eastAsia="en-GB"/>
              </w:rPr>
              <w:t xml:space="preserve"> Liabilities</w:t>
            </w:r>
          </w:p>
        </w:tc>
        <w:tc>
          <w:tcPr>
            <w:tcW w:w="995" w:type="pct"/>
            <w:tcBorders>
              <w:top w:val="single" w:sz="4" w:space="0" w:color="auto"/>
              <w:left w:val="nil"/>
              <w:bottom w:val="single" w:sz="4" w:space="0" w:color="auto"/>
              <w:right w:val="nil"/>
            </w:tcBorders>
            <w:shd w:val="clear" w:color="000000" w:fill="CCECFF"/>
            <w:noWrap/>
            <w:vAlign w:val="center"/>
            <w:hideMark/>
          </w:tcPr>
          <w:p w14:paraId="276AD09B" w14:textId="7708CA87" w:rsidR="00A55FCE" w:rsidRPr="00A55FCE" w:rsidRDefault="00A55FCE" w:rsidP="00D52566">
            <w:pPr>
              <w:spacing w:after="0" w:line="240" w:lineRule="auto"/>
              <w:jc w:val="right"/>
              <w:rPr>
                <w:rFonts w:eastAsia="Times New Roman" w:cs="Calibri"/>
                <w:b/>
                <w:bCs/>
                <w:color w:val="auto"/>
                <w:sz w:val="18"/>
                <w:szCs w:val="18"/>
                <w:lang w:eastAsia="en-GB"/>
              </w:rPr>
            </w:pPr>
            <w:r w:rsidRPr="00A55FCE">
              <w:rPr>
                <w:rFonts w:eastAsia="Times New Roman" w:cs="Calibri"/>
                <w:b/>
                <w:bCs/>
                <w:color w:val="auto"/>
                <w:sz w:val="18"/>
                <w:szCs w:val="18"/>
                <w:lang w:eastAsia="en-GB"/>
              </w:rPr>
              <w:t>(93</w:t>
            </w:r>
            <w:r w:rsidR="00C307AA">
              <w:rPr>
                <w:rFonts w:eastAsia="Times New Roman" w:cs="Calibri"/>
                <w:b/>
                <w:bCs/>
                <w:color w:val="auto"/>
                <w:sz w:val="18"/>
                <w:szCs w:val="18"/>
                <w:lang w:eastAsia="en-GB"/>
              </w:rPr>
              <w:t>1</w:t>
            </w:r>
            <w:r w:rsidRPr="00A55FCE">
              <w:rPr>
                <w:rFonts w:eastAsia="Times New Roman" w:cs="Calibri"/>
                <w:b/>
                <w:bCs/>
                <w:color w:val="auto"/>
                <w:sz w:val="18"/>
                <w:szCs w:val="18"/>
                <w:lang w:eastAsia="en-GB"/>
              </w:rPr>
              <w:t>,</w:t>
            </w:r>
            <w:r w:rsidR="00C307AA">
              <w:rPr>
                <w:rFonts w:eastAsia="Times New Roman" w:cs="Calibri"/>
                <w:b/>
                <w:bCs/>
                <w:color w:val="auto"/>
                <w:sz w:val="18"/>
                <w:szCs w:val="18"/>
                <w:lang w:eastAsia="en-GB"/>
              </w:rPr>
              <w:t>670</w:t>
            </w:r>
            <w:r w:rsidRPr="00A55FCE">
              <w:rPr>
                <w:rFonts w:eastAsia="Times New Roman" w:cs="Calibri"/>
                <w:b/>
                <w:bCs/>
                <w:color w:val="auto"/>
                <w:sz w:val="18"/>
                <w:szCs w:val="18"/>
                <w:lang w:eastAsia="en-GB"/>
              </w:rPr>
              <w:t>)</w:t>
            </w:r>
          </w:p>
        </w:tc>
      </w:tr>
    </w:tbl>
    <w:p w14:paraId="6E618166" w14:textId="77777777" w:rsidR="00AE0965" w:rsidRDefault="00AE0965" w:rsidP="003356AE">
      <w:pPr>
        <w:spacing w:line="240" w:lineRule="auto"/>
        <w:jc w:val="left"/>
        <w:rPr>
          <w:rFonts w:cstheme="minorHAnsi"/>
          <w:szCs w:val="20"/>
          <w:lang w:val="en-AU"/>
        </w:rPr>
      </w:pPr>
    </w:p>
    <w:p w14:paraId="313D85B6" w14:textId="77777777" w:rsidR="00083C5D" w:rsidRDefault="00083C5D" w:rsidP="003356AE">
      <w:pPr>
        <w:spacing w:line="240" w:lineRule="auto"/>
        <w:rPr>
          <w:rFonts w:asciiTheme="minorHAnsi" w:eastAsia="Times New Roman" w:hAnsiTheme="minorHAnsi" w:cs="Times New Roman"/>
          <w:b/>
          <w:bCs/>
          <w:color w:val="25316C"/>
          <w:sz w:val="24"/>
          <w:u w:val="single"/>
        </w:rPr>
      </w:pPr>
    </w:p>
    <w:p w14:paraId="30991E68" w14:textId="77777777" w:rsidR="00EA47B5" w:rsidRDefault="00EA47B5" w:rsidP="003356AE">
      <w:pPr>
        <w:spacing w:line="240" w:lineRule="auto"/>
        <w:rPr>
          <w:rFonts w:asciiTheme="minorHAnsi" w:eastAsia="Times New Roman" w:hAnsiTheme="minorHAnsi" w:cs="Times New Roman"/>
          <w:b/>
          <w:bCs/>
          <w:color w:val="25316C"/>
          <w:sz w:val="24"/>
          <w:u w:val="single"/>
        </w:rPr>
      </w:pPr>
      <w:r>
        <w:rPr>
          <w:rFonts w:asciiTheme="minorHAnsi" w:eastAsia="Times New Roman" w:hAnsiTheme="minorHAnsi" w:cs="Times New Roman"/>
          <w:b/>
          <w:bCs/>
          <w:color w:val="25316C"/>
          <w:sz w:val="24"/>
          <w:u w:val="single"/>
        </w:rPr>
        <w:br w:type="page"/>
      </w:r>
    </w:p>
    <w:p w14:paraId="026B88F5" w14:textId="62068E97" w:rsidR="00DC4315" w:rsidRPr="008A7A76" w:rsidRDefault="00AE0965" w:rsidP="003356AE">
      <w:pPr>
        <w:spacing w:line="240" w:lineRule="auto"/>
      </w:pPr>
      <w:r w:rsidRPr="008A7A76">
        <w:rPr>
          <w:rFonts w:asciiTheme="minorHAnsi" w:eastAsia="Times New Roman" w:hAnsiTheme="minorHAnsi" w:cs="Times New Roman"/>
          <w:b/>
          <w:bCs/>
          <w:color w:val="25316C"/>
          <w:sz w:val="24"/>
          <w:u w:val="single"/>
        </w:rPr>
        <w:lastRenderedPageBreak/>
        <w:t>Police Pension Fund Account</w:t>
      </w:r>
    </w:p>
    <w:p w14:paraId="797A2FAD" w14:textId="77777777" w:rsidR="00DC4315" w:rsidRPr="008A7A76" w:rsidRDefault="00DC4315" w:rsidP="003356AE">
      <w:pPr>
        <w:spacing w:line="240" w:lineRule="auto"/>
      </w:pPr>
      <w:r w:rsidRPr="008A7A76">
        <w:t>This statement shows movements of funds related to police officer pensions.  The Group and OCC are required to operate a Police Officer Pension Fund from 1 April 2006, under the Police Pension Fund Regulations 2008.  The regulations specify the transactions that are paid into and out of the fund.</w:t>
      </w:r>
    </w:p>
    <w:p w14:paraId="5F83F2C9" w14:textId="77777777" w:rsidR="00DC4315" w:rsidRPr="008A7A76" w:rsidRDefault="00DC4315" w:rsidP="003356AE">
      <w:pPr>
        <w:spacing w:line="240" w:lineRule="auto"/>
      </w:pPr>
    </w:p>
    <w:p w14:paraId="6405FB6F" w14:textId="77777777" w:rsidR="00DC4315" w:rsidRPr="008A7A76" w:rsidRDefault="00DC4315" w:rsidP="003356AE">
      <w:pPr>
        <w:spacing w:line="240" w:lineRule="auto"/>
      </w:pPr>
      <w:r w:rsidRPr="008A7A76">
        <w:t>The Pensions Fund combines the accounting transaction of four pension schemes.  These are the Police Pensions Scheme which was set up in 1987, 2006 Police Pensions Scheme, which was created under the Police Pension Regulations 2006, which applies to new recruits from 1 April 2006, and the 2015 Police Pension Scheme, which was created on 1 April 2015 and involved transfers in from the 1987 and 2006 schemes, based on length of service.  The fourth scheme is the injury award scheme.</w:t>
      </w:r>
    </w:p>
    <w:p w14:paraId="548BB92D" w14:textId="77777777" w:rsidR="00DC4315" w:rsidRPr="008A7A76" w:rsidRDefault="00DC4315" w:rsidP="003356AE">
      <w:pPr>
        <w:spacing w:line="240" w:lineRule="auto"/>
      </w:pPr>
    </w:p>
    <w:p w14:paraId="0F4BC3C0" w14:textId="2F0AA3F2" w:rsidR="00DC4315" w:rsidRPr="008A7A76" w:rsidRDefault="00DC4315" w:rsidP="003356AE">
      <w:pPr>
        <w:spacing w:line="240" w:lineRule="auto"/>
      </w:pPr>
      <w:r w:rsidRPr="008A7A76">
        <w:t>Following the Sarge</w:t>
      </w:r>
      <w:r w:rsidR="0046430F" w:rsidRPr="008A7A76">
        <w:t>a</w:t>
      </w:r>
      <w:r w:rsidRPr="008A7A76">
        <w:t>nt and McCloud High Court rulings, all members will be moved to the 2015 scheme from 1 April 201</w:t>
      </w:r>
      <w:r w:rsidR="00DD15A4" w:rsidRPr="008A7A76">
        <w:t>5</w:t>
      </w:r>
      <w:r w:rsidRPr="008A7A76">
        <w:t xml:space="preserve"> to ensure that there is no further possibility of age discrimination within the pension arrangements. </w:t>
      </w:r>
    </w:p>
    <w:p w14:paraId="68A14C67" w14:textId="77777777" w:rsidR="00DC4315" w:rsidRPr="008A7A76" w:rsidRDefault="00DC4315" w:rsidP="003356AE">
      <w:pPr>
        <w:spacing w:line="240" w:lineRule="auto"/>
      </w:pPr>
    </w:p>
    <w:p w14:paraId="0B0CDEEF" w14:textId="7578471C" w:rsidR="00502DDB" w:rsidRDefault="00DC4315" w:rsidP="003356AE">
      <w:pPr>
        <w:spacing w:line="240" w:lineRule="auto"/>
        <w:rPr>
          <w:rFonts w:asciiTheme="minorHAnsi" w:hAnsiTheme="minorHAnsi"/>
          <w:color w:val="auto"/>
          <w:sz w:val="24"/>
          <w:lang w:val="en-US"/>
        </w:rPr>
      </w:pPr>
      <w:r w:rsidRPr="008A7A76">
        <w:t>The Police Officer Pension Schemes are unfunded, which means there are no investment assets.  Under these arrangements the Pension Fund Revenue Account balances to nil at the year-end by receiving a grant directly from the Home Office under the Top Up Grant arrangements.  There are certain exceptions to these arrangements such as injury awards, which will continue to be charged directly to the OCC’s and Groups Income and Expenditure Account.</w:t>
      </w:r>
    </w:p>
    <w:p w14:paraId="476FD7A0" w14:textId="4A42886B" w:rsidR="00243C66" w:rsidRDefault="00243C66" w:rsidP="003356AE">
      <w:pPr>
        <w:spacing w:line="240" w:lineRule="auto"/>
      </w:pPr>
    </w:p>
    <w:tbl>
      <w:tblPr>
        <w:tblW w:w="8000" w:type="dxa"/>
        <w:tblLook w:val="04A0" w:firstRow="1" w:lastRow="0" w:firstColumn="1" w:lastColumn="0" w:noHBand="0" w:noVBand="1"/>
      </w:tblPr>
      <w:tblGrid>
        <w:gridCol w:w="5400"/>
        <w:gridCol w:w="841"/>
        <w:gridCol w:w="1792"/>
      </w:tblGrid>
      <w:tr w:rsidR="00BB38EB" w:rsidRPr="00BB38EB" w14:paraId="16421A21" w14:textId="77777777" w:rsidTr="00BB38EB">
        <w:trPr>
          <w:trHeight w:val="290"/>
        </w:trPr>
        <w:tc>
          <w:tcPr>
            <w:tcW w:w="5400" w:type="dxa"/>
            <w:tcBorders>
              <w:top w:val="nil"/>
              <w:left w:val="nil"/>
              <w:bottom w:val="nil"/>
              <w:right w:val="nil"/>
            </w:tcBorders>
            <w:shd w:val="clear" w:color="000000" w:fill="000099"/>
            <w:noWrap/>
            <w:vAlign w:val="center"/>
            <w:hideMark/>
          </w:tcPr>
          <w:p w14:paraId="50EF44ED" w14:textId="77777777" w:rsidR="00BB38EB" w:rsidRPr="00BB38EB" w:rsidRDefault="00BB38EB" w:rsidP="00BB38EB">
            <w:pPr>
              <w:spacing w:after="0" w:line="240" w:lineRule="auto"/>
              <w:jc w:val="left"/>
              <w:rPr>
                <w:rFonts w:asciiTheme="minorHAnsi" w:eastAsia="Times New Roman" w:hAnsiTheme="minorHAnsi" w:cstheme="minorHAnsi"/>
                <w:color w:val="FFFFFF"/>
                <w:sz w:val="18"/>
                <w:szCs w:val="18"/>
                <w:lang w:eastAsia="en-GB"/>
              </w:rPr>
            </w:pPr>
            <w:r w:rsidRPr="00BB38EB">
              <w:rPr>
                <w:rFonts w:asciiTheme="minorHAnsi" w:eastAsia="Times New Roman" w:hAnsiTheme="minorHAnsi" w:cstheme="minorHAnsi"/>
                <w:color w:val="FFFFFF"/>
                <w:sz w:val="18"/>
                <w:szCs w:val="18"/>
                <w:lang w:eastAsia="en-GB"/>
              </w:rPr>
              <w:t> </w:t>
            </w:r>
          </w:p>
        </w:tc>
        <w:tc>
          <w:tcPr>
            <w:tcW w:w="2600" w:type="dxa"/>
            <w:gridSpan w:val="2"/>
            <w:vMerge w:val="restart"/>
            <w:tcBorders>
              <w:top w:val="nil"/>
              <w:left w:val="nil"/>
              <w:bottom w:val="nil"/>
              <w:right w:val="nil"/>
            </w:tcBorders>
            <w:shd w:val="clear" w:color="000000" w:fill="000099"/>
            <w:vAlign w:val="center"/>
            <w:hideMark/>
          </w:tcPr>
          <w:p w14:paraId="06340F78" w14:textId="77777777" w:rsidR="00BB38EB" w:rsidRPr="00BB38EB" w:rsidRDefault="00BB38EB" w:rsidP="00BB38EB">
            <w:pPr>
              <w:spacing w:after="0" w:line="240" w:lineRule="auto"/>
              <w:jc w:val="center"/>
              <w:rPr>
                <w:rFonts w:asciiTheme="minorHAnsi" w:eastAsia="Times New Roman" w:hAnsiTheme="minorHAnsi" w:cstheme="minorHAnsi"/>
                <w:b/>
                <w:bCs/>
                <w:color w:val="FFFFFF"/>
                <w:sz w:val="18"/>
                <w:szCs w:val="18"/>
                <w:lang w:eastAsia="en-GB"/>
              </w:rPr>
            </w:pPr>
            <w:r w:rsidRPr="00BB38EB">
              <w:rPr>
                <w:rFonts w:asciiTheme="minorHAnsi" w:eastAsia="Times New Roman" w:hAnsiTheme="minorHAnsi" w:cstheme="minorHAnsi"/>
                <w:b/>
                <w:bCs/>
                <w:color w:val="FFFFFF"/>
                <w:sz w:val="18"/>
                <w:szCs w:val="18"/>
                <w:lang w:eastAsia="en-GB"/>
              </w:rPr>
              <w:t>Police Pension Scheme</w:t>
            </w:r>
          </w:p>
        </w:tc>
      </w:tr>
      <w:tr w:rsidR="00BB38EB" w:rsidRPr="00BB38EB" w14:paraId="7F52C075" w14:textId="77777777" w:rsidTr="00BB38EB">
        <w:trPr>
          <w:trHeight w:val="290"/>
        </w:trPr>
        <w:tc>
          <w:tcPr>
            <w:tcW w:w="5400" w:type="dxa"/>
            <w:tcBorders>
              <w:top w:val="nil"/>
              <w:left w:val="nil"/>
              <w:bottom w:val="nil"/>
              <w:right w:val="nil"/>
            </w:tcBorders>
            <w:shd w:val="clear" w:color="000000" w:fill="000099"/>
            <w:noWrap/>
            <w:vAlign w:val="center"/>
            <w:hideMark/>
          </w:tcPr>
          <w:p w14:paraId="00F12BEC" w14:textId="77777777" w:rsidR="00BB38EB" w:rsidRPr="00BB38EB" w:rsidRDefault="00BB38EB" w:rsidP="00BB38EB">
            <w:pPr>
              <w:spacing w:after="0" w:line="240" w:lineRule="auto"/>
              <w:jc w:val="left"/>
              <w:rPr>
                <w:rFonts w:asciiTheme="minorHAnsi" w:eastAsia="Times New Roman" w:hAnsiTheme="minorHAnsi" w:cstheme="minorHAnsi"/>
                <w:color w:val="FFFFFF"/>
                <w:sz w:val="18"/>
                <w:szCs w:val="18"/>
                <w:lang w:eastAsia="en-GB"/>
              </w:rPr>
            </w:pPr>
            <w:r w:rsidRPr="00BB38EB">
              <w:rPr>
                <w:rFonts w:asciiTheme="minorHAnsi" w:eastAsia="Times New Roman" w:hAnsiTheme="minorHAnsi" w:cstheme="minorHAnsi"/>
                <w:color w:val="FFFFFF"/>
                <w:sz w:val="18"/>
                <w:szCs w:val="18"/>
                <w:lang w:eastAsia="en-GB"/>
              </w:rPr>
              <w:t> </w:t>
            </w:r>
          </w:p>
        </w:tc>
        <w:tc>
          <w:tcPr>
            <w:tcW w:w="2600" w:type="dxa"/>
            <w:gridSpan w:val="2"/>
            <w:vMerge/>
            <w:tcBorders>
              <w:top w:val="nil"/>
              <w:left w:val="nil"/>
              <w:bottom w:val="nil"/>
              <w:right w:val="nil"/>
            </w:tcBorders>
            <w:vAlign w:val="center"/>
            <w:hideMark/>
          </w:tcPr>
          <w:p w14:paraId="3F2EBE99" w14:textId="77777777" w:rsidR="00BB38EB" w:rsidRPr="00BB38EB" w:rsidRDefault="00BB38EB" w:rsidP="00BB38EB">
            <w:pPr>
              <w:spacing w:after="0" w:line="240" w:lineRule="auto"/>
              <w:jc w:val="left"/>
              <w:rPr>
                <w:rFonts w:asciiTheme="minorHAnsi" w:eastAsia="Times New Roman" w:hAnsiTheme="minorHAnsi" w:cstheme="minorHAnsi"/>
                <w:b/>
                <w:bCs/>
                <w:color w:val="FFFFFF"/>
                <w:sz w:val="18"/>
                <w:szCs w:val="18"/>
                <w:lang w:eastAsia="en-GB"/>
              </w:rPr>
            </w:pPr>
          </w:p>
        </w:tc>
      </w:tr>
      <w:tr w:rsidR="00BB38EB" w:rsidRPr="00BB38EB" w14:paraId="418BAFD7" w14:textId="77777777" w:rsidTr="00BB38EB">
        <w:trPr>
          <w:trHeight w:val="290"/>
        </w:trPr>
        <w:tc>
          <w:tcPr>
            <w:tcW w:w="5400" w:type="dxa"/>
            <w:tcBorders>
              <w:top w:val="nil"/>
              <w:left w:val="nil"/>
              <w:bottom w:val="nil"/>
              <w:right w:val="nil"/>
            </w:tcBorders>
            <w:shd w:val="clear" w:color="000000" w:fill="000099"/>
            <w:noWrap/>
            <w:vAlign w:val="center"/>
            <w:hideMark/>
          </w:tcPr>
          <w:p w14:paraId="24AE3BBF" w14:textId="77777777" w:rsidR="00BB38EB" w:rsidRPr="00BB38EB" w:rsidRDefault="00BB38EB" w:rsidP="00BB38EB">
            <w:pPr>
              <w:spacing w:after="0" w:line="240" w:lineRule="auto"/>
              <w:jc w:val="left"/>
              <w:rPr>
                <w:rFonts w:asciiTheme="minorHAnsi" w:eastAsia="Times New Roman" w:hAnsiTheme="minorHAnsi" w:cstheme="minorHAnsi"/>
                <w:color w:val="FFFFFF"/>
                <w:sz w:val="18"/>
                <w:szCs w:val="18"/>
                <w:lang w:eastAsia="en-GB"/>
              </w:rPr>
            </w:pPr>
            <w:r w:rsidRPr="00BB38EB">
              <w:rPr>
                <w:rFonts w:asciiTheme="minorHAnsi" w:eastAsia="Times New Roman" w:hAnsiTheme="minorHAnsi" w:cstheme="minorHAnsi"/>
                <w:color w:val="FFFFFF"/>
                <w:sz w:val="18"/>
                <w:szCs w:val="18"/>
                <w:lang w:eastAsia="en-GB"/>
              </w:rPr>
              <w:t> </w:t>
            </w:r>
          </w:p>
        </w:tc>
        <w:tc>
          <w:tcPr>
            <w:tcW w:w="808" w:type="dxa"/>
            <w:tcBorders>
              <w:top w:val="nil"/>
              <w:left w:val="nil"/>
              <w:bottom w:val="nil"/>
              <w:right w:val="nil"/>
            </w:tcBorders>
            <w:shd w:val="clear" w:color="000000" w:fill="000099"/>
            <w:noWrap/>
            <w:vAlign w:val="center"/>
            <w:hideMark/>
          </w:tcPr>
          <w:p w14:paraId="4B36CFF3" w14:textId="77777777" w:rsidR="00BB38EB" w:rsidRPr="00BB38EB" w:rsidRDefault="00BB38EB" w:rsidP="00BB38EB">
            <w:pPr>
              <w:spacing w:after="0" w:line="240" w:lineRule="auto"/>
              <w:jc w:val="center"/>
              <w:rPr>
                <w:rFonts w:asciiTheme="minorHAnsi" w:eastAsia="Times New Roman" w:hAnsiTheme="minorHAnsi" w:cstheme="minorHAnsi"/>
                <w:b/>
                <w:bCs/>
                <w:color w:val="FFFFFF"/>
                <w:sz w:val="18"/>
                <w:szCs w:val="18"/>
                <w:lang w:eastAsia="en-GB"/>
              </w:rPr>
            </w:pPr>
            <w:r w:rsidRPr="00BB38EB">
              <w:rPr>
                <w:rFonts w:asciiTheme="minorHAnsi" w:eastAsia="Times New Roman" w:hAnsiTheme="minorHAnsi" w:cstheme="minorHAnsi"/>
                <w:b/>
                <w:bCs/>
                <w:color w:val="FFFFFF"/>
                <w:sz w:val="18"/>
                <w:szCs w:val="18"/>
                <w:lang w:eastAsia="en-GB"/>
              </w:rPr>
              <w:t>2024/25</w:t>
            </w:r>
          </w:p>
        </w:tc>
        <w:tc>
          <w:tcPr>
            <w:tcW w:w="1792" w:type="dxa"/>
            <w:tcBorders>
              <w:top w:val="nil"/>
              <w:left w:val="nil"/>
              <w:bottom w:val="nil"/>
              <w:right w:val="nil"/>
            </w:tcBorders>
            <w:shd w:val="clear" w:color="000000" w:fill="000099"/>
            <w:noWrap/>
            <w:vAlign w:val="center"/>
            <w:hideMark/>
          </w:tcPr>
          <w:p w14:paraId="10D474A6" w14:textId="77777777" w:rsidR="00BB38EB" w:rsidRPr="00BB38EB" w:rsidRDefault="00BB38EB" w:rsidP="00BB38EB">
            <w:pPr>
              <w:spacing w:after="0" w:line="240" w:lineRule="auto"/>
              <w:jc w:val="center"/>
              <w:rPr>
                <w:rFonts w:asciiTheme="minorHAnsi" w:eastAsia="Times New Roman" w:hAnsiTheme="minorHAnsi" w:cstheme="minorHAnsi"/>
                <w:b/>
                <w:bCs/>
                <w:color w:val="FFFFFF"/>
                <w:sz w:val="18"/>
                <w:szCs w:val="18"/>
                <w:lang w:eastAsia="en-GB"/>
              </w:rPr>
            </w:pPr>
            <w:r w:rsidRPr="00BB38EB">
              <w:rPr>
                <w:rFonts w:asciiTheme="minorHAnsi" w:eastAsia="Times New Roman" w:hAnsiTheme="minorHAnsi" w:cstheme="minorHAnsi"/>
                <w:b/>
                <w:bCs/>
                <w:color w:val="FFFFFF"/>
                <w:sz w:val="18"/>
                <w:szCs w:val="18"/>
                <w:lang w:eastAsia="en-GB"/>
              </w:rPr>
              <w:t>2025/26</w:t>
            </w:r>
          </w:p>
        </w:tc>
      </w:tr>
      <w:tr w:rsidR="00BB38EB" w:rsidRPr="00BB38EB" w14:paraId="38BDA3DE" w14:textId="77777777" w:rsidTr="00BB38EB">
        <w:trPr>
          <w:trHeight w:val="290"/>
        </w:trPr>
        <w:tc>
          <w:tcPr>
            <w:tcW w:w="5400" w:type="dxa"/>
            <w:tcBorders>
              <w:top w:val="nil"/>
              <w:left w:val="nil"/>
              <w:bottom w:val="nil"/>
              <w:right w:val="nil"/>
            </w:tcBorders>
            <w:shd w:val="clear" w:color="000000" w:fill="FFFFFF"/>
            <w:noWrap/>
            <w:vAlign w:val="center"/>
            <w:hideMark/>
          </w:tcPr>
          <w:p w14:paraId="26E5930A" w14:textId="77777777" w:rsidR="00BB38EB" w:rsidRPr="00BB38EB" w:rsidRDefault="00BB38EB" w:rsidP="00BB38EB">
            <w:pPr>
              <w:spacing w:after="0" w:line="240" w:lineRule="auto"/>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Contributions Receivable</w:t>
            </w:r>
          </w:p>
        </w:tc>
        <w:tc>
          <w:tcPr>
            <w:tcW w:w="808" w:type="dxa"/>
            <w:tcBorders>
              <w:top w:val="nil"/>
              <w:left w:val="nil"/>
              <w:bottom w:val="nil"/>
              <w:right w:val="nil"/>
            </w:tcBorders>
            <w:shd w:val="clear" w:color="000000" w:fill="FFFFFF"/>
            <w:noWrap/>
            <w:vAlign w:val="center"/>
            <w:hideMark/>
          </w:tcPr>
          <w:p w14:paraId="5046A87E" w14:textId="77777777" w:rsidR="00BB38EB" w:rsidRPr="00BB38EB" w:rsidRDefault="00BB38EB" w:rsidP="00BB38EB">
            <w:pPr>
              <w:spacing w:after="0" w:line="240" w:lineRule="auto"/>
              <w:jc w:val="right"/>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41BADD03"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100AF2CA" w14:textId="77777777" w:rsidTr="00BB38EB">
        <w:trPr>
          <w:trHeight w:val="290"/>
        </w:trPr>
        <w:tc>
          <w:tcPr>
            <w:tcW w:w="5400" w:type="dxa"/>
            <w:tcBorders>
              <w:top w:val="nil"/>
              <w:left w:val="nil"/>
              <w:bottom w:val="nil"/>
              <w:right w:val="nil"/>
            </w:tcBorders>
            <w:shd w:val="clear" w:color="000000" w:fill="FFFFFF"/>
            <w:noWrap/>
            <w:vAlign w:val="center"/>
            <w:hideMark/>
          </w:tcPr>
          <w:p w14:paraId="5E444514"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Group</w:t>
            </w:r>
          </w:p>
        </w:tc>
        <w:tc>
          <w:tcPr>
            <w:tcW w:w="808" w:type="dxa"/>
            <w:tcBorders>
              <w:top w:val="nil"/>
              <w:left w:val="nil"/>
              <w:bottom w:val="nil"/>
              <w:right w:val="nil"/>
            </w:tcBorders>
            <w:shd w:val="clear" w:color="000000" w:fill="FFFFFF"/>
            <w:noWrap/>
            <w:vAlign w:val="center"/>
            <w:hideMark/>
          </w:tcPr>
          <w:p w14:paraId="7C1AEA67"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2F9F5EF7"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4645843D" w14:textId="77777777" w:rsidTr="00BB38EB">
        <w:trPr>
          <w:trHeight w:val="290"/>
        </w:trPr>
        <w:tc>
          <w:tcPr>
            <w:tcW w:w="5400" w:type="dxa"/>
            <w:tcBorders>
              <w:top w:val="nil"/>
              <w:left w:val="nil"/>
              <w:bottom w:val="nil"/>
              <w:right w:val="nil"/>
            </w:tcBorders>
            <w:shd w:val="clear" w:color="000000" w:fill="FFFFFF"/>
            <w:noWrap/>
            <w:vAlign w:val="center"/>
            <w:hideMark/>
          </w:tcPr>
          <w:p w14:paraId="0F10E6AF"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xml:space="preserve">From Employer </w:t>
            </w:r>
          </w:p>
        </w:tc>
        <w:tc>
          <w:tcPr>
            <w:tcW w:w="808" w:type="dxa"/>
            <w:tcBorders>
              <w:top w:val="nil"/>
              <w:left w:val="nil"/>
              <w:bottom w:val="nil"/>
              <w:right w:val="nil"/>
            </w:tcBorders>
            <w:shd w:val="clear" w:color="000000" w:fill="FFFFFF"/>
            <w:noWrap/>
            <w:vAlign w:val="center"/>
            <w:hideMark/>
          </w:tcPr>
          <w:p w14:paraId="166E7D00"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27BE3009"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6A770066" w14:textId="77777777" w:rsidTr="00BB38EB">
        <w:trPr>
          <w:trHeight w:val="290"/>
        </w:trPr>
        <w:tc>
          <w:tcPr>
            <w:tcW w:w="5400" w:type="dxa"/>
            <w:tcBorders>
              <w:top w:val="nil"/>
              <w:left w:val="nil"/>
              <w:bottom w:val="nil"/>
              <w:right w:val="nil"/>
            </w:tcBorders>
            <w:shd w:val="clear" w:color="000000" w:fill="FFFFFF"/>
            <w:noWrap/>
            <w:vAlign w:val="bottom"/>
            <w:hideMark/>
          </w:tcPr>
          <w:p w14:paraId="73EEF020" w14:textId="77777777" w:rsidR="00BB38EB" w:rsidRPr="00BB38EB" w:rsidRDefault="00BB38EB" w:rsidP="00BB38EB">
            <w:pPr>
              <w:spacing w:after="0" w:line="240" w:lineRule="auto"/>
              <w:ind w:firstLineChars="100" w:firstLine="180"/>
              <w:jc w:val="lef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Normal</w:t>
            </w:r>
          </w:p>
        </w:tc>
        <w:tc>
          <w:tcPr>
            <w:tcW w:w="808" w:type="dxa"/>
            <w:tcBorders>
              <w:top w:val="nil"/>
              <w:left w:val="nil"/>
              <w:bottom w:val="nil"/>
              <w:right w:val="nil"/>
            </w:tcBorders>
            <w:shd w:val="clear" w:color="000000" w:fill="FFFFFF"/>
            <w:noWrap/>
            <w:vAlign w:val="center"/>
            <w:hideMark/>
          </w:tcPr>
          <w:p w14:paraId="307EDEE8"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(20,605)</w:t>
            </w:r>
          </w:p>
        </w:tc>
        <w:tc>
          <w:tcPr>
            <w:tcW w:w="1792" w:type="dxa"/>
            <w:tcBorders>
              <w:top w:val="nil"/>
              <w:left w:val="nil"/>
              <w:bottom w:val="nil"/>
              <w:right w:val="nil"/>
            </w:tcBorders>
            <w:shd w:val="clear" w:color="000000" w:fill="CCECFF"/>
            <w:vAlign w:val="center"/>
            <w:hideMark/>
          </w:tcPr>
          <w:p w14:paraId="0E3A37AF"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(21,480)</w:t>
            </w:r>
          </w:p>
        </w:tc>
      </w:tr>
      <w:tr w:rsidR="00BB38EB" w:rsidRPr="00BB38EB" w14:paraId="0D1C26FB" w14:textId="77777777" w:rsidTr="00BB38EB">
        <w:trPr>
          <w:trHeight w:val="290"/>
        </w:trPr>
        <w:tc>
          <w:tcPr>
            <w:tcW w:w="5400" w:type="dxa"/>
            <w:tcBorders>
              <w:top w:val="nil"/>
              <w:left w:val="nil"/>
              <w:bottom w:val="nil"/>
              <w:right w:val="nil"/>
            </w:tcBorders>
            <w:shd w:val="clear" w:color="000000" w:fill="FFFFFF"/>
            <w:noWrap/>
            <w:vAlign w:val="bottom"/>
            <w:hideMark/>
          </w:tcPr>
          <w:p w14:paraId="7257425C" w14:textId="77777777" w:rsidR="00BB38EB" w:rsidRPr="00BB38EB" w:rsidRDefault="00BB38EB" w:rsidP="00BB38EB">
            <w:pPr>
              <w:spacing w:after="0" w:line="240" w:lineRule="auto"/>
              <w:ind w:firstLineChars="100" w:firstLine="180"/>
              <w:jc w:val="lef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Early Retirements</w:t>
            </w:r>
          </w:p>
        </w:tc>
        <w:tc>
          <w:tcPr>
            <w:tcW w:w="808" w:type="dxa"/>
            <w:tcBorders>
              <w:top w:val="nil"/>
              <w:left w:val="nil"/>
              <w:bottom w:val="nil"/>
              <w:right w:val="nil"/>
            </w:tcBorders>
            <w:shd w:val="clear" w:color="000000" w:fill="FFFFFF"/>
            <w:noWrap/>
            <w:vAlign w:val="center"/>
            <w:hideMark/>
          </w:tcPr>
          <w:p w14:paraId="1899C68D"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5E62BDE7"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74DEEEB4" w14:textId="77777777" w:rsidTr="00BB38EB">
        <w:trPr>
          <w:trHeight w:val="290"/>
        </w:trPr>
        <w:tc>
          <w:tcPr>
            <w:tcW w:w="5400" w:type="dxa"/>
            <w:tcBorders>
              <w:top w:val="nil"/>
              <w:left w:val="nil"/>
              <w:bottom w:val="nil"/>
              <w:right w:val="nil"/>
            </w:tcBorders>
            <w:shd w:val="clear" w:color="000000" w:fill="FFFFFF"/>
            <w:noWrap/>
            <w:vAlign w:val="bottom"/>
            <w:hideMark/>
          </w:tcPr>
          <w:p w14:paraId="0C10196B" w14:textId="77777777" w:rsidR="00BB38EB" w:rsidRPr="00BB38EB" w:rsidRDefault="00BB38EB" w:rsidP="00BB38EB">
            <w:pPr>
              <w:spacing w:after="0" w:line="240" w:lineRule="auto"/>
              <w:ind w:firstLineChars="100" w:firstLine="180"/>
              <w:jc w:val="lef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Ill Health</w:t>
            </w:r>
          </w:p>
        </w:tc>
        <w:tc>
          <w:tcPr>
            <w:tcW w:w="808" w:type="dxa"/>
            <w:tcBorders>
              <w:top w:val="nil"/>
              <w:left w:val="nil"/>
              <w:bottom w:val="nil"/>
              <w:right w:val="nil"/>
            </w:tcBorders>
            <w:shd w:val="clear" w:color="000000" w:fill="FFFFFF"/>
            <w:noWrap/>
            <w:vAlign w:val="center"/>
            <w:hideMark/>
          </w:tcPr>
          <w:p w14:paraId="60ABD41E"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3AF57038"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1E35F98C" w14:textId="77777777" w:rsidTr="00BB38EB">
        <w:trPr>
          <w:trHeight w:val="290"/>
        </w:trPr>
        <w:tc>
          <w:tcPr>
            <w:tcW w:w="5400" w:type="dxa"/>
            <w:tcBorders>
              <w:top w:val="nil"/>
              <w:left w:val="nil"/>
              <w:bottom w:val="nil"/>
              <w:right w:val="nil"/>
            </w:tcBorders>
            <w:shd w:val="clear" w:color="000000" w:fill="FFFFFF"/>
            <w:noWrap/>
            <w:vAlign w:val="center"/>
            <w:hideMark/>
          </w:tcPr>
          <w:p w14:paraId="277871D8"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From Members</w:t>
            </w:r>
          </w:p>
        </w:tc>
        <w:tc>
          <w:tcPr>
            <w:tcW w:w="808" w:type="dxa"/>
            <w:tcBorders>
              <w:top w:val="nil"/>
              <w:left w:val="nil"/>
              <w:bottom w:val="nil"/>
              <w:right w:val="nil"/>
            </w:tcBorders>
            <w:shd w:val="clear" w:color="000000" w:fill="FFFFFF"/>
            <w:noWrap/>
            <w:vAlign w:val="center"/>
            <w:hideMark/>
          </w:tcPr>
          <w:p w14:paraId="52B42816"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(7,889)</w:t>
            </w:r>
          </w:p>
        </w:tc>
        <w:tc>
          <w:tcPr>
            <w:tcW w:w="1792" w:type="dxa"/>
            <w:tcBorders>
              <w:top w:val="nil"/>
              <w:left w:val="nil"/>
              <w:bottom w:val="nil"/>
              <w:right w:val="nil"/>
            </w:tcBorders>
            <w:shd w:val="clear" w:color="000000" w:fill="CCECFF"/>
            <w:vAlign w:val="center"/>
            <w:hideMark/>
          </w:tcPr>
          <w:p w14:paraId="6472ABCE"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(8,288)</w:t>
            </w:r>
          </w:p>
        </w:tc>
      </w:tr>
      <w:tr w:rsidR="00BB38EB" w:rsidRPr="00BB38EB" w14:paraId="2C2C40B9" w14:textId="77777777" w:rsidTr="00BB38EB">
        <w:trPr>
          <w:trHeight w:val="290"/>
        </w:trPr>
        <w:tc>
          <w:tcPr>
            <w:tcW w:w="5400" w:type="dxa"/>
            <w:tcBorders>
              <w:top w:val="nil"/>
              <w:left w:val="nil"/>
              <w:bottom w:val="nil"/>
              <w:right w:val="nil"/>
            </w:tcBorders>
            <w:shd w:val="clear" w:color="000000" w:fill="FFFFFF"/>
            <w:noWrap/>
            <w:vAlign w:val="center"/>
            <w:hideMark/>
          </w:tcPr>
          <w:p w14:paraId="17B31F11"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808" w:type="dxa"/>
            <w:tcBorders>
              <w:top w:val="nil"/>
              <w:left w:val="nil"/>
              <w:bottom w:val="nil"/>
              <w:right w:val="nil"/>
            </w:tcBorders>
            <w:shd w:val="clear" w:color="000000" w:fill="FFFFFF"/>
            <w:noWrap/>
            <w:vAlign w:val="center"/>
            <w:hideMark/>
          </w:tcPr>
          <w:p w14:paraId="4DBB9349"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300E35A1"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4E0C1CD8" w14:textId="77777777" w:rsidTr="00BB38EB">
        <w:trPr>
          <w:trHeight w:val="290"/>
        </w:trPr>
        <w:tc>
          <w:tcPr>
            <w:tcW w:w="5400" w:type="dxa"/>
            <w:tcBorders>
              <w:top w:val="nil"/>
              <w:left w:val="nil"/>
              <w:bottom w:val="nil"/>
              <w:right w:val="nil"/>
            </w:tcBorders>
            <w:shd w:val="clear" w:color="000000" w:fill="FFFFFF"/>
            <w:noWrap/>
            <w:vAlign w:val="center"/>
            <w:hideMark/>
          </w:tcPr>
          <w:p w14:paraId="38BBCDE0" w14:textId="77777777" w:rsidR="00BB38EB" w:rsidRPr="00BB38EB" w:rsidRDefault="00BB38EB" w:rsidP="00BB38EB">
            <w:pPr>
              <w:spacing w:after="0" w:line="240" w:lineRule="auto"/>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Transfers In</w:t>
            </w:r>
          </w:p>
        </w:tc>
        <w:tc>
          <w:tcPr>
            <w:tcW w:w="808" w:type="dxa"/>
            <w:tcBorders>
              <w:top w:val="nil"/>
              <w:left w:val="nil"/>
              <w:bottom w:val="nil"/>
              <w:right w:val="nil"/>
            </w:tcBorders>
            <w:shd w:val="clear" w:color="000000" w:fill="FFFFFF"/>
            <w:noWrap/>
            <w:vAlign w:val="center"/>
            <w:hideMark/>
          </w:tcPr>
          <w:p w14:paraId="17D5EDF5"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051692D8"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2E3F95B3" w14:textId="77777777" w:rsidTr="00BB38EB">
        <w:trPr>
          <w:trHeight w:val="290"/>
        </w:trPr>
        <w:tc>
          <w:tcPr>
            <w:tcW w:w="5400" w:type="dxa"/>
            <w:tcBorders>
              <w:top w:val="nil"/>
              <w:left w:val="nil"/>
              <w:bottom w:val="nil"/>
              <w:right w:val="nil"/>
            </w:tcBorders>
            <w:shd w:val="clear" w:color="000000" w:fill="FFFFFF"/>
            <w:noWrap/>
            <w:vAlign w:val="center"/>
            <w:hideMark/>
          </w:tcPr>
          <w:p w14:paraId="41BB6309"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Individual Transfers in from other schemes</w:t>
            </w:r>
          </w:p>
        </w:tc>
        <w:tc>
          <w:tcPr>
            <w:tcW w:w="808" w:type="dxa"/>
            <w:tcBorders>
              <w:top w:val="nil"/>
              <w:left w:val="nil"/>
              <w:bottom w:val="nil"/>
              <w:right w:val="nil"/>
            </w:tcBorders>
            <w:shd w:val="clear" w:color="000000" w:fill="FFFFFF"/>
            <w:noWrap/>
            <w:vAlign w:val="center"/>
            <w:hideMark/>
          </w:tcPr>
          <w:p w14:paraId="4CD31E92"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w:t>
            </w:r>
          </w:p>
        </w:tc>
        <w:tc>
          <w:tcPr>
            <w:tcW w:w="1792" w:type="dxa"/>
            <w:tcBorders>
              <w:top w:val="nil"/>
              <w:left w:val="nil"/>
              <w:bottom w:val="nil"/>
              <w:right w:val="nil"/>
            </w:tcBorders>
            <w:shd w:val="clear" w:color="000000" w:fill="CCECFF"/>
            <w:vAlign w:val="center"/>
            <w:hideMark/>
          </w:tcPr>
          <w:p w14:paraId="5A4899C2"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000000"/>
                <w:sz w:val="18"/>
                <w:szCs w:val="18"/>
                <w:lang w:eastAsia="en-GB"/>
              </w:rPr>
              <w:t>(54)</w:t>
            </w:r>
          </w:p>
        </w:tc>
      </w:tr>
      <w:tr w:rsidR="00BB38EB" w:rsidRPr="00BB38EB" w14:paraId="64B94D31" w14:textId="77777777" w:rsidTr="00BB38EB">
        <w:trPr>
          <w:trHeight w:val="290"/>
        </w:trPr>
        <w:tc>
          <w:tcPr>
            <w:tcW w:w="5400" w:type="dxa"/>
            <w:tcBorders>
              <w:top w:val="nil"/>
              <w:left w:val="nil"/>
              <w:bottom w:val="nil"/>
              <w:right w:val="nil"/>
            </w:tcBorders>
            <w:shd w:val="clear" w:color="000000" w:fill="FFFFFF"/>
            <w:noWrap/>
            <w:vAlign w:val="center"/>
            <w:hideMark/>
          </w:tcPr>
          <w:p w14:paraId="585EAEEB"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808" w:type="dxa"/>
            <w:tcBorders>
              <w:top w:val="nil"/>
              <w:left w:val="nil"/>
              <w:bottom w:val="nil"/>
              <w:right w:val="nil"/>
            </w:tcBorders>
            <w:shd w:val="clear" w:color="000000" w:fill="FFFFFF"/>
            <w:noWrap/>
            <w:vAlign w:val="center"/>
            <w:hideMark/>
          </w:tcPr>
          <w:p w14:paraId="436964BB"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3D4A4156"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3FF49960" w14:textId="77777777" w:rsidTr="00BB38EB">
        <w:trPr>
          <w:trHeight w:val="290"/>
        </w:trPr>
        <w:tc>
          <w:tcPr>
            <w:tcW w:w="5400" w:type="dxa"/>
            <w:tcBorders>
              <w:top w:val="nil"/>
              <w:left w:val="nil"/>
              <w:bottom w:val="nil"/>
              <w:right w:val="nil"/>
            </w:tcBorders>
            <w:shd w:val="clear" w:color="000000" w:fill="FFFFFF"/>
            <w:noWrap/>
            <w:vAlign w:val="center"/>
            <w:hideMark/>
          </w:tcPr>
          <w:p w14:paraId="33D33F8C" w14:textId="77777777" w:rsidR="00BB38EB" w:rsidRPr="00BB38EB" w:rsidRDefault="00BB38EB" w:rsidP="00BB38EB">
            <w:pPr>
              <w:spacing w:after="0" w:line="240" w:lineRule="auto"/>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Benefits Payable</w:t>
            </w:r>
          </w:p>
        </w:tc>
        <w:tc>
          <w:tcPr>
            <w:tcW w:w="808" w:type="dxa"/>
            <w:tcBorders>
              <w:top w:val="nil"/>
              <w:left w:val="nil"/>
              <w:bottom w:val="nil"/>
              <w:right w:val="nil"/>
            </w:tcBorders>
            <w:shd w:val="clear" w:color="000000" w:fill="FFFFFF"/>
            <w:noWrap/>
            <w:vAlign w:val="center"/>
            <w:hideMark/>
          </w:tcPr>
          <w:p w14:paraId="4A39A32B"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20358323"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2880BE68" w14:textId="77777777" w:rsidTr="00BB38EB">
        <w:trPr>
          <w:trHeight w:val="290"/>
        </w:trPr>
        <w:tc>
          <w:tcPr>
            <w:tcW w:w="5400" w:type="dxa"/>
            <w:tcBorders>
              <w:top w:val="nil"/>
              <w:left w:val="nil"/>
              <w:bottom w:val="nil"/>
              <w:right w:val="nil"/>
            </w:tcBorders>
            <w:shd w:val="clear" w:color="000000" w:fill="FFFFFF"/>
            <w:noWrap/>
            <w:vAlign w:val="center"/>
            <w:hideMark/>
          </w:tcPr>
          <w:p w14:paraId="25ACD28A"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Pensions including ill health</w:t>
            </w:r>
          </w:p>
        </w:tc>
        <w:tc>
          <w:tcPr>
            <w:tcW w:w="808" w:type="dxa"/>
            <w:tcBorders>
              <w:top w:val="nil"/>
              <w:left w:val="nil"/>
              <w:bottom w:val="nil"/>
              <w:right w:val="nil"/>
            </w:tcBorders>
            <w:shd w:val="clear" w:color="000000" w:fill="FFFFFF"/>
            <w:noWrap/>
            <w:vAlign w:val="center"/>
            <w:hideMark/>
          </w:tcPr>
          <w:p w14:paraId="7215C9BA"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37,682</w:t>
            </w:r>
          </w:p>
        </w:tc>
        <w:tc>
          <w:tcPr>
            <w:tcW w:w="1792" w:type="dxa"/>
            <w:tcBorders>
              <w:top w:val="nil"/>
              <w:left w:val="nil"/>
              <w:bottom w:val="nil"/>
              <w:right w:val="nil"/>
            </w:tcBorders>
            <w:shd w:val="clear" w:color="000000" w:fill="CCECFF"/>
            <w:vAlign w:val="center"/>
            <w:hideMark/>
          </w:tcPr>
          <w:p w14:paraId="48E8DD5B"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38,832</w:t>
            </w:r>
          </w:p>
        </w:tc>
      </w:tr>
      <w:tr w:rsidR="00BB38EB" w:rsidRPr="00BB38EB" w14:paraId="2A042872" w14:textId="77777777" w:rsidTr="00BB38EB">
        <w:trPr>
          <w:trHeight w:val="290"/>
        </w:trPr>
        <w:tc>
          <w:tcPr>
            <w:tcW w:w="5400" w:type="dxa"/>
            <w:tcBorders>
              <w:top w:val="nil"/>
              <w:left w:val="nil"/>
              <w:bottom w:val="nil"/>
              <w:right w:val="nil"/>
            </w:tcBorders>
            <w:shd w:val="clear" w:color="000000" w:fill="FFFFFF"/>
            <w:noWrap/>
            <w:vAlign w:val="center"/>
            <w:hideMark/>
          </w:tcPr>
          <w:p w14:paraId="6E156728"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Commutations and lump sums retirement benefits</w:t>
            </w:r>
          </w:p>
        </w:tc>
        <w:tc>
          <w:tcPr>
            <w:tcW w:w="808" w:type="dxa"/>
            <w:tcBorders>
              <w:top w:val="nil"/>
              <w:left w:val="nil"/>
              <w:bottom w:val="nil"/>
              <w:right w:val="nil"/>
            </w:tcBorders>
            <w:shd w:val="clear" w:color="000000" w:fill="FFFFFF"/>
            <w:noWrap/>
            <w:vAlign w:val="center"/>
            <w:hideMark/>
          </w:tcPr>
          <w:p w14:paraId="46235F65"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7,164</w:t>
            </w:r>
          </w:p>
        </w:tc>
        <w:tc>
          <w:tcPr>
            <w:tcW w:w="1792" w:type="dxa"/>
            <w:tcBorders>
              <w:top w:val="nil"/>
              <w:left w:val="nil"/>
              <w:bottom w:val="nil"/>
              <w:right w:val="nil"/>
            </w:tcBorders>
            <w:shd w:val="clear" w:color="000000" w:fill="CCECFF"/>
            <w:vAlign w:val="center"/>
            <w:hideMark/>
          </w:tcPr>
          <w:p w14:paraId="560F74E4"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5,598</w:t>
            </w:r>
          </w:p>
        </w:tc>
      </w:tr>
      <w:tr w:rsidR="00BB38EB" w:rsidRPr="00BB38EB" w14:paraId="791988EF" w14:textId="77777777" w:rsidTr="00BB38EB">
        <w:trPr>
          <w:trHeight w:val="290"/>
        </w:trPr>
        <w:tc>
          <w:tcPr>
            <w:tcW w:w="5400" w:type="dxa"/>
            <w:tcBorders>
              <w:top w:val="nil"/>
              <w:left w:val="nil"/>
              <w:bottom w:val="nil"/>
              <w:right w:val="nil"/>
            </w:tcBorders>
            <w:shd w:val="clear" w:color="000000" w:fill="FFFFFF"/>
            <w:noWrap/>
            <w:vAlign w:val="center"/>
            <w:hideMark/>
          </w:tcPr>
          <w:p w14:paraId="7C905A2D"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Other</w:t>
            </w:r>
          </w:p>
        </w:tc>
        <w:tc>
          <w:tcPr>
            <w:tcW w:w="808" w:type="dxa"/>
            <w:tcBorders>
              <w:top w:val="nil"/>
              <w:left w:val="nil"/>
              <w:bottom w:val="nil"/>
              <w:right w:val="nil"/>
            </w:tcBorders>
            <w:shd w:val="clear" w:color="000000" w:fill="FFFFFF"/>
            <w:noWrap/>
            <w:vAlign w:val="center"/>
            <w:hideMark/>
          </w:tcPr>
          <w:p w14:paraId="48E07C77"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351</w:t>
            </w:r>
          </w:p>
        </w:tc>
        <w:tc>
          <w:tcPr>
            <w:tcW w:w="1792" w:type="dxa"/>
            <w:tcBorders>
              <w:top w:val="nil"/>
              <w:left w:val="nil"/>
              <w:bottom w:val="nil"/>
              <w:right w:val="nil"/>
            </w:tcBorders>
            <w:shd w:val="clear" w:color="000000" w:fill="CCECFF"/>
            <w:vAlign w:val="center"/>
            <w:hideMark/>
          </w:tcPr>
          <w:p w14:paraId="6713AE7B"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584</w:t>
            </w:r>
          </w:p>
        </w:tc>
      </w:tr>
      <w:tr w:rsidR="00BB38EB" w:rsidRPr="00BB38EB" w14:paraId="6B67DE46" w14:textId="77777777" w:rsidTr="00BB38EB">
        <w:trPr>
          <w:trHeight w:val="290"/>
        </w:trPr>
        <w:tc>
          <w:tcPr>
            <w:tcW w:w="5400" w:type="dxa"/>
            <w:tcBorders>
              <w:top w:val="nil"/>
              <w:left w:val="nil"/>
              <w:bottom w:val="nil"/>
              <w:right w:val="nil"/>
            </w:tcBorders>
            <w:shd w:val="clear" w:color="000000" w:fill="FFFFFF"/>
            <w:noWrap/>
            <w:vAlign w:val="center"/>
            <w:hideMark/>
          </w:tcPr>
          <w:p w14:paraId="63A73A60"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808" w:type="dxa"/>
            <w:tcBorders>
              <w:top w:val="nil"/>
              <w:left w:val="nil"/>
              <w:bottom w:val="nil"/>
              <w:right w:val="nil"/>
            </w:tcBorders>
            <w:shd w:val="clear" w:color="000000" w:fill="FFFFFF"/>
            <w:noWrap/>
            <w:vAlign w:val="center"/>
            <w:hideMark/>
          </w:tcPr>
          <w:p w14:paraId="217750F7"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7969D045"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7782A6D7" w14:textId="77777777" w:rsidTr="00BB38EB">
        <w:trPr>
          <w:trHeight w:val="290"/>
        </w:trPr>
        <w:tc>
          <w:tcPr>
            <w:tcW w:w="5400" w:type="dxa"/>
            <w:tcBorders>
              <w:top w:val="nil"/>
              <w:left w:val="nil"/>
              <w:bottom w:val="nil"/>
              <w:right w:val="nil"/>
            </w:tcBorders>
            <w:shd w:val="clear" w:color="000000" w:fill="FFFFFF"/>
            <w:noWrap/>
            <w:vAlign w:val="center"/>
            <w:hideMark/>
          </w:tcPr>
          <w:p w14:paraId="0AC72356" w14:textId="77777777" w:rsidR="00BB38EB" w:rsidRPr="00BB38EB" w:rsidRDefault="00BB38EB" w:rsidP="00BB38EB">
            <w:pPr>
              <w:spacing w:after="0" w:line="240" w:lineRule="auto"/>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Payments to and on account of leavers</w:t>
            </w:r>
          </w:p>
        </w:tc>
        <w:tc>
          <w:tcPr>
            <w:tcW w:w="808" w:type="dxa"/>
            <w:tcBorders>
              <w:top w:val="nil"/>
              <w:left w:val="nil"/>
              <w:bottom w:val="nil"/>
              <w:right w:val="nil"/>
            </w:tcBorders>
            <w:shd w:val="clear" w:color="000000" w:fill="FFFFFF"/>
            <w:noWrap/>
            <w:vAlign w:val="center"/>
            <w:hideMark/>
          </w:tcPr>
          <w:p w14:paraId="14A3501E"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58455960"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421B2428" w14:textId="77777777" w:rsidTr="00BB38EB">
        <w:trPr>
          <w:trHeight w:val="290"/>
        </w:trPr>
        <w:tc>
          <w:tcPr>
            <w:tcW w:w="5400" w:type="dxa"/>
            <w:tcBorders>
              <w:top w:val="nil"/>
              <w:left w:val="nil"/>
              <w:bottom w:val="nil"/>
              <w:right w:val="nil"/>
            </w:tcBorders>
            <w:shd w:val="clear" w:color="000000" w:fill="FFFFFF"/>
            <w:noWrap/>
            <w:vAlign w:val="center"/>
            <w:hideMark/>
          </w:tcPr>
          <w:p w14:paraId="6A4786AE"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Individual Transfer Out to other schemes</w:t>
            </w:r>
          </w:p>
        </w:tc>
        <w:tc>
          <w:tcPr>
            <w:tcW w:w="808" w:type="dxa"/>
            <w:tcBorders>
              <w:top w:val="nil"/>
              <w:left w:val="nil"/>
              <w:bottom w:val="nil"/>
              <w:right w:val="nil"/>
            </w:tcBorders>
            <w:shd w:val="clear" w:color="000000" w:fill="FFFFFF"/>
            <w:noWrap/>
            <w:vAlign w:val="center"/>
            <w:hideMark/>
          </w:tcPr>
          <w:p w14:paraId="5506B5B9"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w:t>
            </w:r>
          </w:p>
        </w:tc>
        <w:tc>
          <w:tcPr>
            <w:tcW w:w="1792" w:type="dxa"/>
            <w:tcBorders>
              <w:top w:val="nil"/>
              <w:left w:val="nil"/>
              <w:bottom w:val="nil"/>
              <w:right w:val="nil"/>
            </w:tcBorders>
            <w:shd w:val="clear" w:color="000000" w:fill="CCECFF"/>
            <w:vAlign w:val="center"/>
            <w:hideMark/>
          </w:tcPr>
          <w:p w14:paraId="7D76655A"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5</w:t>
            </w:r>
          </w:p>
        </w:tc>
      </w:tr>
      <w:tr w:rsidR="00BB38EB" w:rsidRPr="00BB38EB" w14:paraId="6D5B43B4" w14:textId="77777777" w:rsidTr="00BB38EB">
        <w:trPr>
          <w:trHeight w:val="290"/>
        </w:trPr>
        <w:tc>
          <w:tcPr>
            <w:tcW w:w="5400" w:type="dxa"/>
            <w:tcBorders>
              <w:top w:val="nil"/>
              <w:left w:val="nil"/>
              <w:bottom w:val="nil"/>
              <w:right w:val="nil"/>
            </w:tcBorders>
            <w:shd w:val="clear" w:color="000000" w:fill="FFFFFF"/>
            <w:noWrap/>
            <w:vAlign w:val="center"/>
            <w:hideMark/>
          </w:tcPr>
          <w:p w14:paraId="2646F31E"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808" w:type="dxa"/>
            <w:tcBorders>
              <w:top w:val="nil"/>
              <w:left w:val="nil"/>
              <w:bottom w:val="nil"/>
              <w:right w:val="nil"/>
            </w:tcBorders>
            <w:shd w:val="clear" w:color="000000" w:fill="FFFFFF"/>
            <w:noWrap/>
            <w:vAlign w:val="center"/>
            <w:hideMark/>
          </w:tcPr>
          <w:p w14:paraId="0AE97E8C"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3AA880A0"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18FC172C" w14:textId="77777777" w:rsidTr="00BB38EB">
        <w:trPr>
          <w:trHeight w:val="290"/>
        </w:trPr>
        <w:tc>
          <w:tcPr>
            <w:tcW w:w="5400" w:type="dxa"/>
            <w:tcBorders>
              <w:top w:val="single" w:sz="4" w:space="0" w:color="auto"/>
              <w:left w:val="nil"/>
              <w:bottom w:val="single" w:sz="4" w:space="0" w:color="auto"/>
              <w:right w:val="nil"/>
            </w:tcBorders>
            <w:shd w:val="clear" w:color="000000" w:fill="FFFFFF"/>
            <w:noWrap/>
            <w:vAlign w:val="center"/>
            <w:hideMark/>
          </w:tcPr>
          <w:p w14:paraId="61413877" w14:textId="77777777" w:rsidR="00BB38EB" w:rsidRPr="00BB38EB" w:rsidRDefault="00BB38EB" w:rsidP="00BB38EB">
            <w:pPr>
              <w:spacing w:after="0" w:line="240" w:lineRule="auto"/>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Net amount payable for the year</w:t>
            </w:r>
          </w:p>
        </w:tc>
        <w:tc>
          <w:tcPr>
            <w:tcW w:w="808" w:type="dxa"/>
            <w:tcBorders>
              <w:top w:val="single" w:sz="4" w:space="0" w:color="auto"/>
              <w:left w:val="nil"/>
              <w:bottom w:val="single" w:sz="4" w:space="0" w:color="auto"/>
              <w:right w:val="nil"/>
            </w:tcBorders>
            <w:shd w:val="clear" w:color="000000" w:fill="FFFFFF"/>
            <w:noWrap/>
            <w:vAlign w:val="center"/>
            <w:hideMark/>
          </w:tcPr>
          <w:p w14:paraId="1E20129C" w14:textId="77777777" w:rsidR="00BB38EB" w:rsidRPr="00BB38EB" w:rsidRDefault="00BB38EB" w:rsidP="00BB38EB">
            <w:pPr>
              <w:spacing w:after="0" w:line="240" w:lineRule="auto"/>
              <w:jc w:val="right"/>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16,703</w:t>
            </w:r>
          </w:p>
        </w:tc>
        <w:tc>
          <w:tcPr>
            <w:tcW w:w="1792" w:type="dxa"/>
            <w:tcBorders>
              <w:top w:val="single" w:sz="4" w:space="0" w:color="auto"/>
              <w:left w:val="nil"/>
              <w:bottom w:val="single" w:sz="4" w:space="0" w:color="auto"/>
              <w:right w:val="nil"/>
            </w:tcBorders>
            <w:shd w:val="clear" w:color="000000" w:fill="CCECFF"/>
            <w:vAlign w:val="center"/>
            <w:hideMark/>
          </w:tcPr>
          <w:p w14:paraId="4F76BB4B" w14:textId="77777777" w:rsidR="00BB38EB" w:rsidRPr="00BB38EB" w:rsidRDefault="00BB38EB" w:rsidP="00BB38EB">
            <w:pPr>
              <w:spacing w:after="0" w:line="240" w:lineRule="auto"/>
              <w:jc w:val="right"/>
              <w:rPr>
                <w:rFonts w:asciiTheme="minorHAnsi" w:eastAsia="Times New Roman" w:hAnsiTheme="minorHAnsi" w:cstheme="minorHAnsi"/>
                <w:b/>
                <w:bCs/>
                <w:color w:val="auto"/>
                <w:sz w:val="18"/>
                <w:szCs w:val="18"/>
                <w:lang w:eastAsia="en-GB"/>
              </w:rPr>
            </w:pPr>
            <w:r w:rsidRPr="00BB38EB">
              <w:rPr>
                <w:rFonts w:asciiTheme="minorHAnsi" w:eastAsia="Times New Roman" w:hAnsiTheme="minorHAnsi" w:cstheme="minorHAnsi"/>
                <w:b/>
                <w:bCs/>
                <w:color w:val="auto"/>
                <w:sz w:val="18"/>
                <w:szCs w:val="18"/>
                <w:lang w:eastAsia="en-GB"/>
              </w:rPr>
              <w:t>15,197</w:t>
            </w:r>
          </w:p>
        </w:tc>
      </w:tr>
      <w:tr w:rsidR="00BB38EB" w:rsidRPr="00BB38EB" w14:paraId="3187F0CA" w14:textId="77777777" w:rsidTr="00BB38EB">
        <w:trPr>
          <w:trHeight w:val="290"/>
        </w:trPr>
        <w:tc>
          <w:tcPr>
            <w:tcW w:w="5400" w:type="dxa"/>
            <w:tcBorders>
              <w:top w:val="nil"/>
              <w:left w:val="nil"/>
              <w:bottom w:val="nil"/>
              <w:right w:val="nil"/>
            </w:tcBorders>
            <w:shd w:val="clear" w:color="000000" w:fill="FFFFFF"/>
            <w:noWrap/>
            <w:vAlign w:val="center"/>
            <w:hideMark/>
          </w:tcPr>
          <w:p w14:paraId="1A11AE2E" w14:textId="77777777" w:rsidR="00BB38EB" w:rsidRPr="00BB38EB" w:rsidRDefault="00BB38EB" w:rsidP="00BB38EB">
            <w:pPr>
              <w:spacing w:after="0" w:line="240" w:lineRule="auto"/>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808" w:type="dxa"/>
            <w:tcBorders>
              <w:top w:val="nil"/>
              <w:left w:val="nil"/>
              <w:bottom w:val="nil"/>
              <w:right w:val="nil"/>
            </w:tcBorders>
            <w:shd w:val="clear" w:color="000000" w:fill="FFFFFF"/>
            <w:noWrap/>
            <w:vAlign w:val="center"/>
            <w:hideMark/>
          </w:tcPr>
          <w:p w14:paraId="3353E138" w14:textId="77777777" w:rsidR="00BB38EB" w:rsidRPr="00BB38EB" w:rsidRDefault="00BB38EB" w:rsidP="00BB38EB">
            <w:pPr>
              <w:spacing w:after="0" w:line="240" w:lineRule="auto"/>
              <w:jc w:val="right"/>
              <w:rPr>
                <w:rFonts w:asciiTheme="minorHAnsi" w:eastAsia="Times New Roman" w:hAnsiTheme="minorHAnsi" w:cstheme="minorHAnsi"/>
                <w:color w:val="000000"/>
                <w:sz w:val="18"/>
                <w:szCs w:val="18"/>
                <w:lang w:eastAsia="en-GB"/>
              </w:rPr>
            </w:pPr>
            <w:r w:rsidRPr="00BB38EB">
              <w:rPr>
                <w:rFonts w:asciiTheme="minorHAnsi" w:eastAsia="Times New Roman" w:hAnsiTheme="minorHAnsi" w:cstheme="minorHAnsi"/>
                <w:color w:val="000000"/>
                <w:sz w:val="18"/>
                <w:szCs w:val="18"/>
                <w:lang w:eastAsia="en-GB"/>
              </w:rPr>
              <w:t> </w:t>
            </w:r>
          </w:p>
        </w:tc>
        <w:tc>
          <w:tcPr>
            <w:tcW w:w="1792" w:type="dxa"/>
            <w:tcBorders>
              <w:top w:val="nil"/>
              <w:left w:val="nil"/>
              <w:bottom w:val="nil"/>
              <w:right w:val="nil"/>
            </w:tcBorders>
            <w:shd w:val="clear" w:color="000000" w:fill="CCECFF"/>
            <w:vAlign w:val="center"/>
            <w:hideMark/>
          </w:tcPr>
          <w:p w14:paraId="33F3F843" w14:textId="77777777" w:rsidR="00BB38EB" w:rsidRPr="00BB38EB" w:rsidRDefault="00BB38EB" w:rsidP="00BB38EB">
            <w:pPr>
              <w:spacing w:after="0" w:line="240" w:lineRule="auto"/>
              <w:jc w:val="right"/>
              <w:rPr>
                <w:rFonts w:asciiTheme="minorHAnsi" w:eastAsia="Times New Roman" w:hAnsiTheme="minorHAnsi" w:cstheme="minorHAnsi"/>
                <w:color w:val="auto"/>
                <w:sz w:val="18"/>
                <w:szCs w:val="18"/>
                <w:lang w:eastAsia="en-GB"/>
              </w:rPr>
            </w:pPr>
            <w:r w:rsidRPr="00BB38EB">
              <w:rPr>
                <w:rFonts w:asciiTheme="minorHAnsi" w:eastAsia="Times New Roman" w:hAnsiTheme="minorHAnsi" w:cstheme="minorHAnsi"/>
                <w:color w:val="auto"/>
                <w:sz w:val="18"/>
                <w:szCs w:val="18"/>
                <w:lang w:eastAsia="en-GB"/>
              </w:rPr>
              <w:t> </w:t>
            </w:r>
          </w:p>
        </w:tc>
      </w:tr>
      <w:tr w:rsidR="00BB38EB" w:rsidRPr="00BB38EB" w14:paraId="440FD22A" w14:textId="77777777" w:rsidTr="00BB38EB">
        <w:trPr>
          <w:trHeight w:val="290"/>
        </w:trPr>
        <w:tc>
          <w:tcPr>
            <w:tcW w:w="5400" w:type="dxa"/>
            <w:tcBorders>
              <w:top w:val="single" w:sz="4" w:space="0" w:color="auto"/>
              <w:left w:val="nil"/>
              <w:bottom w:val="single" w:sz="4" w:space="0" w:color="auto"/>
              <w:right w:val="nil"/>
            </w:tcBorders>
            <w:shd w:val="clear" w:color="000000" w:fill="FFFFFF"/>
            <w:noWrap/>
            <w:vAlign w:val="center"/>
            <w:hideMark/>
          </w:tcPr>
          <w:p w14:paraId="472D560A" w14:textId="77777777" w:rsidR="00BB38EB" w:rsidRPr="00BB38EB" w:rsidRDefault="00BB38EB" w:rsidP="00BB38EB">
            <w:pPr>
              <w:spacing w:after="0" w:line="240" w:lineRule="auto"/>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Top up grant receivable from Central Government</w:t>
            </w:r>
          </w:p>
        </w:tc>
        <w:tc>
          <w:tcPr>
            <w:tcW w:w="808" w:type="dxa"/>
            <w:tcBorders>
              <w:top w:val="single" w:sz="4" w:space="0" w:color="auto"/>
              <w:left w:val="nil"/>
              <w:bottom w:val="single" w:sz="4" w:space="0" w:color="auto"/>
              <w:right w:val="nil"/>
            </w:tcBorders>
            <w:shd w:val="clear" w:color="000000" w:fill="FFFFFF"/>
            <w:noWrap/>
            <w:vAlign w:val="center"/>
            <w:hideMark/>
          </w:tcPr>
          <w:p w14:paraId="314AA39D" w14:textId="77777777" w:rsidR="00BB38EB" w:rsidRPr="00BB38EB" w:rsidRDefault="00BB38EB" w:rsidP="00BB38EB">
            <w:pPr>
              <w:spacing w:after="0" w:line="240" w:lineRule="auto"/>
              <w:jc w:val="right"/>
              <w:rPr>
                <w:rFonts w:asciiTheme="minorHAnsi" w:eastAsia="Times New Roman" w:hAnsiTheme="minorHAnsi" w:cstheme="minorHAnsi"/>
                <w:b/>
                <w:bCs/>
                <w:color w:val="000000"/>
                <w:sz w:val="18"/>
                <w:szCs w:val="18"/>
                <w:lang w:eastAsia="en-GB"/>
              </w:rPr>
            </w:pPr>
            <w:r w:rsidRPr="00BB38EB">
              <w:rPr>
                <w:rFonts w:asciiTheme="minorHAnsi" w:eastAsia="Times New Roman" w:hAnsiTheme="minorHAnsi" w:cstheme="minorHAnsi"/>
                <w:b/>
                <w:bCs/>
                <w:color w:val="000000"/>
                <w:sz w:val="18"/>
                <w:szCs w:val="18"/>
                <w:lang w:eastAsia="en-GB"/>
              </w:rPr>
              <w:t>(16,703)</w:t>
            </w:r>
          </w:p>
        </w:tc>
        <w:tc>
          <w:tcPr>
            <w:tcW w:w="1792" w:type="dxa"/>
            <w:tcBorders>
              <w:top w:val="single" w:sz="4" w:space="0" w:color="auto"/>
              <w:left w:val="nil"/>
              <w:bottom w:val="single" w:sz="4" w:space="0" w:color="auto"/>
              <w:right w:val="nil"/>
            </w:tcBorders>
            <w:shd w:val="clear" w:color="000000" w:fill="CCECFF"/>
            <w:vAlign w:val="center"/>
            <w:hideMark/>
          </w:tcPr>
          <w:p w14:paraId="177379AE" w14:textId="77777777" w:rsidR="00BB38EB" w:rsidRPr="00BB38EB" w:rsidRDefault="00BB38EB" w:rsidP="00BB38EB">
            <w:pPr>
              <w:spacing w:after="0" w:line="240" w:lineRule="auto"/>
              <w:jc w:val="right"/>
              <w:rPr>
                <w:rFonts w:asciiTheme="minorHAnsi" w:eastAsia="Times New Roman" w:hAnsiTheme="minorHAnsi" w:cstheme="minorHAnsi"/>
                <w:b/>
                <w:bCs/>
                <w:color w:val="auto"/>
                <w:sz w:val="18"/>
                <w:szCs w:val="18"/>
                <w:lang w:eastAsia="en-GB"/>
              </w:rPr>
            </w:pPr>
            <w:r w:rsidRPr="00BB38EB">
              <w:rPr>
                <w:rFonts w:asciiTheme="minorHAnsi" w:eastAsia="Times New Roman" w:hAnsiTheme="minorHAnsi" w:cstheme="minorHAnsi"/>
                <w:b/>
                <w:bCs/>
                <w:color w:val="000000"/>
                <w:sz w:val="18"/>
                <w:szCs w:val="18"/>
                <w:lang w:eastAsia="en-GB"/>
              </w:rPr>
              <w:t>(15,197)</w:t>
            </w:r>
          </w:p>
        </w:tc>
      </w:tr>
    </w:tbl>
    <w:p w14:paraId="1A0E415E" w14:textId="77777777" w:rsidR="00B004FB" w:rsidRDefault="00B004FB" w:rsidP="003356AE">
      <w:pPr>
        <w:spacing w:line="240" w:lineRule="auto"/>
        <w:rPr>
          <w:szCs w:val="20"/>
        </w:rPr>
      </w:pPr>
    </w:p>
    <w:p w14:paraId="44E73F67" w14:textId="5C99F9BA" w:rsidR="00DC4315" w:rsidRPr="0030208D" w:rsidRDefault="00DC4315" w:rsidP="003356AE">
      <w:pPr>
        <w:spacing w:line="240" w:lineRule="auto"/>
        <w:rPr>
          <w:szCs w:val="20"/>
        </w:rPr>
      </w:pPr>
      <w:r w:rsidRPr="0030208D">
        <w:rPr>
          <w:szCs w:val="20"/>
        </w:rPr>
        <w:t>Details of the long-term pension obligation can be found within Note 17.</w:t>
      </w:r>
    </w:p>
    <w:p w14:paraId="7678285C" w14:textId="77777777" w:rsidR="00DC4315" w:rsidRDefault="00DC4315" w:rsidP="003356AE">
      <w:pPr>
        <w:pStyle w:val="VAHeadingLevel3"/>
        <w:spacing w:line="240" w:lineRule="auto"/>
      </w:pPr>
    </w:p>
    <w:p w14:paraId="324B90A5" w14:textId="77777777" w:rsidR="00EB31D9" w:rsidRDefault="00EB31D9">
      <w:pPr>
        <w:spacing w:after="0" w:line="240" w:lineRule="auto"/>
        <w:jc w:val="left"/>
        <w:rPr>
          <w:rFonts w:eastAsia="Times New Roman" w:cs="Times New Roman"/>
          <w:bCs/>
          <w:color w:val="25316C"/>
        </w:rPr>
      </w:pPr>
      <w:r>
        <w:br w:type="page"/>
      </w:r>
    </w:p>
    <w:p w14:paraId="7AB1385F" w14:textId="025FDA6F" w:rsidR="00DC4315" w:rsidRDefault="00DC4315" w:rsidP="003356AE">
      <w:pPr>
        <w:pStyle w:val="VAHeadingLevel3"/>
        <w:spacing w:line="240" w:lineRule="auto"/>
      </w:pPr>
      <w:r w:rsidRPr="0030208D">
        <w:lastRenderedPageBreak/>
        <w:t>Net Asset Statement</w:t>
      </w:r>
    </w:p>
    <w:p w14:paraId="7B24036E" w14:textId="292C0DE3" w:rsidR="003A5581" w:rsidRDefault="00DC4315" w:rsidP="003356AE">
      <w:pPr>
        <w:spacing w:line="240" w:lineRule="auto"/>
      </w:pPr>
      <w:r w:rsidRPr="00243C66">
        <w:t xml:space="preserve">There were no unpaid pensions due or recoverable overpayments of pensions as </w:t>
      </w:r>
      <w:proofErr w:type="gramStart"/>
      <w:r w:rsidRPr="00243C66">
        <w:t>at</w:t>
      </w:r>
      <w:proofErr w:type="gramEnd"/>
      <w:r w:rsidRPr="00243C66">
        <w:t xml:space="preserve"> 31 March 202</w:t>
      </w:r>
      <w:r w:rsidR="00F26BD5">
        <w:t>6</w:t>
      </w:r>
      <w:r w:rsidRPr="00243C66">
        <w:t>.</w:t>
      </w:r>
    </w:p>
    <w:p w14:paraId="00EDCD56" w14:textId="77777777" w:rsidR="008F7156" w:rsidRDefault="008F7156" w:rsidP="003356AE">
      <w:pPr>
        <w:pStyle w:val="VAHeadingLevel2"/>
        <w:spacing w:line="240" w:lineRule="auto"/>
      </w:pPr>
    </w:p>
    <w:p w14:paraId="70051E29" w14:textId="1AE29153" w:rsidR="00DC4315" w:rsidRPr="00DA4B61" w:rsidRDefault="00DC4315" w:rsidP="003356AE">
      <w:pPr>
        <w:pStyle w:val="VAHeadingLevel2"/>
        <w:spacing w:line="240" w:lineRule="auto"/>
      </w:pPr>
      <w:r w:rsidRPr="00DA4B61">
        <w:t>Notes to the Police Pension Fund Account</w:t>
      </w:r>
    </w:p>
    <w:p w14:paraId="0F62F320" w14:textId="77777777" w:rsidR="00DC4315" w:rsidRPr="00DA4B61" w:rsidRDefault="00DC4315" w:rsidP="003356AE">
      <w:pPr>
        <w:spacing w:line="240" w:lineRule="auto"/>
      </w:pPr>
    </w:p>
    <w:p w14:paraId="6215B936" w14:textId="332F99B1" w:rsidR="00DC4315" w:rsidRDefault="00B7768C" w:rsidP="00B7768C">
      <w:pPr>
        <w:pStyle w:val="VAHeadingLevel3"/>
        <w:numPr>
          <w:ilvl w:val="0"/>
          <w:numId w:val="0"/>
        </w:numPr>
      </w:pPr>
      <w:r w:rsidRPr="00B7768C">
        <w:rPr>
          <w:bCs w:val="0"/>
        </w:rPr>
        <w:t>A.</w:t>
      </w:r>
      <w:r>
        <w:t xml:space="preserve"> </w:t>
      </w:r>
      <w:r w:rsidR="00DC4315" w:rsidRPr="00DA4B61">
        <w:t>Employer and Officer Contributions to the Pension Fund</w:t>
      </w:r>
    </w:p>
    <w:p w14:paraId="4A9E9FA0" w14:textId="081FC24D" w:rsidR="008A174F" w:rsidRDefault="00DC4315" w:rsidP="003356AE">
      <w:pPr>
        <w:spacing w:line="240" w:lineRule="auto"/>
      </w:pPr>
      <w:r w:rsidRPr="00DA4B61">
        <w:t xml:space="preserve">These are based on percentages of pensionable pay set nationally by the Home Office and subject to a three yearly review by the Government’s Actuary’s Department.  </w:t>
      </w:r>
      <w:r>
        <w:t xml:space="preserve">The 1987 and 2006 Schemes are closed, with all new entrants entering the 2015 scheme.  </w:t>
      </w:r>
      <w:r w:rsidRPr="00DA4B61">
        <w:t>The current percentages of pensionable pay are:</w:t>
      </w:r>
    </w:p>
    <w:p w14:paraId="026D0575" w14:textId="77777777" w:rsidR="006E3ACC" w:rsidRDefault="006E3ACC" w:rsidP="003356AE">
      <w:pPr>
        <w:spacing w:line="240" w:lineRule="auto"/>
      </w:pPr>
    </w:p>
    <w:tbl>
      <w:tblPr>
        <w:tblW w:w="9084" w:type="dxa"/>
        <w:tblLayout w:type="fixed"/>
        <w:tblLook w:val="04A0" w:firstRow="1" w:lastRow="0" w:firstColumn="1" w:lastColumn="0" w:noHBand="0" w:noVBand="1"/>
      </w:tblPr>
      <w:tblGrid>
        <w:gridCol w:w="1191"/>
        <w:gridCol w:w="669"/>
        <w:gridCol w:w="2971"/>
        <w:gridCol w:w="708"/>
        <w:gridCol w:w="709"/>
        <w:gridCol w:w="709"/>
        <w:gridCol w:w="709"/>
        <w:gridCol w:w="709"/>
        <w:gridCol w:w="709"/>
      </w:tblGrid>
      <w:tr w:rsidR="004F4D14" w:rsidRPr="004E295E" w14:paraId="1FFCB8C3" w14:textId="77777777" w:rsidTr="00A954C3">
        <w:trPr>
          <w:trHeight w:val="290"/>
        </w:trPr>
        <w:tc>
          <w:tcPr>
            <w:tcW w:w="1191" w:type="dxa"/>
            <w:tcBorders>
              <w:top w:val="nil"/>
              <w:left w:val="nil"/>
              <w:bottom w:val="nil"/>
              <w:right w:val="nil"/>
            </w:tcBorders>
            <w:shd w:val="clear" w:color="000000" w:fill="FFFFFF"/>
            <w:noWrap/>
            <w:vAlign w:val="bottom"/>
            <w:hideMark/>
          </w:tcPr>
          <w:p w14:paraId="430352DC"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669" w:type="dxa"/>
            <w:tcBorders>
              <w:top w:val="nil"/>
              <w:left w:val="nil"/>
              <w:bottom w:val="nil"/>
              <w:right w:val="nil"/>
            </w:tcBorders>
            <w:shd w:val="clear" w:color="000000" w:fill="FFFFFF"/>
            <w:noWrap/>
            <w:vAlign w:val="bottom"/>
            <w:hideMark/>
          </w:tcPr>
          <w:p w14:paraId="718E9131"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2971" w:type="dxa"/>
            <w:tcBorders>
              <w:top w:val="nil"/>
              <w:left w:val="nil"/>
              <w:bottom w:val="nil"/>
              <w:right w:val="nil"/>
            </w:tcBorders>
            <w:shd w:val="clear" w:color="000000" w:fill="000099"/>
            <w:vAlign w:val="center"/>
            <w:hideMark/>
          </w:tcPr>
          <w:p w14:paraId="05650BC0"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Annual Pensionable</w:t>
            </w:r>
          </w:p>
        </w:tc>
        <w:tc>
          <w:tcPr>
            <w:tcW w:w="2126" w:type="dxa"/>
            <w:gridSpan w:val="3"/>
            <w:tcBorders>
              <w:top w:val="nil"/>
              <w:left w:val="nil"/>
              <w:bottom w:val="nil"/>
              <w:right w:val="nil"/>
            </w:tcBorders>
            <w:shd w:val="clear" w:color="000000" w:fill="000099"/>
            <w:vAlign w:val="bottom"/>
            <w:hideMark/>
          </w:tcPr>
          <w:p w14:paraId="10807D79"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2024/25</w:t>
            </w:r>
          </w:p>
        </w:tc>
        <w:tc>
          <w:tcPr>
            <w:tcW w:w="2127" w:type="dxa"/>
            <w:gridSpan w:val="3"/>
            <w:tcBorders>
              <w:top w:val="nil"/>
              <w:left w:val="nil"/>
              <w:bottom w:val="nil"/>
              <w:right w:val="nil"/>
            </w:tcBorders>
            <w:shd w:val="clear" w:color="000000" w:fill="000099"/>
            <w:vAlign w:val="bottom"/>
            <w:hideMark/>
          </w:tcPr>
          <w:p w14:paraId="2C5A51B1"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2025/26</w:t>
            </w:r>
          </w:p>
        </w:tc>
      </w:tr>
      <w:tr w:rsidR="00DE3407" w:rsidRPr="00DE3407" w14:paraId="621FB7AB" w14:textId="77777777" w:rsidTr="00A954C3">
        <w:trPr>
          <w:trHeight w:val="260"/>
        </w:trPr>
        <w:tc>
          <w:tcPr>
            <w:tcW w:w="1191" w:type="dxa"/>
            <w:tcBorders>
              <w:top w:val="nil"/>
              <w:left w:val="nil"/>
              <w:bottom w:val="nil"/>
              <w:right w:val="nil"/>
            </w:tcBorders>
            <w:shd w:val="clear" w:color="000000" w:fill="FFFFFF"/>
            <w:noWrap/>
            <w:vAlign w:val="bottom"/>
            <w:hideMark/>
          </w:tcPr>
          <w:p w14:paraId="3D48D2ED"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669" w:type="dxa"/>
            <w:tcBorders>
              <w:top w:val="nil"/>
              <w:left w:val="nil"/>
              <w:bottom w:val="nil"/>
              <w:right w:val="nil"/>
            </w:tcBorders>
            <w:shd w:val="clear" w:color="000000" w:fill="FFFFFF"/>
            <w:noWrap/>
            <w:vAlign w:val="bottom"/>
            <w:hideMark/>
          </w:tcPr>
          <w:p w14:paraId="2DD0AFE1"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2971" w:type="dxa"/>
            <w:tcBorders>
              <w:top w:val="nil"/>
              <w:left w:val="nil"/>
              <w:bottom w:val="nil"/>
              <w:right w:val="nil"/>
            </w:tcBorders>
            <w:shd w:val="clear" w:color="000000" w:fill="000099"/>
            <w:vAlign w:val="center"/>
            <w:hideMark/>
          </w:tcPr>
          <w:p w14:paraId="39F82627"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Earnings</w:t>
            </w:r>
          </w:p>
        </w:tc>
        <w:tc>
          <w:tcPr>
            <w:tcW w:w="708" w:type="dxa"/>
            <w:tcBorders>
              <w:top w:val="nil"/>
              <w:left w:val="nil"/>
              <w:bottom w:val="nil"/>
              <w:right w:val="nil"/>
            </w:tcBorders>
            <w:shd w:val="clear" w:color="000000" w:fill="000099"/>
            <w:vAlign w:val="center"/>
            <w:hideMark/>
          </w:tcPr>
          <w:p w14:paraId="7FDC70B8"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1987</w:t>
            </w:r>
          </w:p>
        </w:tc>
        <w:tc>
          <w:tcPr>
            <w:tcW w:w="709" w:type="dxa"/>
            <w:tcBorders>
              <w:top w:val="nil"/>
              <w:left w:val="nil"/>
              <w:bottom w:val="nil"/>
              <w:right w:val="nil"/>
            </w:tcBorders>
            <w:shd w:val="clear" w:color="000000" w:fill="000099"/>
            <w:vAlign w:val="center"/>
            <w:hideMark/>
          </w:tcPr>
          <w:p w14:paraId="46DD38C8"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2006</w:t>
            </w:r>
          </w:p>
        </w:tc>
        <w:tc>
          <w:tcPr>
            <w:tcW w:w="709" w:type="dxa"/>
            <w:tcBorders>
              <w:top w:val="nil"/>
              <w:left w:val="nil"/>
              <w:bottom w:val="nil"/>
              <w:right w:val="nil"/>
            </w:tcBorders>
            <w:shd w:val="clear" w:color="000000" w:fill="000099"/>
            <w:vAlign w:val="center"/>
            <w:hideMark/>
          </w:tcPr>
          <w:p w14:paraId="2FD826E6"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2015</w:t>
            </w:r>
          </w:p>
        </w:tc>
        <w:tc>
          <w:tcPr>
            <w:tcW w:w="709" w:type="dxa"/>
            <w:tcBorders>
              <w:top w:val="nil"/>
              <w:left w:val="nil"/>
              <w:bottom w:val="nil"/>
              <w:right w:val="nil"/>
            </w:tcBorders>
            <w:shd w:val="clear" w:color="000000" w:fill="000099"/>
            <w:vAlign w:val="center"/>
            <w:hideMark/>
          </w:tcPr>
          <w:p w14:paraId="12592205"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1987</w:t>
            </w:r>
          </w:p>
        </w:tc>
        <w:tc>
          <w:tcPr>
            <w:tcW w:w="709" w:type="dxa"/>
            <w:tcBorders>
              <w:top w:val="nil"/>
              <w:left w:val="nil"/>
              <w:bottom w:val="nil"/>
              <w:right w:val="nil"/>
            </w:tcBorders>
            <w:shd w:val="clear" w:color="000000" w:fill="000099"/>
            <w:vAlign w:val="center"/>
            <w:hideMark/>
          </w:tcPr>
          <w:p w14:paraId="007AD2D7"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2006</w:t>
            </w:r>
          </w:p>
        </w:tc>
        <w:tc>
          <w:tcPr>
            <w:tcW w:w="709" w:type="dxa"/>
            <w:tcBorders>
              <w:top w:val="nil"/>
              <w:left w:val="nil"/>
              <w:bottom w:val="nil"/>
              <w:right w:val="nil"/>
            </w:tcBorders>
            <w:shd w:val="clear" w:color="000000" w:fill="000099"/>
            <w:vAlign w:val="center"/>
            <w:hideMark/>
          </w:tcPr>
          <w:p w14:paraId="02F73E5A" w14:textId="77777777" w:rsidR="004E295E" w:rsidRPr="004E295E" w:rsidRDefault="004E295E" w:rsidP="004E295E">
            <w:pPr>
              <w:spacing w:after="0" w:line="240" w:lineRule="auto"/>
              <w:jc w:val="center"/>
              <w:rPr>
                <w:rFonts w:eastAsia="Times New Roman" w:cs="Calibri"/>
                <w:b/>
                <w:bCs/>
                <w:color w:val="FFFFFF"/>
                <w:sz w:val="16"/>
                <w:szCs w:val="16"/>
                <w:lang w:eastAsia="en-GB"/>
              </w:rPr>
            </w:pPr>
            <w:r w:rsidRPr="004E295E">
              <w:rPr>
                <w:rFonts w:eastAsia="Times New Roman" w:cs="Calibri"/>
                <w:b/>
                <w:bCs/>
                <w:color w:val="FFFFFF"/>
                <w:sz w:val="16"/>
                <w:szCs w:val="16"/>
                <w:lang w:eastAsia="en-GB"/>
              </w:rPr>
              <w:t>2015</w:t>
            </w:r>
          </w:p>
        </w:tc>
      </w:tr>
      <w:tr w:rsidR="00DE3407" w:rsidRPr="004E295E" w14:paraId="0EE50EDF" w14:textId="77777777" w:rsidTr="00A954C3">
        <w:trPr>
          <w:trHeight w:val="260"/>
        </w:trPr>
        <w:tc>
          <w:tcPr>
            <w:tcW w:w="1191" w:type="dxa"/>
            <w:tcBorders>
              <w:top w:val="single" w:sz="4" w:space="0" w:color="auto"/>
              <w:left w:val="nil"/>
              <w:bottom w:val="single" w:sz="4" w:space="0" w:color="auto"/>
              <w:right w:val="nil"/>
            </w:tcBorders>
            <w:shd w:val="clear" w:color="000000" w:fill="FFFFFF"/>
            <w:noWrap/>
            <w:vAlign w:val="bottom"/>
            <w:hideMark/>
          </w:tcPr>
          <w:p w14:paraId="75D61091"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Employer Contributions:</w:t>
            </w:r>
          </w:p>
        </w:tc>
        <w:tc>
          <w:tcPr>
            <w:tcW w:w="669" w:type="dxa"/>
            <w:tcBorders>
              <w:top w:val="single" w:sz="4" w:space="0" w:color="auto"/>
              <w:left w:val="nil"/>
              <w:bottom w:val="single" w:sz="4" w:space="0" w:color="auto"/>
              <w:right w:val="nil"/>
            </w:tcBorders>
            <w:shd w:val="clear" w:color="000000" w:fill="FFFFFF"/>
            <w:noWrap/>
            <w:vAlign w:val="bottom"/>
            <w:hideMark/>
          </w:tcPr>
          <w:p w14:paraId="30467C6B"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2971" w:type="dxa"/>
            <w:tcBorders>
              <w:top w:val="single" w:sz="4" w:space="0" w:color="auto"/>
              <w:left w:val="nil"/>
              <w:bottom w:val="single" w:sz="4" w:space="0" w:color="auto"/>
              <w:right w:val="nil"/>
            </w:tcBorders>
            <w:shd w:val="clear" w:color="000000" w:fill="FFFFFF"/>
            <w:noWrap/>
            <w:vAlign w:val="bottom"/>
            <w:hideMark/>
          </w:tcPr>
          <w:p w14:paraId="1B1FE486"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708" w:type="dxa"/>
            <w:tcBorders>
              <w:top w:val="single" w:sz="4" w:space="0" w:color="auto"/>
              <w:left w:val="nil"/>
              <w:bottom w:val="single" w:sz="4" w:space="0" w:color="auto"/>
              <w:right w:val="nil"/>
            </w:tcBorders>
            <w:shd w:val="clear" w:color="000000" w:fill="FFFFFF"/>
            <w:noWrap/>
            <w:vAlign w:val="center"/>
            <w:hideMark/>
          </w:tcPr>
          <w:p w14:paraId="318E9F61"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35.30%</w:t>
            </w:r>
          </w:p>
        </w:tc>
        <w:tc>
          <w:tcPr>
            <w:tcW w:w="709" w:type="dxa"/>
            <w:tcBorders>
              <w:top w:val="single" w:sz="4" w:space="0" w:color="auto"/>
              <w:left w:val="nil"/>
              <w:bottom w:val="single" w:sz="4" w:space="0" w:color="auto"/>
              <w:right w:val="nil"/>
            </w:tcBorders>
            <w:shd w:val="clear" w:color="000000" w:fill="FFFFFF"/>
            <w:noWrap/>
            <w:vAlign w:val="center"/>
            <w:hideMark/>
          </w:tcPr>
          <w:p w14:paraId="478516A4"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35.30%</w:t>
            </w:r>
          </w:p>
        </w:tc>
        <w:tc>
          <w:tcPr>
            <w:tcW w:w="709" w:type="dxa"/>
            <w:tcBorders>
              <w:top w:val="single" w:sz="4" w:space="0" w:color="auto"/>
              <w:left w:val="nil"/>
              <w:bottom w:val="single" w:sz="4" w:space="0" w:color="auto"/>
              <w:right w:val="nil"/>
            </w:tcBorders>
            <w:shd w:val="clear" w:color="000000" w:fill="FFFFFF"/>
            <w:noWrap/>
            <w:vAlign w:val="center"/>
            <w:hideMark/>
          </w:tcPr>
          <w:p w14:paraId="57C27994"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35.30%</w:t>
            </w:r>
          </w:p>
        </w:tc>
        <w:tc>
          <w:tcPr>
            <w:tcW w:w="709" w:type="dxa"/>
            <w:tcBorders>
              <w:top w:val="single" w:sz="4" w:space="0" w:color="auto"/>
              <w:left w:val="nil"/>
              <w:bottom w:val="single" w:sz="4" w:space="0" w:color="auto"/>
              <w:right w:val="nil"/>
            </w:tcBorders>
            <w:shd w:val="clear" w:color="000000" w:fill="CCECFF"/>
            <w:noWrap/>
            <w:vAlign w:val="center"/>
            <w:hideMark/>
          </w:tcPr>
          <w:p w14:paraId="5ABF0119"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35.30%</w:t>
            </w:r>
          </w:p>
        </w:tc>
        <w:tc>
          <w:tcPr>
            <w:tcW w:w="709" w:type="dxa"/>
            <w:tcBorders>
              <w:top w:val="single" w:sz="4" w:space="0" w:color="auto"/>
              <w:left w:val="nil"/>
              <w:bottom w:val="single" w:sz="4" w:space="0" w:color="auto"/>
              <w:right w:val="nil"/>
            </w:tcBorders>
            <w:shd w:val="clear" w:color="000000" w:fill="CCECFF"/>
            <w:noWrap/>
            <w:vAlign w:val="center"/>
            <w:hideMark/>
          </w:tcPr>
          <w:p w14:paraId="6C9A1038"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35.30%</w:t>
            </w:r>
          </w:p>
        </w:tc>
        <w:tc>
          <w:tcPr>
            <w:tcW w:w="709" w:type="dxa"/>
            <w:tcBorders>
              <w:top w:val="single" w:sz="4" w:space="0" w:color="auto"/>
              <w:left w:val="nil"/>
              <w:bottom w:val="single" w:sz="4" w:space="0" w:color="auto"/>
              <w:right w:val="nil"/>
            </w:tcBorders>
            <w:shd w:val="clear" w:color="000000" w:fill="CCECFF"/>
            <w:noWrap/>
            <w:vAlign w:val="center"/>
            <w:hideMark/>
          </w:tcPr>
          <w:p w14:paraId="6D6D2303"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35.30%</w:t>
            </w:r>
          </w:p>
        </w:tc>
      </w:tr>
      <w:tr w:rsidR="00DE3407" w:rsidRPr="004E295E" w14:paraId="58623832" w14:textId="77777777" w:rsidTr="00A954C3">
        <w:trPr>
          <w:trHeight w:val="260"/>
        </w:trPr>
        <w:tc>
          <w:tcPr>
            <w:tcW w:w="1191" w:type="dxa"/>
            <w:tcBorders>
              <w:top w:val="nil"/>
              <w:left w:val="nil"/>
              <w:bottom w:val="nil"/>
              <w:right w:val="nil"/>
            </w:tcBorders>
            <w:shd w:val="clear" w:color="000000" w:fill="FFFFFF"/>
            <w:noWrap/>
            <w:vAlign w:val="bottom"/>
            <w:hideMark/>
          </w:tcPr>
          <w:p w14:paraId="04784055"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Employee Contributions:</w:t>
            </w:r>
          </w:p>
        </w:tc>
        <w:tc>
          <w:tcPr>
            <w:tcW w:w="669" w:type="dxa"/>
            <w:tcBorders>
              <w:top w:val="nil"/>
              <w:left w:val="nil"/>
              <w:bottom w:val="nil"/>
              <w:right w:val="nil"/>
            </w:tcBorders>
            <w:shd w:val="clear" w:color="000000" w:fill="FFFFFF"/>
            <w:noWrap/>
            <w:vAlign w:val="bottom"/>
            <w:hideMark/>
          </w:tcPr>
          <w:p w14:paraId="14489CA7"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Tier 1</w:t>
            </w:r>
          </w:p>
        </w:tc>
        <w:tc>
          <w:tcPr>
            <w:tcW w:w="2971" w:type="dxa"/>
            <w:tcBorders>
              <w:top w:val="nil"/>
              <w:left w:val="nil"/>
              <w:bottom w:val="nil"/>
              <w:right w:val="nil"/>
            </w:tcBorders>
            <w:shd w:val="clear" w:color="000000" w:fill="FFFFFF"/>
            <w:noWrap/>
            <w:vAlign w:val="bottom"/>
            <w:hideMark/>
          </w:tcPr>
          <w:p w14:paraId="40AE66BE"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£27,000 or less</w:t>
            </w:r>
          </w:p>
        </w:tc>
        <w:tc>
          <w:tcPr>
            <w:tcW w:w="708" w:type="dxa"/>
            <w:tcBorders>
              <w:top w:val="nil"/>
              <w:left w:val="nil"/>
              <w:bottom w:val="nil"/>
              <w:right w:val="nil"/>
            </w:tcBorders>
            <w:shd w:val="clear" w:color="000000" w:fill="FFFFFF"/>
            <w:noWrap/>
            <w:vAlign w:val="center"/>
            <w:hideMark/>
          </w:tcPr>
          <w:p w14:paraId="7DA86A13"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14.25%</w:t>
            </w:r>
          </w:p>
        </w:tc>
        <w:tc>
          <w:tcPr>
            <w:tcW w:w="709" w:type="dxa"/>
            <w:tcBorders>
              <w:top w:val="nil"/>
              <w:left w:val="nil"/>
              <w:bottom w:val="nil"/>
              <w:right w:val="nil"/>
            </w:tcBorders>
            <w:shd w:val="clear" w:color="000000" w:fill="FFFFFF"/>
            <w:noWrap/>
            <w:vAlign w:val="center"/>
            <w:hideMark/>
          </w:tcPr>
          <w:p w14:paraId="40FA600D"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11.00%</w:t>
            </w:r>
          </w:p>
        </w:tc>
        <w:tc>
          <w:tcPr>
            <w:tcW w:w="709" w:type="dxa"/>
            <w:tcBorders>
              <w:top w:val="nil"/>
              <w:left w:val="nil"/>
              <w:bottom w:val="nil"/>
              <w:right w:val="nil"/>
            </w:tcBorders>
            <w:shd w:val="clear" w:color="000000" w:fill="FFFFFF"/>
            <w:noWrap/>
            <w:vAlign w:val="center"/>
            <w:hideMark/>
          </w:tcPr>
          <w:p w14:paraId="6043A405"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12.44%</w:t>
            </w:r>
          </w:p>
        </w:tc>
        <w:tc>
          <w:tcPr>
            <w:tcW w:w="709" w:type="dxa"/>
            <w:tcBorders>
              <w:top w:val="nil"/>
              <w:left w:val="nil"/>
              <w:bottom w:val="nil"/>
              <w:right w:val="nil"/>
            </w:tcBorders>
            <w:shd w:val="clear" w:color="000000" w:fill="CCECFF"/>
            <w:noWrap/>
            <w:vAlign w:val="center"/>
            <w:hideMark/>
          </w:tcPr>
          <w:p w14:paraId="1DF830BB"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14.25%</w:t>
            </w:r>
          </w:p>
        </w:tc>
        <w:tc>
          <w:tcPr>
            <w:tcW w:w="709" w:type="dxa"/>
            <w:tcBorders>
              <w:top w:val="nil"/>
              <w:left w:val="nil"/>
              <w:bottom w:val="nil"/>
              <w:right w:val="nil"/>
            </w:tcBorders>
            <w:shd w:val="clear" w:color="000000" w:fill="CCECFF"/>
            <w:noWrap/>
            <w:vAlign w:val="center"/>
            <w:hideMark/>
          </w:tcPr>
          <w:p w14:paraId="55723266"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11.00%</w:t>
            </w:r>
          </w:p>
        </w:tc>
        <w:tc>
          <w:tcPr>
            <w:tcW w:w="709" w:type="dxa"/>
            <w:tcBorders>
              <w:top w:val="nil"/>
              <w:left w:val="nil"/>
              <w:bottom w:val="nil"/>
              <w:right w:val="nil"/>
            </w:tcBorders>
            <w:shd w:val="clear" w:color="000000" w:fill="CCECFF"/>
            <w:noWrap/>
            <w:vAlign w:val="center"/>
            <w:hideMark/>
          </w:tcPr>
          <w:p w14:paraId="1904634D"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12.44%</w:t>
            </w:r>
          </w:p>
        </w:tc>
      </w:tr>
      <w:tr w:rsidR="00DE3407" w:rsidRPr="004E295E" w14:paraId="56035950" w14:textId="77777777" w:rsidTr="00A954C3">
        <w:trPr>
          <w:trHeight w:val="260"/>
        </w:trPr>
        <w:tc>
          <w:tcPr>
            <w:tcW w:w="1191" w:type="dxa"/>
            <w:tcBorders>
              <w:top w:val="nil"/>
              <w:left w:val="nil"/>
              <w:bottom w:val="nil"/>
              <w:right w:val="nil"/>
            </w:tcBorders>
            <w:shd w:val="clear" w:color="000000" w:fill="FFFFFF"/>
            <w:noWrap/>
            <w:vAlign w:val="bottom"/>
            <w:hideMark/>
          </w:tcPr>
          <w:p w14:paraId="4B12AAFC"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669" w:type="dxa"/>
            <w:tcBorders>
              <w:top w:val="nil"/>
              <w:left w:val="nil"/>
              <w:bottom w:val="nil"/>
              <w:right w:val="nil"/>
            </w:tcBorders>
            <w:shd w:val="clear" w:color="000000" w:fill="FFFFFF"/>
            <w:noWrap/>
            <w:vAlign w:val="bottom"/>
            <w:hideMark/>
          </w:tcPr>
          <w:p w14:paraId="263650B4"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Tier 2</w:t>
            </w:r>
          </w:p>
        </w:tc>
        <w:tc>
          <w:tcPr>
            <w:tcW w:w="2971" w:type="dxa"/>
            <w:tcBorders>
              <w:top w:val="nil"/>
              <w:left w:val="nil"/>
              <w:bottom w:val="nil"/>
              <w:right w:val="nil"/>
            </w:tcBorders>
            <w:shd w:val="clear" w:color="000000" w:fill="FFFFFF"/>
            <w:noWrap/>
            <w:vAlign w:val="bottom"/>
            <w:hideMark/>
          </w:tcPr>
          <w:p w14:paraId="0CC2C3FD"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more than £27,000 but less than £60,000</w:t>
            </w:r>
          </w:p>
        </w:tc>
        <w:tc>
          <w:tcPr>
            <w:tcW w:w="708" w:type="dxa"/>
            <w:tcBorders>
              <w:top w:val="nil"/>
              <w:left w:val="nil"/>
              <w:bottom w:val="nil"/>
              <w:right w:val="nil"/>
            </w:tcBorders>
            <w:shd w:val="clear" w:color="000000" w:fill="FFFFFF"/>
            <w:noWrap/>
            <w:vAlign w:val="center"/>
            <w:hideMark/>
          </w:tcPr>
          <w:p w14:paraId="26E57609"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14.25%</w:t>
            </w:r>
          </w:p>
        </w:tc>
        <w:tc>
          <w:tcPr>
            <w:tcW w:w="709" w:type="dxa"/>
            <w:tcBorders>
              <w:top w:val="nil"/>
              <w:left w:val="nil"/>
              <w:bottom w:val="nil"/>
              <w:right w:val="nil"/>
            </w:tcBorders>
            <w:shd w:val="clear" w:color="000000" w:fill="FFFFFF"/>
            <w:noWrap/>
            <w:vAlign w:val="center"/>
            <w:hideMark/>
          </w:tcPr>
          <w:p w14:paraId="4BEE08CB"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12.05%</w:t>
            </w:r>
          </w:p>
        </w:tc>
        <w:tc>
          <w:tcPr>
            <w:tcW w:w="709" w:type="dxa"/>
            <w:tcBorders>
              <w:top w:val="nil"/>
              <w:left w:val="nil"/>
              <w:bottom w:val="nil"/>
              <w:right w:val="nil"/>
            </w:tcBorders>
            <w:shd w:val="clear" w:color="000000" w:fill="FFFFFF"/>
            <w:noWrap/>
            <w:vAlign w:val="center"/>
            <w:hideMark/>
          </w:tcPr>
          <w:p w14:paraId="05D41F34"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13.44%</w:t>
            </w:r>
          </w:p>
        </w:tc>
        <w:tc>
          <w:tcPr>
            <w:tcW w:w="709" w:type="dxa"/>
            <w:tcBorders>
              <w:top w:val="nil"/>
              <w:left w:val="nil"/>
              <w:bottom w:val="nil"/>
              <w:right w:val="nil"/>
            </w:tcBorders>
            <w:shd w:val="clear" w:color="000000" w:fill="CCECFF"/>
            <w:noWrap/>
            <w:vAlign w:val="center"/>
            <w:hideMark/>
          </w:tcPr>
          <w:p w14:paraId="35BDBDFF"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14.25%</w:t>
            </w:r>
          </w:p>
        </w:tc>
        <w:tc>
          <w:tcPr>
            <w:tcW w:w="709" w:type="dxa"/>
            <w:tcBorders>
              <w:top w:val="nil"/>
              <w:left w:val="nil"/>
              <w:bottom w:val="nil"/>
              <w:right w:val="nil"/>
            </w:tcBorders>
            <w:shd w:val="clear" w:color="000000" w:fill="CCECFF"/>
            <w:noWrap/>
            <w:vAlign w:val="center"/>
            <w:hideMark/>
          </w:tcPr>
          <w:p w14:paraId="4B2EAAA4"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12.05%</w:t>
            </w:r>
          </w:p>
        </w:tc>
        <w:tc>
          <w:tcPr>
            <w:tcW w:w="709" w:type="dxa"/>
            <w:tcBorders>
              <w:top w:val="nil"/>
              <w:left w:val="nil"/>
              <w:bottom w:val="nil"/>
              <w:right w:val="nil"/>
            </w:tcBorders>
            <w:shd w:val="clear" w:color="000000" w:fill="CCECFF"/>
            <w:noWrap/>
            <w:vAlign w:val="center"/>
            <w:hideMark/>
          </w:tcPr>
          <w:p w14:paraId="58552899"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13.44%</w:t>
            </w:r>
          </w:p>
        </w:tc>
      </w:tr>
      <w:tr w:rsidR="00DE3407" w:rsidRPr="004E295E" w14:paraId="5AFC46F1" w14:textId="77777777" w:rsidTr="00A954C3">
        <w:trPr>
          <w:trHeight w:val="260"/>
        </w:trPr>
        <w:tc>
          <w:tcPr>
            <w:tcW w:w="1191" w:type="dxa"/>
            <w:tcBorders>
              <w:top w:val="nil"/>
              <w:left w:val="nil"/>
              <w:bottom w:val="single" w:sz="4" w:space="0" w:color="auto"/>
              <w:right w:val="nil"/>
            </w:tcBorders>
            <w:shd w:val="clear" w:color="000000" w:fill="FFFFFF"/>
            <w:noWrap/>
            <w:vAlign w:val="bottom"/>
            <w:hideMark/>
          </w:tcPr>
          <w:p w14:paraId="598622D5"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 </w:t>
            </w:r>
          </w:p>
        </w:tc>
        <w:tc>
          <w:tcPr>
            <w:tcW w:w="669" w:type="dxa"/>
            <w:tcBorders>
              <w:top w:val="nil"/>
              <w:left w:val="nil"/>
              <w:bottom w:val="single" w:sz="4" w:space="0" w:color="auto"/>
              <w:right w:val="nil"/>
            </w:tcBorders>
            <w:shd w:val="clear" w:color="000000" w:fill="FFFFFF"/>
            <w:noWrap/>
            <w:vAlign w:val="bottom"/>
            <w:hideMark/>
          </w:tcPr>
          <w:p w14:paraId="09F33E3E"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Tier 3</w:t>
            </w:r>
          </w:p>
        </w:tc>
        <w:tc>
          <w:tcPr>
            <w:tcW w:w="2971" w:type="dxa"/>
            <w:tcBorders>
              <w:top w:val="nil"/>
              <w:left w:val="nil"/>
              <w:bottom w:val="single" w:sz="4" w:space="0" w:color="auto"/>
              <w:right w:val="nil"/>
            </w:tcBorders>
            <w:shd w:val="clear" w:color="000000" w:fill="FFFFFF"/>
            <w:noWrap/>
            <w:vAlign w:val="bottom"/>
            <w:hideMark/>
          </w:tcPr>
          <w:p w14:paraId="53A78379" w14:textId="77777777" w:rsidR="004E295E" w:rsidRPr="004E295E" w:rsidRDefault="004E295E" w:rsidP="004E295E">
            <w:pPr>
              <w:spacing w:after="0" w:line="240" w:lineRule="auto"/>
              <w:jc w:val="left"/>
              <w:rPr>
                <w:rFonts w:eastAsia="Times New Roman" w:cs="Calibri"/>
                <w:color w:val="000000"/>
                <w:sz w:val="16"/>
                <w:szCs w:val="16"/>
                <w:lang w:eastAsia="en-GB"/>
              </w:rPr>
            </w:pPr>
            <w:r w:rsidRPr="004E295E">
              <w:rPr>
                <w:rFonts w:eastAsia="Times New Roman" w:cs="Calibri"/>
                <w:color w:val="000000"/>
                <w:sz w:val="16"/>
                <w:szCs w:val="16"/>
                <w:lang w:eastAsia="en-GB"/>
              </w:rPr>
              <w:t>£60,000 or more</w:t>
            </w:r>
          </w:p>
        </w:tc>
        <w:tc>
          <w:tcPr>
            <w:tcW w:w="708" w:type="dxa"/>
            <w:tcBorders>
              <w:top w:val="nil"/>
              <w:left w:val="nil"/>
              <w:bottom w:val="single" w:sz="4" w:space="0" w:color="auto"/>
              <w:right w:val="nil"/>
            </w:tcBorders>
            <w:shd w:val="clear" w:color="000000" w:fill="FFFFFF"/>
            <w:noWrap/>
            <w:vAlign w:val="center"/>
            <w:hideMark/>
          </w:tcPr>
          <w:p w14:paraId="5C6BA693"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15.05%</w:t>
            </w:r>
          </w:p>
        </w:tc>
        <w:tc>
          <w:tcPr>
            <w:tcW w:w="709" w:type="dxa"/>
            <w:tcBorders>
              <w:top w:val="nil"/>
              <w:left w:val="nil"/>
              <w:bottom w:val="single" w:sz="4" w:space="0" w:color="auto"/>
              <w:right w:val="nil"/>
            </w:tcBorders>
            <w:shd w:val="clear" w:color="000000" w:fill="FFFFFF"/>
            <w:noWrap/>
            <w:vAlign w:val="center"/>
            <w:hideMark/>
          </w:tcPr>
          <w:p w14:paraId="28E24BA4"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12.75%</w:t>
            </w:r>
          </w:p>
        </w:tc>
        <w:tc>
          <w:tcPr>
            <w:tcW w:w="709" w:type="dxa"/>
            <w:tcBorders>
              <w:top w:val="nil"/>
              <w:left w:val="nil"/>
              <w:bottom w:val="single" w:sz="4" w:space="0" w:color="auto"/>
              <w:right w:val="nil"/>
            </w:tcBorders>
            <w:shd w:val="clear" w:color="000000" w:fill="FFFFFF"/>
            <w:noWrap/>
            <w:vAlign w:val="center"/>
            <w:hideMark/>
          </w:tcPr>
          <w:p w14:paraId="0C7C9E2F"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13.78%</w:t>
            </w:r>
          </w:p>
        </w:tc>
        <w:tc>
          <w:tcPr>
            <w:tcW w:w="709" w:type="dxa"/>
            <w:tcBorders>
              <w:top w:val="nil"/>
              <w:left w:val="nil"/>
              <w:bottom w:val="single" w:sz="4" w:space="0" w:color="auto"/>
              <w:right w:val="nil"/>
            </w:tcBorders>
            <w:shd w:val="clear" w:color="000000" w:fill="CCECFF"/>
            <w:noWrap/>
            <w:vAlign w:val="center"/>
            <w:hideMark/>
          </w:tcPr>
          <w:p w14:paraId="23CD2F1E"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15.05%</w:t>
            </w:r>
          </w:p>
        </w:tc>
        <w:tc>
          <w:tcPr>
            <w:tcW w:w="709" w:type="dxa"/>
            <w:tcBorders>
              <w:top w:val="nil"/>
              <w:left w:val="nil"/>
              <w:bottom w:val="single" w:sz="4" w:space="0" w:color="auto"/>
              <w:right w:val="nil"/>
            </w:tcBorders>
            <w:shd w:val="clear" w:color="000000" w:fill="CCECFF"/>
            <w:noWrap/>
            <w:vAlign w:val="center"/>
            <w:hideMark/>
          </w:tcPr>
          <w:p w14:paraId="119554AA"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12.75%</w:t>
            </w:r>
          </w:p>
        </w:tc>
        <w:tc>
          <w:tcPr>
            <w:tcW w:w="709" w:type="dxa"/>
            <w:tcBorders>
              <w:top w:val="nil"/>
              <w:left w:val="nil"/>
              <w:bottom w:val="single" w:sz="4" w:space="0" w:color="auto"/>
              <w:right w:val="nil"/>
            </w:tcBorders>
            <w:shd w:val="clear" w:color="000000" w:fill="CCECFF"/>
            <w:noWrap/>
            <w:vAlign w:val="center"/>
            <w:hideMark/>
          </w:tcPr>
          <w:p w14:paraId="28DDAB2B" w14:textId="77777777" w:rsidR="004E295E" w:rsidRPr="004E295E" w:rsidRDefault="004E295E" w:rsidP="004E295E">
            <w:pPr>
              <w:spacing w:after="0" w:line="240" w:lineRule="auto"/>
              <w:jc w:val="center"/>
              <w:rPr>
                <w:rFonts w:eastAsia="Times New Roman" w:cs="Calibri"/>
                <w:color w:val="000000"/>
                <w:sz w:val="16"/>
                <w:szCs w:val="16"/>
                <w:lang w:eastAsia="en-GB"/>
              </w:rPr>
            </w:pPr>
            <w:r w:rsidRPr="004E295E">
              <w:rPr>
                <w:rFonts w:eastAsia="Times New Roman" w:cs="Calibri"/>
                <w:color w:val="000000"/>
                <w:sz w:val="16"/>
                <w:szCs w:val="16"/>
                <w:lang w:eastAsia="en-GB"/>
              </w:rPr>
              <w:t>13.78%</w:t>
            </w:r>
          </w:p>
        </w:tc>
      </w:tr>
    </w:tbl>
    <w:p w14:paraId="684AF46B" w14:textId="577D973C" w:rsidR="008A174F" w:rsidRDefault="008A174F" w:rsidP="003356AE">
      <w:pPr>
        <w:pStyle w:val="Normal0"/>
        <w:tabs>
          <w:tab w:val="left" w:pos="567"/>
          <w:tab w:val="left" w:pos="3686"/>
          <w:tab w:val="left" w:pos="6096"/>
        </w:tabs>
        <w:jc w:val="both"/>
      </w:pPr>
    </w:p>
    <w:p w14:paraId="6E449CB3" w14:textId="5D57D999" w:rsidR="00DC4315" w:rsidRPr="00DA4B61" w:rsidRDefault="00DC4315" w:rsidP="003356AE">
      <w:pPr>
        <w:pStyle w:val="Normal0"/>
        <w:tabs>
          <w:tab w:val="left" w:pos="567"/>
          <w:tab w:val="left" w:pos="3686"/>
          <w:tab w:val="left" w:pos="6096"/>
        </w:tabs>
        <w:jc w:val="both"/>
        <w:rPr>
          <w:rFonts w:ascii="Verdana" w:eastAsia="Times New Roman" w:hAnsi="Verdana" w:cs="Arial"/>
          <w:bCs/>
          <w:sz w:val="16"/>
          <w:szCs w:val="20"/>
          <w:lang w:val="en-GB"/>
        </w:rPr>
      </w:pPr>
    </w:p>
    <w:p w14:paraId="593C745D" w14:textId="564EF30B" w:rsidR="00DC4315" w:rsidRDefault="00B7768C" w:rsidP="00B7768C">
      <w:pPr>
        <w:pStyle w:val="VAHeadingLevel3"/>
        <w:numPr>
          <w:ilvl w:val="0"/>
          <w:numId w:val="0"/>
        </w:numPr>
        <w:spacing w:line="240" w:lineRule="auto"/>
        <w:rPr>
          <w:rFonts w:eastAsia="Arial Unicode MS"/>
        </w:rPr>
      </w:pPr>
      <w:r>
        <w:rPr>
          <w:rFonts w:eastAsia="Arial Unicode MS"/>
        </w:rPr>
        <w:t xml:space="preserve">B.  </w:t>
      </w:r>
      <w:r w:rsidR="00DC4315" w:rsidRPr="00DA4B61">
        <w:rPr>
          <w:rFonts w:eastAsia="Arial Unicode MS"/>
        </w:rPr>
        <w:t>Transfer Values</w:t>
      </w:r>
    </w:p>
    <w:p w14:paraId="2E6BC6CB" w14:textId="77777777" w:rsidR="00DC4315" w:rsidRDefault="00DC4315" w:rsidP="003356AE">
      <w:pPr>
        <w:spacing w:line="240" w:lineRule="auto"/>
      </w:pPr>
      <w:r w:rsidRPr="00DA4B61">
        <w:t xml:space="preserve">These are received or paid in respect of officers changing employer and taking or bringing their accrued pension benefits with them. </w:t>
      </w:r>
    </w:p>
    <w:p w14:paraId="77B63648" w14:textId="77777777" w:rsidR="00DC4315" w:rsidRDefault="00DC4315" w:rsidP="003356AE">
      <w:pPr>
        <w:spacing w:line="240" w:lineRule="auto"/>
        <w:rPr>
          <w:sz w:val="16"/>
          <w:u w:val="single"/>
        </w:rPr>
      </w:pPr>
    </w:p>
    <w:p w14:paraId="244D4E83" w14:textId="56449771" w:rsidR="00DC4315" w:rsidRDefault="00B7768C" w:rsidP="00B7768C">
      <w:pPr>
        <w:pStyle w:val="VAHeadingLevel3"/>
        <w:numPr>
          <w:ilvl w:val="0"/>
          <w:numId w:val="0"/>
        </w:numPr>
        <w:spacing w:line="240" w:lineRule="auto"/>
      </w:pPr>
      <w:r>
        <w:t xml:space="preserve">C. </w:t>
      </w:r>
      <w:r w:rsidR="00DC4315" w:rsidRPr="00DA4B61">
        <w:t>Pensions Fund Liabilities</w:t>
      </w:r>
    </w:p>
    <w:p w14:paraId="086C7493" w14:textId="77777777" w:rsidR="00DC4315" w:rsidRPr="00773E8B" w:rsidRDefault="00DC4315" w:rsidP="00125F8A">
      <w:pPr>
        <w:spacing w:line="240" w:lineRule="auto"/>
      </w:pPr>
      <w:r w:rsidRPr="00773E8B">
        <w:t>The Pension Fund does not take account of liabilities to pay pensions and other benefits after the period end.  There are no IAS 19 adjustments in this statement; they are part of the Group and OCC Core Financial Statements and can be referred to in notes 37 to 38.</w:t>
      </w:r>
    </w:p>
    <w:p w14:paraId="43C0E339" w14:textId="77777777" w:rsidR="00DC4315" w:rsidRPr="005B4D7B" w:rsidRDefault="00DC4315" w:rsidP="003356AE">
      <w:pPr>
        <w:pStyle w:val="VAHeadingLevel3"/>
        <w:spacing w:line="240" w:lineRule="auto"/>
      </w:pPr>
    </w:p>
    <w:p w14:paraId="59D9E7E8" w14:textId="3143E297" w:rsidR="00DC4315" w:rsidRDefault="00B7768C" w:rsidP="00B7768C">
      <w:pPr>
        <w:pStyle w:val="VAHeadingLevel3"/>
        <w:numPr>
          <w:ilvl w:val="0"/>
          <w:numId w:val="0"/>
        </w:numPr>
        <w:spacing w:line="240" w:lineRule="auto"/>
      </w:pPr>
      <w:r>
        <w:t xml:space="preserve">D. </w:t>
      </w:r>
      <w:r w:rsidR="00DC4315" w:rsidRPr="00DA4B61">
        <w:t>Accounting Policies</w:t>
      </w:r>
    </w:p>
    <w:p w14:paraId="55CE89C1" w14:textId="77777777" w:rsidR="00DC4315" w:rsidRPr="00DA4B61" w:rsidRDefault="00DC4315" w:rsidP="003356AE">
      <w:pPr>
        <w:spacing w:line="240" w:lineRule="auto"/>
      </w:pPr>
      <w:r w:rsidRPr="00DA4B61">
        <w:t>Accounting Policies conform to those in the Statement of Accounts.</w:t>
      </w:r>
    </w:p>
    <w:p w14:paraId="6F8796CA" w14:textId="77777777" w:rsidR="00DC4315" w:rsidRPr="00DA4B61" w:rsidRDefault="00DC4315" w:rsidP="003356AE">
      <w:pPr>
        <w:spacing w:line="240" w:lineRule="auto"/>
        <w:rPr>
          <w:sz w:val="16"/>
        </w:rPr>
      </w:pPr>
    </w:p>
    <w:p w14:paraId="3FB0AFE1" w14:textId="71670073" w:rsidR="00DC4315" w:rsidRDefault="00B7768C" w:rsidP="00B7768C">
      <w:pPr>
        <w:pStyle w:val="VAHeadingLevel3"/>
        <w:numPr>
          <w:ilvl w:val="0"/>
          <w:numId w:val="0"/>
        </w:numPr>
        <w:spacing w:line="240" w:lineRule="auto"/>
      </w:pPr>
      <w:r>
        <w:t xml:space="preserve">E. </w:t>
      </w:r>
      <w:r w:rsidR="00DC4315" w:rsidRPr="00DA4B61">
        <w:t>Home Office Pensions Top-Up Grant</w:t>
      </w:r>
    </w:p>
    <w:p w14:paraId="68971267" w14:textId="77777777" w:rsidR="00DC4315" w:rsidRPr="00DA4B61" w:rsidRDefault="00DC4315" w:rsidP="003356AE">
      <w:pPr>
        <w:spacing w:line="240" w:lineRule="auto"/>
      </w:pPr>
      <w:r w:rsidRPr="00DA4B61">
        <w:t>The Home Office Grant is received by the Group and OCC to cover the Group and OCC’s deficit contribution to the Pension Fund Account.  On the other hand, if the Pension Fund Account was in surplus, resulting in a contribution being made to the Group and OCC, an equivalent amount is recouped by the Home Office.</w:t>
      </w:r>
    </w:p>
    <w:p w14:paraId="06A9D85B" w14:textId="77777777" w:rsidR="00DC4315" w:rsidRPr="00DA4B61" w:rsidRDefault="00DC4315" w:rsidP="003356AE">
      <w:pPr>
        <w:spacing w:line="240" w:lineRule="auto"/>
        <w:rPr>
          <w:sz w:val="16"/>
        </w:rPr>
      </w:pPr>
    </w:p>
    <w:p w14:paraId="3CDDD3DB" w14:textId="77777777" w:rsidR="00DC4315" w:rsidRPr="00DA4B61" w:rsidRDefault="00DC4315" w:rsidP="003356AE">
      <w:pPr>
        <w:spacing w:line="240" w:lineRule="auto"/>
      </w:pPr>
      <w:r w:rsidRPr="00DA4B61">
        <w:t>The funding arrangements for the police pension scheme in England and Wales changed on 1 April 2006.  Before then the scheme did not have a percentage of pensionable pay type of employer’s contribution; rather each OPFCC was responsible for paying pensions on a pay-as-you-go basis.</w:t>
      </w:r>
    </w:p>
    <w:p w14:paraId="25154643" w14:textId="77777777" w:rsidR="00DC4315" w:rsidRPr="00DA4B61" w:rsidRDefault="00DC4315" w:rsidP="003356AE">
      <w:pPr>
        <w:spacing w:line="240" w:lineRule="auto"/>
        <w:rPr>
          <w:sz w:val="16"/>
        </w:rPr>
      </w:pPr>
    </w:p>
    <w:p w14:paraId="3C3539AE" w14:textId="77777777" w:rsidR="00DC4315" w:rsidRPr="00DA4B61" w:rsidRDefault="00DC4315" w:rsidP="003356AE">
      <w:pPr>
        <w:spacing w:line="240" w:lineRule="auto"/>
      </w:pPr>
      <w:r w:rsidRPr="00DA4B61">
        <w:t>Under the current arrangements the scheme remains unfunded but is no longer on a pay-as-you-go basis as far as individual Police Officers are concerned.  The Group and OCC’s no longer meet the pension liability directly.  Instead, the Force pays an employer’s contribution based on a percentage of pay into the Pension Fund.  The amounts that must be paid into and paid out of the pension fund are specified by regulation.</w:t>
      </w:r>
    </w:p>
    <w:p w14:paraId="60F28AAC" w14:textId="77777777" w:rsidR="00DC4315" w:rsidRPr="00DA4B61" w:rsidRDefault="00DC4315" w:rsidP="003356AE">
      <w:pPr>
        <w:spacing w:line="240" w:lineRule="auto"/>
        <w:rPr>
          <w:sz w:val="16"/>
        </w:rPr>
      </w:pPr>
    </w:p>
    <w:p w14:paraId="78AE093E" w14:textId="7C6B2635" w:rsidR="00244177" w:rsidRDefault="00DC4315" w:rsidP="003356AE">
      <w:pPr>
        <w:spacing w:line="240" w:lineRule="auto"/>
      </w:pPr>
      <w:r w:rsidRPr="00DA4B61">
        <w:t>At the end of the financial year the pension fund is balanced to nil by a financial transfer from or to the police fund, made by the Secretary of State.  Any payment from or to the Secretary of State in relation to the transfer is paid into or out of the police fund.</w:t>
      </w:r>
      <w:r w:rsidR="00244177">
        <w:br w:type="page"/>
      </w:r>
    </w:p>
    <w:p w14:paraId="46033FB8" w14:textId="77777777" w:rsidR="00243C66" w:rsidRPr="00243C66" w:rsidRDefault="00243C66" w:rsidP="00E56AE8">
      <w:pPr>
        <w:keepNext/>
        <w:tabs>
          <w:tab w:val="left" w:pos="360"/>
          <w:tab w:val="left" w:pos="7740"/>
        </w:tabs>
        <w:spacing w:line="240" w:lineRule="auto"/>
        <w:outlineLvl w:val="1"/>
        <w:rPr>
          <w:rFonts w:ascii="Aptos" w:eastAsia="Times New Roman" w:hAnsi="Aptos" w:cs="Times New Roman"/>
          <w:b/>
          <w:bCs/>
          <w:smallCaps/>
          <w:color w:val="25316C"/>
          <w:sz w:val="36"/>
        </w:rPr>
      </w:pPr>
      <w:bookmarkStart w:id="251" w:name="_Toc167977989"/>
      <w:bookmarkStart w:id="252" w:name="_Toc9272544"/>
      <w:bookmarkEnd w:id="236"/>
      <w:bookmarkEnd w:id="237"/>
      <w:r w:rsidRPr="00243C66">
        <w:rPr>
          <w:rFonts w:ascii="Aptos" w:eastAsia="Times New Roman" w:hAnsi="Aptos" w:cs="Times New Roman"/>
          <w:b/>
          <w:bCs/>
          <w:smallCaps/>
          <w:color w:val="25316C"/>
          <w:sz w:val="36"/>
        </w:rPr>
        <w:lastRenderedPageBreak/>
        <w:t>Accounting Policies</w:t>
      </w:r>
      <w:bookmarkEnd w:id="251"/>
      <w:r w:rsidRPr="00243C66">
        <w:rPr>
          <w:rFonts w:ascii="Aptos" w:eastAsia="Times New Roman" w:hAnsi="Aptos" w:cs="Times New Roman"/>
          <w:b/>
          <w:bCs/>
          <w:smallCaps/>
          <w:color w:val="25316C"/>
          <w:sz w:val="36"/>
        </w:rPr>
        <w:t xml:space="preserve"> </w:t>
      </w:r>
    </w:p>
    <w:p w14:paraId="05B0626B" w14:textId="77777777" w:rsidR="00243C66" w:rsidRPr="00243C66" w:rsidRDefault="00243C66" w:rsidP="00E56AE8">
      <w:pPr>
        <w:spacing w:line="240" w:lineRule="auto"/>
        <w:rPr>
          <w:rFonts w:eastAsia="Aptos" w:cs="Calibri"/>
          <w:color w:val="000000"/>
        </w:rPr>
      </w:pPr>
    </w:p>
    <w:p w14:paraId="6701B70D"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 xml:space="preserve">1) Introduction </w:t>
      </w:r>
    </w:p>
    <w:p w14:paraId="47D86037" w14:textId="77777777" w:rsidR="00D82C87" w:rsidRPr="00243C66" w:rsidRDefault="00D82C87" w:rsidP="00E56AE8">
      <w:pPr>
        <w:spacing w:line="240" w:lineRule="auto"/>
        <w:rPr>
          <w:lang w:eastAsia="en-GB"/>
        </w:rPr>
      </w:pPr>
    </w:p>
    <w:p w14:paraId="52EFE66F"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financial statements have been prepared in accordance with the Code of Practice (the Code) on Local Authority Accounting in the United Kingdom issued by the Chartered Institute of Public Finance and Accountancy (CIPFA) and the Accounts and Audit Regulations 2015.  The accounting policies contained in the Code apply International Financial Reporting Standards (IFRS) as adapted for the public sector by the International Public Sector Accounting Standards (IPSAS).  Where the CIPFA Code of Practice on Local Authority Accounting permits a choice of accounting policy, the accounting policy which is judged to be the most appropriate to the particular circumstances of the Authority for the purpose of presenting fairly the position of the Authority is selected.  Any exceptions are disclosed below. </w:t>
      </w:r>
    </w:p>
    <w:p w14:paraId="586822F7" w14:textId="77777777" w:rsidR="00D82C87" w:rsidRPr="00243C66" w:rsidRDefault="00D82C87" w:rsidP="00E56AE8">
      <w:pPr>
        <w:spacing w:line="240" w:lineRule="auto"/>
        <w:rPr>
          <w:rFonts w:eastAsia="Aptos" w:cs="Times New Roman"/>
          <w:color w:val="000000"/>
        </w:rPr>
      </w:pPr>
    </w:p>
    <w:p w14:paraId="2E123420"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In applying the accounting policies, we have had to make certain judgements about complex transactions or those involving uncertainty about future events.  The critical judgements made in the Statement of Accounts are: </w:t>
      </w:r>
    </w:p>
    <w:p w14:paraId="0B6673AA" w14:textId="77777777" w:rsidR="00D82C87" w:rsidRPr="00243C66" w:rsidRDefault="00D82C87" w:rsidP="00E56AE8">
      <w:pPr>
        <w:pStyle w:val="RedBullet"/>
        <w:spacing w:line="240" w:lineRule="auto"/>
        <w:rPr>
          <w:rFonts w:eastAsia="Aptos"/>
        </w:rPr>
      </w:pPr>
      <w:r w:rsidRPr="00243C66">
        <w:rPr>
          <w:rFonts w:eastAsia="Aptos"/>
        </w:rPr>
        <w:t xml:space="preserve">Influences on-going concern status, such as future levels of funding for central government departments </w:t>
      </w:r>
    </w:p>
    <w:p w14:paraId="746FF189" w14:textId="77777777" w:rsidR="00D82C87" w:rsidRPr="00243C66" w:rsidRDefault="00D82C87" w:rsidP="00E56AE8">
      <w:pPr>
        <w:pStyle w:val="RedBullet"/>
        <w:spacing w:line="240" w:lineRule="auto"/>
        <w:rPr>
          <w:rFonts w:eastAsia="Aptos"/>
        </w:rPr>
      </w:pPr>
      <w:r w:rsidRPr="00243C66">
        <w:rPr>
          <w:rFonts w:eastAsia="Aptos"/>
        </w:rPr>
        <w:t xml:space="preserve">Possible impairment of investments </w:t>
      </w:r>
    </w:p>
    <w:p w14:paraId="0591F821" w14:textId="77777777" w:rsidR="00D82C87" w:rsidRPr="00243C66" w:rsidRDefault="00D82C87" w:rsidP="00E56AE8">
      <w:pPr>
        <w:pStyle w:val="RedBullet"/>
        <w:spacing w:line="240" w:lineRule="auto"/>
        <w:rPr>
          <w:rFonts w:eastAsia="Aptos"/>
        </w:rPr>
      </w:pPr>
      <w:r w:rsidRPr="00243C66">
        <w:rPr>
          <w:rFonts w:eastAsia="Aptos"/>
        </w:rPr>
        <w:t xml:space="preserve">Whether other entities with which the Authority has a relationship are subsidiaries, associates or jointly controlled entities </w:t>
      </w:r>
    </w:p>
    <w:p w14:paraId="4BE8B812" w14:textId="77777777" w:rsidR="00D82C87" w:rsidRPr="00243C66" w:rsidRDefault="00D82C87" w:rsidP="00E56AE8">
      <w:pPr>
        <w:pStyle w:val="RedBullet"/>
        <w:spacing w:line="240" w:lineRule="auto"/>
        <w:rPr>
          <w:rFonts w:eastAsia="Aptos"/>
        </w:rPr>
      </w:pPr>
      <w:r w:rsidRPr="00243C66">
        <w:rPr>
          <w:rFonts w:eastAsia="Aptos"/>
        </w:rPr>
        <w:t>The potential outcome of legal claims by or against the Authority</w:t>
      </w:r>
    </w:p>
    <w:p w14:paraId="39EA5937" w14:textId="77777777" w:rsidR="00D82C87" w:rsidRPr="00243C66" w:rsidRDefault="00D82C87" w:rsidP="00E56AE8">
      <w:pPr>
        <w:pStyle w:val="RedBullet"/>
        <w:spacing w:line="240" w:lineRule="auto"/>
        <w:rPr>
          <w:rFonts w:eastAsia="Aptos"/>
        </w:rPr>
      </w:pPr>
      <w:r w:rsidRPr="00243C66">
        <w:rPr>
          <w:rFonts w:eastAsia="Aptos"/>
        </w:rPr>
        <w:t xml:space="preserve">The condition of the local and national housing/industrial building market </w:t>
      </w:r>
    </w:p>
    <w:p w14:paraId="6E6D622D" w14:textId="77777777" w:rsidR="00D82C87" w:rsidRPr="00243C66" w:rsidRDefault="00D82C87" w:rsidP="00E56AE8">
      <w:pPr>
        <w:pStyle w:val="RedBullet"/>
        <w:spacing w:line="240" w:lineRule="auto"/>
        <w:rPr>
          <w:rFonts w:eastAsia="Aptos"/>
        </w:rPr>
      </w:pPr>
      <w:r w:rsidRPr="00243C66">
        <w:rPr>
          <w:rFonts w:eastAsia="Aptos"/>
        </w:rPr>
        <w:t>The economic standing of significant debtors and creditors</w:t>
      </w:r>
    </w:p>
    <w:p w14:paraId="755C5852" w14:textId="77777777" w:rsidR="00D82C87" w:rsidRPr="00243C66" w:rsidRDefault="00D82C87" w:rsidP="00E56AE8">
      <w:pPr>
        <w:autoSpaceDE w:val="0"/>
        <w:autoSpaceDN w:val="0"/>
        <w:adjustRightInd w:val="0"/>
        <w:spacing w:line="240" w:lineRule="auto"/>
        <w:ind w:left="288"/>
        <w:rPr>
          <w:rFonts w:eastAsia="Times New Roman" w:cs="Calibri"/>
          <w:color w:val="000000"/>
          <w:sz w:val="22"/>
          <w:szCs w:val="22"/>
          <w:lang w:eastAsia="en-GB"/>
        </w:rPr>
      </w:pPr>
    </w:p>
    <w:p w14:paraId="72B54B48"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 xml:space="preserve">2) Accounting Convention </w:t>
      </w:r>
    </w:p>
    <w:p w14:paraId="3015EEFC" w14:textId="77777777" w:rsidR="00D82C87" w:rsidRPr="00243C66" w:rsidRDefault="00D82C87" w:rsidP="00E56AE8">
      <w:pPr>
        <w:spacing w:line="240" w:lineRule="auto"/>
        <w:rPr>
          <w:lang w:eastAsia="en-GB"/>
        </w:rPr>
      </w:pPr>
    </w:p>
    <w:p w14:paraId="547E0DB1"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These Accounts have been prepared under the historical cost convention, modified to account for the revaluation of property, plant and equipment, intangible assets and inventories.  Where appropriate, financial assets and liabilities have been impaired or discounted to bring them to fair value. </w:t>
      </w:r>
    </w:p>
    <w:p w14:paraId="02E01878" w14:textId="77777777" w:rsidR="00D82C87" w:rsidRPr="00243C66" w:rsidRDefault="00D82C87" w:rsidP="00E56AE8">
      <w:pPr>
        <w:spacing w:line="240" w:lineRule="auto"/>
        <w:rPr>
          <w:lang w:eastAsia="en-GB"/>
        </w:rPr>
      </w:pPr>
    </w:p>
    <w:p w14:paraId="6A176CE9"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 xml:space="preserve">3) Going Concern </w:t>
      </w:r>
    </w:p>
    <w:p w14:paraId="1FBA2521" w14:textId="77777777" w:rsidR="00D82C87" w:rsidRPr="00243C66" w:rsidRDefault="00D82C87" w:rsidP="00E56AE8">
      <w:pPr>
        <w:spacing w:line="240" w:lineRule="auto"/>
      </w:pPr>
    </w:p>
    <w:p w14:paraId="432F1E7B" w14:textId="77777777" w:rsidR="00D82C87" w:rsidRPr="00243C66" w:rsidRDefault="00D82C87" w:rsidP="00E56AE8">
      <w:pPr>
        <w:spacing w:line="240" w:lineRule="auto"/>
        <w:rPr>
          <w:rFonts w:eastAsia="Aptos" w:cs="Times New Roman"/>
          <w:color w:val="000000"/>
        </w:rPr>
      </w:pPr>
      <w:r w:rsidRPr="295E625B">
        <w:rPr>
          <w:rFonts w:eastAsia="Aptos" w:cs="Times New Roman"/>
        </w:rPr>
        <w:t xml:space="preserve">These accounts have been prepared on a going concern basis.  The concept of a going concern assumes that the functions of the Authority will continue in operational existence for the foreseeable future.  The provisions in the Code (Code of Practice on Local Authority Accounting in the United Kingdom 2025/26) in respect of going concern reporting requirements reflect the economic and statutory environment in which public section organisations operate. </w:t>
      </w:r>
    </w:p>
    <w:p w14:paraId="01B13712" w14:textId="77777777" w:rsidR="00D82C87" w:rsidRPr="00243C66" w:rsidRDefault="00D82C87" w:rsidP="00E56AE8">
      <w:pPr>
        <w:spacing w:line="240" w:lineRule="auto"/>
        <w:rPr>
          <w:rFonts w:eastAsia="Aptos" w:cs="Times New Roman"/>
          <w:color w:val="000000"/>
        </w:rPr>
      </w:pPr>
    </w:p>
    <w:p w14:paraId="069A4D9D"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These provisions confirm that, as the OPFCC, OCC or NCFRA cannot be created or dissolved without statutory prescription, they must prepare their financial statements on a going concern basis of accounting. </w:t>
      </w:r>
    </w:p>
    <w:p w14:paraId="68A0299F" w14:textId="77777777" w:rsidR="00D82C87" w:rsidRPr="00243C66" w:rsidRDefault="00D82C87" w:rsidP="00E56AE8">
      <w:pPr>
        <w:spacing w:line="240" w:lineRule="auto"/>
        <w:rPr>
          <w:rFonts w:eastAsia="Aptos" w:cs="Times New Roman"/>
          <w:color w:val="000000"/>
        </w:rPr>
      </w:pPr>
    </w:p>
    <w:p w14:paraId="6369A253"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The entities conduct functions essential to the local community and are themselves revenue-raising bodies (with limits on their revenue-raising powers arising only at the discretion of central government).  If an OPFCC, OCC or NCFRA were in financial difficulty, the prospects are thus that alternative arrangements might be made by central government either for the continuation of the functions it provides or for assistance with the recovery of a deficit over more than one financial year.  As a result of this, it would not therefore be appropriate for the financial statements to be provided on anything other than a going concern basis.  Accounts drawn up under the Code therefore assume that the Authority and group will continue to operate for the foreseeable future.</w:t>
      </w:r>
    </w:p>
    <w:p w14:paraId="66853872" w14:textId="77777777" w:rsidR="00D82C87" w:rsidRPr="00243C66" w:rsidRDefault="00D82C87" w:rsidP="00E56AE8">
      <w:pPr>
        <w:spacing w:line="240" w:lineRule="auto"/>
        <w:rPr>
          <w:rFonts w:eastAsia="Aptos" w:cs="Calibri"/>
          <w:color w:val="000000"/>
        </w:rPr>
      </w:pPr>
    </w:p>
    <w:p w14:paraId="035EB399" w14:textId="77777777" w:rsidR="00B34956" w:rsidRDefault="00B34956">
      <w:pPr>
        <w:spacing w:after="0" w:line="240" w:lineRule="auto"/>
        <w:jc w:val="left"/>
        <w:rPr>
          <w:rFonts w:eastAsia="Times New Roman" w:cs="Times New Roman"/>
          <w:b/>
          <w:bCs/>
          <w:color w:val="25316C"/>
          <w:sz w:val="24"/>
        </w:rPr>
      </w:pPr>
      <w:r>
        <w:rPr>
          <w:rFonts w:eastAsia="Times New Roman" w:cs="Times New Roman"/>
          <w:b/>
          <w:bCs/>
          <w:color w:val="25316C"/>
          <w:sz w:val="24"/>
        </w:rPr>
        <w:br w:type="page"/>
      </w:r>
    </w:p>
    <w:p w14:paraId="1FD355A4" w14:textId="3C5AD308" w:rsidR="00D82C87"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lastRenderedPageBreak/>
        <w:t xml:space="preserve">4) Recognition of Income and Expenditure </w:t>
      </w:r>
    </w:p>
    <w:p w14:paraId="09894175" w14:textId="77777777" w:rsidR="00D82C87" w:rsidRDefault="00D82C87" w:rsidP="00E56AE8">
      <w:pPr>
        <w:numPr>
          <w:ilvl w:val="1"/>
          <w:numId w:val="0"/>
        </w:numPr>
        <w:tabs>
          <w:tab w:val="left" w:pos="1418"/>
        </w:tabs>
        <w:spacing w:line="240" w:lineRule="auto"/>
        <w:jc w:val="left"/>
        <w:rPr>
          <w:rFonts w:eastAsia="Times New Roman" w:cs="Times New Roman"/>
          <w:b/>
          <w:bCs/>
          <w:color w:val="25316C"/>
          <w:sz w:val="24"/>
        </w:rPr>
      </w:pPr>
    </w:p>
    <w:p w14:paraId="71A0E6EA"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Pr>
          <w:rStyle w:val="normaltextrun"/>
          <w:rFonts w:ascii="Aptos" w:hAnsi="Aptos"/>
          <w:color w:val="000000"/>
        </w:rPr>
        <w:t>The Authorities comply with IFRS 9 by recognising creditor liabilities only when goods have been received or services rendered.  Debtors are initially measured at historical cost, with subsequent adjustments to fair value through a bad debt provision.</w:t>
      </w:r>
    </w:p>
    <w:p w14:paraId="44C78ECD" w14:textId="77777777" w:rsidR="00D82C87" w:rsidRPr="00243C66" w:rsidRDefault="00D82C87" w:rsidP="00E56AE8">
      <w:pPr>
        <w:autoSpaceDE w:val="0"/>
        <w:autoSpaceDN w:val="0"/>
        <w:adjustRightInd w:val="0"/>
        <w:spacing w:line="240" w:lineRule="auto"/>
        <w:rPr>
          <w:rFonts w:eastAsia="Times New Roman" w:cs="Calibri"/>
          <w:color w:val="990032"/>
          <w:sz w:val="22"/>
          <w:szCs w:val="22"/>
          <w:lang w:eastAsia="en-GB"/>
        </w:rPr>
      </w:pPr>
    </w:p>
    <w:p w14:paraId="36BE289D"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Authorities comply with IAS 39 in only recognising creditor liabilities when services are rendered or goods receipted.  Debtors are recorded at historical cost, but the balance has been written down to fair value through a bad debt provision. </w:t>
      </w:r>
    </w:p>
    <w:p w14:paraId="3828D638" w14:textId="77777777" w:rsidR="00D82C87" w:rsidRPr="00243C66" w:rsidRDefault="00D82C87" w:rsidP="00E56AE8">
      <w:pPr>
        <w:spacing w:line="240" w:lineRule="auto"/>
        <w:rPr>
          <w:rFonts w:eastAsia="Aptos" w:cs="Times New Roman"/>
          <w:color w:val="000000"/>
        </w:rPr>
      </w:pPr>
    </w:p>
    <w:p w14:paraId="11AEEB41"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Both revenue and capital transactions are recorded on an </w:t>
      </w:r>
      <w:proofErr w:type="gramStart"/>
      <w:r w:rsidRPr="00243C66">
        <w:rPr>
          <w:rFonts w:eastAsia="Aptos" w:cs="Times New Roman"/>
          <w:color w:val="000000"/>
        </w:rPr>
        <w:t>accruals</w:t>
      </w:r>
      <w:proofErr w:type="gramEnd"/>
      <w:r w:rsidRPr="00243C66">
        <w:rPr>
          <w:rFonts w:eastAsia="Aptos" w:cs="Times New Roman"/>
          <w:color w:val="000000"/>
        </w:rPr>
        <w:t xml:space="preserve"> basis.  This means that income and expenditure is accounted for in the financial year in which it becomes due regardless of whether cash has actually been received or paid in the financial year.</w:t>
      </w:r>
    </w:p>
    <w:p w14:paraId="7E83C5F8" w14:textId="77777777" w:rsidR="00D82C87" w:rsidRPr="00243C66" w:rsidRDefault="00D82C87" w:rsidP="00E56AE8">
      <w:pPr>
        <w:spacing w:line="240" w:lineRule="auto"/>
        <w:rPr>
          <w:rFonts w:eastAsia="Aptos" w:cs="Times New Roman"/>
          <w:color w:val="000000"/>
        </w:rPr>
      </w:pPr>
    </w:p>
    <w:p w14:paraId="204EC57D"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In particular: </w:t>
      </w:r>
    </w:p>
    <w:p w14:paraId="08FB12C6" w14:textId="77777777" w:rsidR="00D82C87" w:rsidRPr="008A7A76" w:rsidRDefault="00D82C87" w:rsidP="00E56AE8">
      <w:pPr>
        <w:pStyle w:val="RedBullet"/>
        <w:spacing w:line="240" w:lineRule="auto"/>
      </w:pPr>
      <w:r w:rsidRPr="008A7A76">
        <w:t>Fees, charges and rents due from the customers are accounted for as income at the date the Authority provides the relevant goods or services</w:t>
      </w:r>
    </w:p>
    <w:p w14:paraId="230BD88C" w14:textId="77777777" w:rsidR="00D82C87" w:rsidRPr="008A7A76" w:rsidRDefault="00D82C87" w:rsidP="00E56AE8">
      <w:pPr>
        <w:pStyle w:val="RedBullet"/>
        <w:spacing w:line="240" w:lineRule="auto"/>
      </w:pPr>
      <w:r w:rsidRPr="008A7A76">
        <w:t>The cost of supplies and services are accrued in that accounting period during which they were consumed or received, except for works which are charged as expenditure when they are completed, before which they are carried as works in progress on the balance sheet</w:t>
      </w:r>
    </w:p>
    <w:p w14:paraId="187F498E" w14:textId="77777777" w:rsidR="00D82C87" w:rsidRPr="008A7A76" w:rsidRDefault="00D82C87" w:rsidP="00E56AE8">
      <w:pPr>
        <w:pStyle w:val="RedBullet"/>
        <w:spacing w:line="240" w:lineRule="auto"/>
      </w:pPr>
      <w:r w:rsidRPr="008A7A76">
        <w:t xml:space="preserve">Interest payable and receivable on borrowings is accounted for in the year to which it relates; on a basis that it reflects the overall effect of the loan or investment </w:t>
      </w:r>
    </w:p>
    <w:p w14:paraId="66358621" w14:textId="7E0979B8" w:rsidR="00D82C87" w:rsidRPr="008A7A76" w:rsidRDefault="00D82C87" w:rsidP="00E56AE8">
      <w:pPr>
        <w:pStyle w:val="RedBullet"/>
        <w:spacing w:line="240" w:lineRule="auto"/>
      </w:pPr>
      <w:r w:rsidRPr="008A7A76">
        <w:t xml:space="preserve">Where income and expenditure </w:t>
      </w:r>
      <w:r w:rsidR="008358CD" w:rsidRPr="008A7A76">
        <w:t>have</w:t>
      </w:r>
      <w:r w:rsidRPr="008A7A76">
        <w:t xml:space="preserve"> been recognised but cash has not been received or paid, a debtor or creditor for the relevant amount is recorded in the balance sheet.  Where it is doubtful that debts will be settled, the balance of debtors is written down and a charge made to the income and expenditure account for the income that might not be collected</w:t>
      </w:r>
    </w:p>
    <w:p w14:paraId="2E678D03" w14:textId="77777777" w:rsidR="00D82C87" w:rsidRDefault="00D82C87" w:rsidP="00E56AE8">
      <w:pPr>
        <w:pStyle w:val="RedBullet"/>
        <w:spacing w:line="240" w:lineRule="auto"/>
      </w:pPr>
      <w:r w:rsidRPr="008A7A76">
        <w:t>Expenses in relation to services received (including services provided by employees) are recorded as expenditure when the services are received rather than when payments are made</w:t>
      </w:r>
    </w:p>
    <w:p w14:paraId="55996A94" w14:textId="77777777" w:rsidR="00D82C87" w:rsidRDefault="00D82C87" w:rsidP="00E56AE8">
      <w:pPr>
        <w:numPr>
          <w:ilvl w:val="2"/>
          <w:numId w:val="0"/>
        </w:numPr>
        <w:tabs>
          <w:tab w:val="left" w:pos="1985"/>
        </w:tabs>
        <w:spacing w:line="240" w:lineRule="auto"/>
        <w:jc w:val="left"/>
        <w:rPr>
          <w:rFonts w:eastAsia="Times New Roman" w:cs="Times New Roman"/>
          <w:bCs/>
          <w:color w:val="25316C"/>
          <w:sz w:val="24"/>
        </w:rPr>
      </w:pPr>
    </w:p>
    <w:p w14:paraId="799A9C55" w14:textId="77777777" w:rsidR="00D82C87" w:rsidRPr="008A7A76" w:rsidRDefault="00D82C87" w:rsidP="00E56AE8">
      <w:pPr>
        <w:pStyle w:val="VAHeadingLevel2"/>
        <w:spacing w:line="240" w:lineRule="auto"/>
      </w:pPr>
      <w:r w:rsidRPr="008A7A76">
        <w:t>De Minimis Threshold for Accruals </w:t>
      </w:r>
    </w:p>
    <w:p w14:paraId="3B6C70A6" w14:textId="77777777" w:rsidR="00D82C87" w:rsidRPr="00F209D3" w:rsidRDefault="00D82C87" w:rsidP="00E56AE8">
      <w:pPr>
        <w:spacing w:line="240" w:lineRule="auto"/>
        <w:rPr>
          <w:rFonts w:eastAsia="Aptos"/>
          <w:color w:val="000000"/>
        </w:rPr>
      </w:pPr>
      <w:r w:rsidRPr="00F209D3">
        <w:rPr>
          <w:rFonts w:eastAsia="Aptos" w:cs="Times New Roman"/>
          <w:color w:val="000000"/>
        </w:rPr>
        <w:t>The Authority applies a de minimis threshold of £1,000 for the recognition of creditors within the accruals process.  Creditors below this value will only be raised through the GRNI (Goods Received Not Invoiced) process where the amount is considered subjectively material to the financial statements.  Amounts below the threshold that do not materially affect the financial position or performance of the Authority may be excluded from accruals, consistent with the principles of materiality and the efficient preparation of accounts. </w:t>
      </w:r>
    </w:p>
    <w:p w14:paraId="4A2A6F3D" w14:textId="77777777" w:rsidR="00D82C87" w:rsidRPr="00243C66" w:rsidRDefault="00D82C87" w:rsidP="00E56AE8">
      <w:pPr>
        <w:spacing w:line="240" w:lineRule="auto"/>
        <w:rPr>
          <w:rFonts w:eastAsia="Aptos" w:cs="Times New Roman"/>
          <w:color w:val="000000"/>
        </w:rPr>
      </w:pPr>
    </w:p>
    <w:p w14:paraId="58FA5651"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 xml:space="preserve">5) Financial Instruments </w:t>
      </w:r>
    </w:p>
    <w:p w14:paraId="16CE557E" w14:textId="77777777" w:rsidR="00D82C87" w:rsidRPr="00243C66" w:rsidRDefault="00D82C87" w:rsidP="00E56AE8">
      <w:pPr>
        <w:autoSpaceDE w:val="0"/>
        <w:autoSpaceDN w:val="0"/>
        <w:adjustRightInd w:val="0"/>
        <w:spacing w:line="240" w:lineRule="auto"/>
        <w:rPr>
          <w:rFonts w:eastAsia="Times New Roman" w:cs="Calibri"/>
          <w:b/>
          <w:bCs/>
          <w:color w:val="auto"/>
          <w:sz w:val="22"/>
          <w:szCs w:val="22"/>
          <w:highlight w:val="yellow"/>
          <w:lang w:eastAsia="en-GB"/>
        </w:rPr>
      </w:pPr>
    </w:p>
    <w:p w14:paraId="04B2841D" w14:textId="77777777" w:rsidR="00D82C87" w:rsidRPr="00243C66" w:rsidRDefault="00D82C87" w:rsidP="00E56AE8">
      <w:pPr>
        <w:spacing w:line="240" w:lineRule="auto"/>
        <w:rPr>
          <w:rFonts w:eastAsia="Aptos" w:cs="Calibri"/>
          <w:color w:val="000000"/>
        </w:rPr>
      </w:pPr>
      <w:r w:rsidRPr="00243C66">
        <w:rPr>
          <w:rFonts w:eastAsia="Aptos" w:cs="Times New Roman"/>
          <w:color w:val="000000"/>
        </w:rPr>
        <w:t xml:space="preserve">Financial instruments are recognised on the Balance Sheet when the Authority </w:t>
      </w:r>
      <w:r w:rsidRPr="00712FC6">
        <w:rPr>
          <w:rFonts w:eastAsia="Aptos" w:cs="Times New Roman"/>
          <w:color w:val="000000"/>
        </w:rPr>
        <w:t>becomes party to the contractual provisions of a financial instrument.  They are initially measured at fair valu</w:t>
      </w:r>
      <w:r>
        <w:rPr>
          <w:rFonts w:eastAsia="Aptos" w:cs="Times New Roman"/>
          <w:color w:val="000000"/>
        </w:rPr>
        <w:t xml:space="preserve">e, </w:t>
      </w:r>
      <w:r>
        <w:rPr>
          <w:rStyle w:val="normaltextrun"/>
          <w:rFonts w:ascii="Aptos" w:hAnsi="Aptos"/>
          <w:color w:val="000000"/>
        </w:rPr>
        <w:t>plus transaction costs where applicable.</w:t>
      </w:r>
      <w:r>
        <w:rPr>
          <w:rStyle w:val="eop"/>
          <w:rFonts w:ascii="Aptos" w:hAnsi="Aptos"/>
          <w:color w:val="000000"/>
          <w:shd w:val="clear" w:color="auto" w:fill="FFFFFF"/>
        </w:rPr>
        <w:t> </w:t>
      </w:r>
    </w:p>
    <w:p w14:paraId="71E32AE5" w14:textId="77777777" w:rsidR="00D82C87" w:rsidRPr="00243C66" w:rsidRDefault="00D82C87" w:rsidP="00E56AE8">
      <w:pPr>
        <w:pStyle w:val="VAHeadingLevel2"/>
        <w:spacing w:line="240" w:lineRule="auto"/>
      </w:pPr>
      <w:r w:rsidRPr="00243C66">
        <w:t>Financial Assets</w:t>
      </w:r>
    </w:p>
    <w:p w14:paraId="32F1805D"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Financial assets are recognised when the Authority becomes a party to the contractual provisions of the instrument, or in the case of trade receivables, when goods or services have been delivered.  Financial assets are derecognised when the contractual rights to cash flows expire</w:t>
      </w:r>
      <w:r>
        <w:rPr>
          <w:rFonts w:eastAsia="Aptos" w:cs="Times New Roman"/>
          <w:color w:val="000000"/>
        </w:rPr>
        <w:t>,</w:t>
      </w:r>
      <w:r w:rsidRPr="00712FC6">
        <w:rPr>
          <w:rFonts w:eastAsia="Aptos" w:cs="Times New Roman"/>
          <w:color w:val="000000"/>
        </w:rPr>
        <w:t> or the asset is transferred. </w:t>
      </w:r>
    </w:p>
    <w:p w14:paraId="75D63C49" w14:textId="77777777" w:rsidR="00D82C87" w:rsidRDefault="00D82C87" w:rsidP="00E56AE8">
      <w:pPr>
        <w:spacing w:line="240" w:lineRule="auto"/>
        <w:rPr>
          <w:rFonts w:eastAsia="Aptos" w:cs="Times New Roman"/>
          <w:color w:val="000000"/>
        </w:rPr>
      </w:pPr>
    </w:p>
    <w:p w14:paraId="36D3A7D1" w14:textId="77777777" w:rsidR="00D82C87" w:rsidRDefault="00D82C87" w:rsidP="00E56AE8">
      <w:pPr>
        <w:spacing w:line="240" w:lineRule="auto"/>
        <w:rPr>
          <w:rFonts w:eastAsia="Aptos" w:cs="Times New Roman"/>
          <w:color w:val="000000"/>
        </w:rPr>
      </w:pPr>
      <w:r w:rsidRPr="00712FC6">
        <w:rPr>
          <w:rFonts w:eastAsia="Aptos" w:cs="Times New Roman"/>
          <w:color w:val="000000"/>
        </w:rPr>
        <w:t>Under IFRS 9, financial assets are classified into the following categories: </w:t>
      </w:r>
    </w:p>
    <w:p w14:paraId="70D9DAF5" w14:textId="77777777" w:rsidR="00D82C87" w:rsidRPr="00712FC6" w:rsidRDefault="00D82C87" w:rsidP="00E56AE8">
      <w:pPr>
        <w:spacing w:line="240" w:lineRule="auto"/>
        <w:rPr>
          <w:rFonts w:eastAsia="Aptos" w:cs="Times New Roman"/>
          <w:color w:val="000000"/>
        </w:rPr>
      </w:pPr>
    </w:p>
    <w:p w14:paraId="5FD7DD0E" w14:textId="77777777" w:rsidR="00B34956" w:rsidRDefault="00B34956">
      <w:pPr>
        <w:spacing w:after="0" w:line="240" w:lineRule="auto"/>
        <w:jc w:val="left"/>
        <w:rPr>
          <w:rFonts w:asciiTheme="minorHAnsi" w:eastAsia="Times New Roman" w:hAnsiTheme="minorHAnsi" w:cs="Times New Roman"/>
          <w:bCs/>
          <w:color w:val="25316C"/>
          <w:sz w:val="24"/>
        </w:rPr>
      </w:pPr>
      <w:r>
        <w:br w:type="page"/>
      </w:r>
    </w:p>
    <w:p w14:paraId="70B1E7A1" w14:textId="631CB851" w:rsidR="00D82C87" w:rsidRPr="00BC0177" w:rsidRDefault="00D82C87" w:rsidP="00E56AE8">
      <w:pPr>
        <w:pStyle w:val="VAHeadingLevel2"/>
        <w:spacing w:line="240" w:lineRule="auto"/>
      </w:pPr>
      <w:r w:rsidRPr="00BC0177">
        <w:lastRenderedPageBreak/>
        <w:t>Amortised Cost </w:t>
      </w:r>
    </w:p>
    <w:p w14:paraId="74100ACA" w14:textId="77777777" w:rsidR="00D82C87" w:rsidRPr="00F6123B" w:rsidRDefault="00D82C87" w:rsidP="00E56AE8">
      <w:pPr>
        <w:pStyle w:val="RedBullet"/>
        <w:spacing w:line="240" w:lineRule="auto"/>
      </w:pPr>
      <w:r w:rsidRPr="00F6123B">
        <w:t>Fair Value through Other Comprehensive Income (FVOCI) </w:t>
      </w:r>
    </w:p>
    <w:p w14:paraId="267AD89A" w14:textId="77777777" w:rsidR="00D82C87" w:rsidRPr="00F6123B" w:rsidRDefault="00D82C87" w:rsidP="00E56AE8">
      <w:pPr>
        <w:pStyle w:val="RedBullet"/>
        <w:spacing w:line="240" w:lineRule="auto"/>
      </w:pPr>
      <w:r w:rsidRPr="00F6123B">
        <w:t>Fair Value through Profit or Loss (FVPL) </w:t>
      </w:r>
    </w:p>
    <w:p w14:paraId="51D4511A" w14:textId="77777777" w:rsidR="00D82C87" w:rsidRDefault="00D82C87" w:rsidP="00E56AE8">
      <w:pPr>
        <w:spacing w:line="240" w:lineRule="auto"/>
        <w:rPr>
          <w:rFonts w:eastAsia="Aptos" w:cs="Times New Roman"/>
          <w:color w:val="000000"/>
        </w:rPr>
      </w:pPr>
      <w:r w:rsidRPr="00712FC6">
        <w:rPr>
          <w:rFonts w:eastAsia="Aptos" w:cs="Times New Roman"/>
          <w:color w:val="000000"/>
        </w:rPr>
        <w:t>Classification is based on the Authority’s business model for managing the asset and the contractual cash flow characteristics.  Assets measured at fair value have changes in value recognised either in the Comprehensive Income and Expenditure Statement (CIES) for FVPL or in Other Comprehensive Income for FVOCI. </w:t>
      </w:r>
    </w:p>
    <w:p w14:paraId="59384562" w14:textId="77777777" w:rsidR="00D82C87" w:rsidRPr="00712FC6" w:rsidRDefault="00D82C87" w:rsidP="00E56AE8">
      <w:pPr>
        <w:spacing w:line="240" w:lineRule="auto"/>
        <w:rPr>
          <w:rFonts w:eastAsia="Aptos" w:cs="Times New Roman"/>
          <w:color w:val="000000"/>
        </w:rPr>
      </w:pPr>
    </w:p>
    <w:p w14:paraId="5ECAB2DE"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Trade receivables and other financial assets measured at amortised cost are subject to impairment under the expected credit loss (ECL) model, with provisions recorded to reflect credit risk. </w:t>
      </w:r>
    </w:p>
    <w:p w14:paraId="213CC891" w14:textId="77777777" w:rsidR="00D82C87" w:rsidRDefault="00D82C87" w:rsidP="00E56AE8">
      <w:pPr>
        <w:numPr>
          <w:ilvl w:val="2"/>
          <w:numId w:val="0"/>
        </w:numPr>
        <w:tabs>
          <w:tab w:val="left" w:pos="1985"/>
        </w:tabs>
        <w:spacing w:line="240" w:lineRule="auto"/>
        <w:jc w:val="left"/>
        <w:rPr>
          <w:rFonts w:eastAsia="Times New Roman" w:cs="Times New Roman"/>
          <w:bCs/>
          <w:color w:val="25316C"/>
          <w:sz w:val="24"/>
        </w:rPr>
      </w:pPr>
    </w:p>
    <w:p w14:paraId="33E714F4" w14:textId="77777777" w:rsidR="00D82C87" w:rsidRPr="00712FC6" w:rsidRDefault="00D82C87" w:rsidP="00E56AE8">
      <w:pPr>
        <w:pStyle w:val="VAHeadingLevel2"/>
        <w:spacing w:line="240" w:lineRule="auto"/>
      </w:pPr>
      <w:r w:rsidRPr="00243C66">
        <w:t>Financial Liabilities</w:t>
      </w:r>
    </w:p>
    <w:p w14:paraId="431BA9E9" w14:textId="77777777" w:rsidR="00D82C87" w:rsidRDefault="00D82C87" w:rsidP="00E56AE8">
      <w:pPr>
        <w:spacing w:line="240" w:lineRule="auto"/>
        <w:rPr>
          <w:rFonts w:eastAsia="Aptos" w:cs="Times New Roman"/>
          <w:color w:val="000000"/>
        </w:rPr>
      </w:pPr>
      <w:r w:rsidRPr="00243C66">
        <w:rPr>
          <w:rFonts w:eastAsia="Aptos" w:cs="Times New Roman"/>
          <w:color w:val="000000"/>
        </w:rPr>
        <w:t>Financial Liabilities are recognised in the Balance Sheet when the Authority becomes party to the contractual provisions of the financial instrument or, in the case of trade payables, when the goods or services have been received.  Financial liabilities are derecognised when the liability has been discharged</w:t>
      </w:r>
      <w:r>
        <w:rPr>
          <w:rFonts w:eastAsia="Aptos" w:cs="Times New Roman"/>
          <w:color w:val="000000"/>
        </w:rPr>
        <w:t xml:space="preserve">, </w:t>
      </w:r>
      <w:r w:rsidRPr="00712FC6">
        <w:rPr>
          <w:rFonts w:eastAsia="Aptos" w:cs="Times New Roman"/>
          <w:color w:val="000000"/>
        </w:rPr>
        <w:t>cancelled, or expires.  They are initially measured at fair value and subsequently at amortised cost unless designated at fair value through profit or loss.</w:t>
      </w:r>
    </w:p>
    <w:p w14:paraId="17521E3F" w14:textId="77777777" w:rsidR="00D82C87" w:rsidRDefault="00D82C87" w:rsidP="00E56AE8">
      <w:pPr>
        <w:spacing w:line="240" w:lineRule="auto"/>
        <w:rPr>
          <w:rFonts w:eastAsia="Aptos" w:cs="Times New Roman"/>
          <w:color w:val="000000"/>
        </w:rPr>
      </w:pPr>
    </w:p>
    <w:p w14:paraId="445F1F1E" w14:textId="77777777" w:rsidR="00D82C87" w:rsidRPr="00712FC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712FC6">
        <w:rPr>
          <w:rFonts w:eastAsia="Times New Roman" w:cs="Times New Roman"/>
          <w:b/>
          <w:bCs/>
          <w:color w:val="25316C"/>
          <w:sz w:val="24"/>
        </w:rPr>
        <w:t>6) Financial Assets at Amortised Cost </w:t>
      </w:r>
    </w:p>
    <w:p w14:paraId="10399FA3" w14:textId="77777777" w:rsidR="00D82C87" w:rsidRDefault="00D82C87" w:rsidP="00E56AE8">
      <w:pPr>
        <w:spacing w:line="240" w:lineRule="auto"/>
        <w:rPr>
          <w:rFonts w:eastAsia="Aptos" w:cs="Times New Roman"/>
          <w:color w:val="000000"/>
        </w:rPr>
      </w:pPr>
    </w:p>
    <w:p w14:paraId="0DADEC9C"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Financial assets classified at amortised cost are non-derivative instruments that meet the following conditions: </w:t>
      </w:r>
    </w:p>
    <w:p w14:paraId="645ADF95" w14:textId="77777777" w:rsidR="00D82C87" w:rsidRPr="00712FC6" w:rsidRDefault="00D82C87" w:rsidP="00E56AE8">
      <w:pPr>
        <w:pStyle w:val="RedBullet"/>
        <w:spacing w:line="240" w:lineRule="auto"/>
        <w:rPr>
          <w:rFonts w:eastAsia="Aptos"/>
        </w:rPr>
      </w:pPr>
      <w:r w:rsidRPr="00712FC6">
        <w:rPr>
          <w:rFonts w:eastAsia="Aptos"/>
        </w:rPr>
        <w:t>The asset is held within a business model whose objective is to hold financial assets to collect contractual cash flows; and </w:t>
      </w:r>
    </w:p>
    <w:p w14:paraId="0D4038D7" w14:textId="44F5A639" w:rsidR="00D82C87" w:rsidRPr="00712FC6" w:rsidRDefault="00D82C87" w:rsidP="00E56AE8">
      <w:pPr>
        <w:pStyle w:val="RedBullet"/>
        <w:spacing w:line="240" w:lineRule="auto"/>
        <w:rPr>
          <w:rFonts w:eastAsia="Aptos"/>
        </w:rPr>
      </w:pPr>
      <w:r w:rsidRPr="00712FC6">
        <w:rPr>
          <w:rFonts w:eastAsia="Aptos"/>
        </w:rPr>
        <w:t>The contractual terms give rise on specified dates to cash flows that are solely payments of principal and interest (SPPI) on the principal amount outstanding </w:t>
      </w:r>
    </w:p>
    <w:p w14:paraId="73D13E2F" w14:textId="1EF6C31C" w:rsidR="00D82C87" w:rsidRDefault="00D82C87" w:rsidP="00E56AE8">
      <w:pPr>
        <w:pStyle w:val="RedBullet"/>
        <w:spacing w:line="240" w:lineRule="auto"/>
        <w:rPr>
          <w:rFonts w:eastAsia="Aptos"/>
        </w:rPr>
      </w:pPr>
      <w:r w:rsidRPr="00712FC6">
        <w:rPr>
          <w:rFonts w:eastAsia="Aptos"/>
        </w:rPr>
        <w:t>After initial recognition at fair value plus transaction costs, these assets are measured at amortised cost using the effective interest method.  Interest income is recognised using the same method over the expected life of the asset </w:t>
      </w:r>
    </w:p>
    <w:p w14:paraId="3D4B861D" w14:textId="77777777" w:rsidR="00D82C87" w:rsidRPr="00712FC6" w:rsidRDefault="00D82C87" w:rsidP="00E56AE8">
      <w:pPr>
        <w:spacing w:line="240" w:lineRule="auto"/>
        <w:rPr>
          <w:rFonts w:eastAsia="Aptos" w:cs="Times New Roman"/>
          <w:color w:val="000000"/>
        </w:rPr>
      </w:pPr>
    </w:p>
    <w:p w14:paraId="1564D5E3" w14:textId="77777777" w:rsidR="00D82C87" w:rsidRPr="00712FC6" w:rsidRDefault="00D82C87" w:rsidP="00E56AE8">
      <w:pPr>
        <w:pStyle w:val="VAHeadingLevel2"/>
        <w:spacing w:line="240" w:lineRule="auto"/>
      </w:pPr>
      <w:r w:rsidRPr="00712FC6">
        <w:t>Fair Value Measurement </w:t>
      </w:r>
    </w:p>
    <w:p w14:paraId="586E26A7" w14:textId="77777777" w:rsidR="00D82C87" w:rsidRDefault="00D82C87" w:rsidP="00E56AE8">
      <w:pPr>
        <w:spacing w:line="240" w:lineRule="auto"/>
        <w:rPr>
          <w:rFonts w:eastAsia="Aptos" w:cs="Times New Roman"/>
          <w:color w:val="000000"/>
        </w:rPr>
      </w:pPr>
      <w:r w:rsidRPr="00712FC6">
        <w:rPr>
          <w:rFonts w:eastAsia="Aptos" w:cs="Times New Roman"/>
          <w:color w:val="000000"/>
        </w:rPr>
        <w:t>Fair value is determined by reference to quoted market prices</w:t>
      </w:r>
      <w:r>
        <w:rPr>
          <w:rFonts w:eastAsia="Aptos" w:cs="Times New Roman"/>
          <w:color w:val="000000"/>
        </w:rPr>
        <w:t>,</w:t>
      </w:r>
      <w:r w:rsidRPr="00712FC6">
        <w:rPr>
          <w:rFonts w:eastAsia="Aptos" w:cs="Times New Roman"/>
          <w:color w:val="000000"/>
        </w:rPr>
        <w:t> where available, or, if not, by using valuation techniques based on observable market data and comparable arm’s-length transactions. </w:t>
      </w:r>
    </w:p>
    <w:p w14:paraId="14CDAF8F" w14:textId="77777777" w:rsidR="00D82C87" w:rsidRPr="00712FC6" w:rsidRDefault="00D82C87" w:rsidP="00E56AE8">
      <w:pPr>
        <w:spacing w:line="240" w:lineRule="auto"/>
        <w:rPr>
          <w:rFonts w:eastAsia="Aptos" w:cs="Times New Roman"/>
          <w:color w:val="000000"/>
        </w:rPr>
      </w:pPr>
    </w:p>
    <w:p w14:paraId="31D4C117" w14:textId="77777777" w:rsidR="00D82C87" w:rsidRPr="00712FC6" w:rsidRDefault="00D82C87" w:rsidP="00E56AE8">
      <w:pPr>
        <w:pStyle w:val="VAHeadingLevel2"/>
        <w:spacing w:line="240" w:lineRule="auto"/>
      </w:pPr>
      <w:r w:rsidRPr="00712FC6">
        <w:t>Effective Interest Rate </w:t>
      </w:r>
    </w:p>
    <w:p w14:paraId="4A00556A" w14:textId="77777777" w:rsidR="00D82C87" w:rsidRDefault="00D82C87" w:rsidP="00E56AE8">
      <w:pPr>
        <w:spacing w:line="240" w:lineRule="auto"/>
        <w:rPr>
          <w:rFonts w:eastAsia="Aptos" w:cs="Times New Roman"/>
          <w:color w:val="000000"/>
        </w:rPr>
      </w:pPr>
      <w:r w:rsidRPr="00712FC6">
        <w:rPr>
          <w:rFonts w:eastAsia="Aptos" w:cs="Times New Roman"/>
          <w:color w:val="000000"/>
        </w:rPr>
        <w:t>The effective interest rate is the rate that exactly discounts estimated future cash flows through the expected life of the financial asset to its gross carrying amount. </w:t>
      </w:r>
    </w:p>
    <w:p w14:paraId="09D996FB" w14:textId="77777777" w:rsidR="00D82C87" w:rsidRPr="00712FC6" w:rsidRDefault="00D82C87" w:rsidP="00E56AE8">
      <w:pPr>
        <w:spacing w:line="240" w:lineRule="auto"/>
        <w:rPr>
          <w:rFonts w:eastAsia="Aptos" w:cs="Times New Roman"/>
          <w:color w:val="000000"/>
        </w:rPr>
      </w:pPr>
    </w:p>
    <w:p w14:paraId="7B81DBFE" w14:textId="77777777" w:rsidR="00D82C87" w:rsidRPr="00712FC6" w:rsidRDefault="00D82C87" w:rsidP="00E56AE8">
      <w:pPr>
        <w:pStyle w:val="VAHeadingLevel2"/>
        <w:spacing w:line="240" w:lineRule="auto"/>
      </w:pPr>
      <w:r w:rsidRPr="00712FC6">
        <w:t>Impairment </w:t>
      </w:r>
    </w:p>
    <w:p w14:paraId="3FE1A40C"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At each reporting date, the Authority assesses financial assets measured at amortised cost for impairment using the expected credit loss (ECL) model.  ECLs are recognised in the Comprehensive Income and Expenditure Statement and reflect forward-looking estimates of credit risk. </w:t>
      </w:r>
    </w:p>
    <w:p w14:paraId="4E5F351A" w14:textId="77777777" w:rsidR="00D82C87" w:rsidRDefault="00D82C87" w:rsidP="00E56AE8">
      <w:pPr>
        <w:spacing w:line="240" w:lineRule="auto"/>
        <w:rPr>
          <w:rFonts w:eastAsia="Aptos" w:cs="Times New Roman"/>
          <w:color w:val="000000"/>
        </w:rPr>
      </w:pPr>
      <w:r w:rsidRPr="00712FC6">
        <w:rPr>
          <w:rFonts w:eastAsia="Aptos" w:cs="Times New Roman"/>
          <w:color w:val="000000"/>
        </w:rPr>
        <w:t>The impairment loss is measured as the difference between the asset’s carrying amount and the present value of expected future cash flows discounted at the original effective interest rate.  Losses are recognised by reducing the carrying amount of the asset directly. </w:t>
      </w:r>
    </w:p>
    <w:p w14:paraId="358510FF" w14:textId="77777777" w:rsidR="00D82C87" w:rsidRPr="00712FC6" w:rsidRDefault="00D82C87" w:rsidP="00E56AE8">
      <w:pPr>
        <w:spacing w:line="240" w:lineRule="auto"/>
        <w:rPr>
          <w:rFonts w:eastAsia="Aptos" w:cs="Times New Roman"/>
          <w:color w:val="000000"/>
        </w:rPr>
      </w:pPr>
    </w:p>
    <w:p w14:paraId="4CE9C55A"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If, in a subsequent period, the amount of the impairment loss decreases and the reduction can be objectively related to an event occurring after the impairment was recognised, the previously recognised loss is reversed through income, provided the carrying amount does not exceed what the amortised cost would have been had no impairment been recognised.</w:t>
      </w:r>
    </w:p>
    <w:p w14:paraId="3F44E8CF" w14:textId="77777777" w:rsidR="00D82C87" w:rsidRPr="00243C66" w:rsidRDefault="00D82C87" w:rsidP="00E56AE8">
      <w:pPr>
        <w:spacing w:line="240" w:lineRule="auto"/>
        <w:rPr>
          <w:rFonts w:eastAsia="Aptos" w:cs="Times New Roman"/>
          <w:color w:val="000000"/>
        </w:rPr>
      </w:pPr>
    </w:p>
    <w:p w14:paraId="51A4223E" w14:textId="77777777" w:rsidR="00D82C87" w:rsidRPr="00243C66" w:rsidRDefault="00D82C87" w:rsidP="00E56AE8">
      <w:pPr>
        <w:spacing w:line="240" w:lineRule="auto"/>
        <w:jc w:val="left"/>
        <w:rPr>
          <w:rFonts w:eastAsia="Times New Roman" w:cs="Times New Roman"/>
          <w:b/>
          <w:bCs/>
          <w:color w:val="25316C"/>
          <w:sz w:val="24"/>
        </w:rPr>
      </w:pPr>
      <w:r w:rsidRPr="00243C66">
        <w:rPr>
          <w:rFonts w:eastAsia="Times New Roman" w:cs="Times New Roman"/>
          <w:b/>
          <w:bCs/>
          <w:color w:val="25316C"/>
          <w:sz w:val="24"/>
        </w:rPr>
        <w:lastRenderedPageBreak/>
        <w:t xml:space="preserve">7) Government Grants and Contributions </w:t>
      </w:r>
    </w:p>
    <w:p w14:paraId="20C28495" w14:textId="77777777" w:rsidR="00D82C87" w:rsidRPr="00243C66" w:rsidRDefault="00D82C87" w:rsidP="00E56AE8">
      <w:pPr>
        <w:autoSpaceDE w:val="0"/>
        <w:autoSpaceDN w:val="0"/>
        <w:adjustRightInd w:val="0"/>
        <w:spacing w:line="240" w:lineRule="auto"/>
        <w:rPr>
          <w:rFonts w:eastAsia="Times New Roman" w:cs="Calibri"/>
          <w:b/>
          <w:bCs/>
          <w:color w:val="990032"/>
          <w:sz w:val="22"/>
          <w:szCs w:val="22"/>
          <w:lang w:eastAsia="en-GB"/>
        </w:rPr>
      </w:pPr>
    </w:p>
    <w:p w14:paraId="61651CB9"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Revenue grants and contributions are credited to the CIES in the same period as the expenditure to which they relate.  Capital grants are credited to income once any conditions of the grant have been satisfied.  Assets purchased from government grants are valued, Depreciated and Impaired as described for purchased assets. </w:t>
      </w:r>
    </w:p>
    <w:p w14:paraId="7F0BC1D1" w14:textId="77777777" w:rsidR="00D82C87" w:rsidRPr="00243C66" w:rsidRDefault="00D82C87" w:rsidP="00E56AE8">
      <w:pPr>
        <w:spacing w:line="240" w:lineRule="auto"/>
        <w:rPr>
          <w:rFonts w:eastAsia="Aptos" w:cs="Times New Roman"/>
          <w:color w:val="000000"/>
        </w:rPr>
      </w:pPr>
    </w:p>
    <w:p w14:paraId="01175C40"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 xml:space="preserve">8) Intangible Fixed Assets </w:t>
      </w:r>
    </w:p>
    <w:p w14:paraId="783AB752" w14:textId="77777777" w:rsidR="00D82C87" w:rsidRPr="00243C66" w:rsidRDefault="00D82C87" w:rsidP="00E56AE8">
      <w:pPr>
        <w:spacing w:line="240" w:lineRule="auto"/>
        <w:rPr>
          <w:rFonts w:eastAsia="Aptos" w:cs="Calibri"/>
          <w:color w:val="000000"/>
        </w:rPr>
      </w:pPr>
    </w:p>
    <w:p w14:paraId="7F97CE35" w14:textId="77777777" w:rsidR="00D82C87" w:rsidRDefault="00D82C87" w:rsidP="00E56AE8">
      <w:pPr>
        <w:spacing w:line="240" w:lineRule="auto"/>
        <w:rPr>
          <w:rFonts w:eastAsia="Aptos" w:cs="Times New Roman"/>
          <w:color w:val="000000"/>
        </w:rPr>
      </w:pPr>
      <w:r w:rsidRPr="00712FC6">
        <w:rPr>
          <w:rFonts w:eastAsia="Aptos" w:cs="Times New Roman"/>
          <w:color w:val="000000"/>
        </w:rPr>
        <w:t>Intangible assets include software licences and agreements that are capitalised at cost.  These are amortised on a straight-line basis over their estimated useful life unless the asset is assessed as having an indefinite useful life.  Assets with indefinite useful lives are not amortised but are assessed annually for impairment, in accordance with IAS 38.</w:t>
      </w:r>
    </w:p>
    <w:p w14:paraId="7DCEB193" w14:textId="77777777" w:rsidR="00D82C87" w:rsidRPr="00712FC6" w:rsidRDefault="00D82C87" w:rsidP="00E56AE8">
      <w:pPr>
        <w:spacing w:line="240" w:lineRule="auto"/>
        <w:rPr>
          <w:rFonts w:eastAsia="Aptos" w:cs="Times New Roman"/>
          <w:color w:val="000000"/>
        </w:rPr>
      </w:pPr>
    </w:p>
    <w:p w14:paraId="7D7F4B03" w14:textId="77777777" w:rsidR="00D82C87" w:rsidRDefault="00D82C87" w:rsidP="00E56AE8">
      <w:pPr>
        <w:spacing w:line="240" w:lineRule="auto"/>
        <w:rPr>
          <w:rFonts w:eastAsia="Aptos" w:cs="Times New Roman"/>
          <w:color w:val="000000"/>
        </w:rPr>
      </w:pPr>
      <w:r w:rsidRPr="00712FC6">
        <w:rPr>
          <w:rFonts w:eastAsia="Aptos" w:cs="Times New Roman"/>
          <w:color w:val="000000"/>
        </w:rPr>
        <w:t xml:space="preserve">As the amortisation charge is not an allowable charge against council tax, it is neutralised by an adjustment between </w:t>
      </w:r>
      <w:r>
        <w:rPr>
          <w:rFonts w:eastAsia="Aptos" w:cs="Times New Roman"/>
          <w:color w:val="000000"/>
        </w:rPr>
        <w:t>“</w:t>
      </w:r>
      <w:r w:rsidRPr="00712FC6">
        <w:rPr>
          <w:rFonts w:eastAsia="Aptos" w:cs="Times New Roman"/>
          <w:color w:val="000000"/>
        </w:rPr>
        <w:t>Accounting Basis and Funding Basis under Regulation</w:t>
      </w:r>
      <w:r>
        <w:rPr>
          <w:rFonts w:eastAsia="Aptos" w:cs="Times New Roman"/>
          <w:color w:val="000000"/>
        </w:rPr>
        <w:t>”</w:t>
      </w:r>
      <w:r w:rsidRPr="00712FC6">
        <w:rPr>
          <w:rFonts w:eastAsia="Aptos" w:cs="Times New Roman"/>
          <w:color w:val="000000"/>
        </w:rPr>
        <w:t>, with the corresponding entry in the Capital Adjustments Account. </w:t>
      </w:r>
    </w:p>
    <w:p w14:paraId="176DA09D" w14:textId="77777777" w:rsidR="00D82C87" w:rsidRPr="00712FC6" w:rsidRDefault="00D82C87" w:rsidP="00E56AE8">
      <w:pPr>
        <w:spacing w:line="240" w:lineRule="auto"/>
        <w:rPr>
          <w:rFonts w:eastAsia="Aptos" w:cs="Times New Roman"/>
          <w:color w:val="000000"/>
        </w:rPr>
      </w:pPr>
    </w:p>
    <w:p w14:paraId="63B75783"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Internally generated intangible assets are measured at cost during their development phase (including project staff, physical equipment, and associated costs necessary to bring the asset into use).  When the asset becomes operational, it is assessed for impairment based on its recoverable amount or service potential. </w:t>
      </w:r>
    </w:p>
    <w:p w14:paraId="0BA52A70"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Additions to intangible assets are added to the carrying amount and amortised over the remaining useful economic life, where the recognition criteria are met. </w:t>
      </w:r>
    </w:p>
    <w:p w14:paraId="5A59C91A"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In accordance with IAS 38, intangible assets that are Authority-specific or for which no active market exists are measured at cost less accumulated amortisation and impairment.  The useful life of each asset is reviewed annually, and if an asset is determined to have an indefinite useful life, it will not be amortised but will be subject to annual impairment testing. </w:t>
      </w:r>
    </w:p>
    <w:p w14:paraId="4184D00C" w14:textId="77777777" w:rsidR="00D82C87" w:rsidRPr="00243C66" w:rsidRDefault="00D82C87" w:rsidP="00E56AE8">
      <w:pPr>
        <w:spacing w:line="240" w:lineRule="auto"/>
        <w:rPr>
          <w:rFonts w:eastAsia="Aptos" w:cs="Times New Roman"/>
          <w:color w:val="000000"/>
        </w:rPr>
      </w:pPr>
    </w:p>
    <w:p w14:paraId="1F2E41E4"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 xml:space="preserve">9) Tangible Fixed Assets Recognition </w:t>
      </w:r>
    </w:p>
    <w:p w14:paraId="4CA28006" w14:textId="77777777" w:rsidR="00D82C87" w:rsidRPr="00243C66" w:rsidRDefault="00D82C87" w:rsidP="00E56AE8">
      <w:pPr>
        <w:spacing w:line="240" w:lineRule="auto"/>
        <w:rPr>
          <w:lang w:eastAsia="en-GB"/>
        </w:rPr>
      </w:pPr>
    </w:p>
    <w:p w14:paraId="111648DD"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 xml:space="preserve">All expenditure (subject to a de minimis of £10k) on the acquisition, creation or enhancement of fixed assets is capitalised in accordance with IAS 16 (Recognition, Revaluation &amp; Measurement of Tangible Fixed Assets).  Subsequent capital expenditure is capitalised where it provides an enhancement of the economic benefits of the asset in excess of those previously assessed. </w:t>
      </w:r>
    </w:p>
    <w:p w14:paraId="1EF6023B" w14:textId="77777777" w:rsidR="00D82C87" w:rsidRPr="00243C66" w:rsidRDefault="00D82C87" w:rsidP="00E56AE8">
      <w:pPr>
        <w:spacing w:line="240" w:lineRule="auto"/>
        <w:rPr>
          <w:rFonts w:eastAsia="Aptos" w:cs="Times New Roman"/>
          <w:color w:val="000000"/>
          <w:lang w:eastAsia="en-GB"/>
        </w:rPr>
      </w:pPr>
    </w:p>
    <w:p w14:paraId="5EC050E5"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Where assets are bought into fixed assets </w:t>
      </w:r>
      <w:proofErr w:type="gramStart"/>
      <w:r w:rsidRPr="00243C66">
        <w:rPr>
          <w:rFonts w:eastAsia="Aptos" w:cs="Times New Roman"/>
          <w:color w:val="000000"/>
        </w:rPr>
        <w:t xml:space="preserve">from </w:t>
      </w:r>
      <w:r>
        <w:rPr>
          <w:rFonts w:eastAsia="Aptos" w:cs="Times New Roman"/>
          <w:color w:val="000000"/>
        </w:rPr>
        <w:t>”</w:t>
      </w:r>
      <w:r w:rsidRPr="00243C66">
        <w:rPr>
          <w:rFonts w:eastAsia="Aptos" w:cs="Times New Roman"/>
          <w:color w:val="000000"/>
        </w:rPr>
        <w:t>assets</w:t>
      </w:r>
      <w:proofErr w:type="gramEnd"/>
      <w:r w:rsidRPr="00243C66">
        <w:rPr>
          <w:rFonts w:eastAsia="Aptos" w:cs="Times New Roman"/>
          <w:color w:val="000000"/>
        </w:rPr>
        <w:t xml:space="preserve"> under construction</w:t>
      </w:r>
      <w:r>
        <w:rPr>
          <w:rFonts w:eastAsia="Aptos" w:cs="Times New Roman"/>
          <w:color w:val="000000"/>
        </w:rPr>
        <w:t>”</w:t>
      </w:r>
      <w:r w:rsidRPr="00243C66">
        <w:rPr>
          <w:rFonts w:eastAsia="Aptos" w:cs="Times New Roman"/>
          <w:color w:val="000000"/>
        </w:rPr>
        <w:t xml:space="preserve">, these will be valued using the appropriate methodology, including componentisation as applicable.  </w:t>
      </w:r>
      <w:r w:rsidRPr="00243C66">
        <w:rPr>
          <w:rFonts w:eastAsia="Aptos" w:cs="Times New Roman"/>
          <w:color w:val="000000"/>
          <w:lang w:eastAsia="en-GB"/>
        </w:rPr>
        <w:t xml:space="preserve">The Accounting Basis and Funding Basis under Regulations will be used, with the corresponding entry to the Capital Adjustment Account. </w:t>
      </w:r>
    </w:p>
    <w:p w14:paraId="12EC5BA1" w14:textId="77777777" w:rsidR="00D82C87" w:rsidRPr="00243C66" w:rsidRDefault="00D82C87" w:rsidP="00E56AE8">
      <w:pPr>
        <w:spacing w:line="240" w:lineRule="auto"/>
        <w:rPr>
          <w:rFonts w:eastAsia="Aptos" w:cs="Times New Roman"/>
          <w:color w:val="000000"/>
          <w:lang w:eastAsia="en-GB"/>
        </w:rPr>
      </w:pPr>
    </w:p>
    <w:p w14:paraId="1083DB53"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Donated assets are recognised at their value and are defined in the CIPFA Code of Practice on Local Government Accounting as those assets that are transferred at nil value or acquired at less than Current Value.  Donated assets that are from other public bodies are accounted for as a government grant (as required by IAS 20).</w:t>
      </w:r>
    </w:p>
    <w:p w14:paraId="2D81BC98" w14:textId="77777777" w:rsidR="00D82C87" w:rsidRPr="00243C66" w:rsidRDefault="00D82C87" w:rsidP="00E56AE8">
      <w:pPr>
        <w:spacing w:line="240" w:lineRule="auto"/>
        <w:rPr>
          <w:rFonts w:eastAsia="Aptos" w:cs="Times New Roman"/>
          <w:color w:val="000000"/>
        </w:rPr>
      </w:pPr>
    </w:p>
    <w:p w14:paraId="652CEAF5" w14:textId="77777777" w:rsidR="00D82C87" w:rsidRPr="00243C66" w:rsidRDefault="00D82C87" w:rsidP="00E56AE8">
      <w:pPr>
        <w:pStyle w:val="VAHeadingLevel2"/>
        <w:spacing w:line="240" w:lineRule="auto"/>
      </w:pPr>
      <w:r w:rsidRPr="00243C66">
        <w:t>Valuation</w:t>
      </w:r>
    </w:p>
    <w:p w14:paraId="073EADBF"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All property, plant and equipment are measured initially at cost, representing the cost attributable to acquiring or constructing the asset and bringing it to the location and condition necessary for it to be capable of operating in the manner intended by management.  All assets are measured subsequently at current value. </w:t>
      </w:r>
    </w:p>
    <w:p w14:paraId="0A9C2BB7" w14:textId="77777777" w:rsidR="00D82C87" w:rsidRPr="00243C66" w:rsidRDefault="00D82C87" w:rsidP="00E56AE8">
      <w:pPr>
        <w:spacing w:line="240" w:lineRule="auto"/>
        <w:rPr>
          <w:rFonts w:eastAsia="Aptos" w:cs="Times New Roman"/>
          <w:color w:val="000000"/>
        </w:rPr>
      </w:pPr>
    </w:p>
    <w:p w14:paraId="2445CF38"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Land and buildings used by the Authority are stated in the Balance Sheet at their re-valued amounts, being the current value at the date of valuation.  Revaluations are performed with sufficient regularity to ensure that </w:t>
      </w:r>
      <w:r w:rsidRPr="00243C66">
        <w:rPr>
          <w:rFonts w:eastAsia="Aptos" w:cs="Times New Roman"/>
          <w:color w:val="000000"/>
        </w:rPr>
        <w:lastRenderedPageBreak/>
        <w:t xml:space="preserve">carrying amounts are not materially different from those that would be determined at the end of the reporting period.  Current values are determined as follows: </w:t>
      </w:r>
    </w:p>
    <w:p w14:paraId="252B529D" w14:textId="77777777" w:rsidR="00D82C87" w:rsidRPr="00243C66" w:rsidRDefault="00D82C87" w:rsidP="00E56AE8">
      <w:pPr>
        <w:pStyle w:val="RedBullet"/>
        <w:spacing w:line="240" w:lineRule="auto"/>
      </w:pPr>
      <w:r w:rsidRPr="00243C66">
        <w:t>Operational Buildings – Depreciated replacement cost</w:t>
      </w:r>
    </w:p>
    <w:p w14:paraId="0A0D1E84" w14:textId="77777777" w:rsidR="00D82C87" w:rsidRPr="00243C66" w:rsidRDefault="00D82C87" w:rsidP="00E56AE8">
      <w:pPr>
        <w:pStyle w:val="RedBullet"/>
        <w:spacing w:line="240" w:lineRule="auto"/>
      </w:pPr>
      <w:r w:rsidRPr="00243C66">
        <w:t xml:space="preserve">Land and non-specialised buildings – Current value for existing use </w:t>
      </w:r>
    </w:p>
    <w:p w14:paraId="34585A63" w14:textId="77777777" w:rsidR="00D82C87" w:rsidRPr="00243C66" w:rsidRDefault="00D82C87" w:rsidP="00E56AE8">
      <w:pPr>
        <w:pStyle w:val="RedBullet"/>
        <w:spacing w:line="240" w:lineRule="auto"/>
      </w:pPr>
      <w:r w:rsidRPr="00243C66">
        <w:t>Vehicles, plant and equipment – Historic cost less accumulated depreciation (as a proxy for current replacement cost)</w:t>
      </w:r>
    </w:p>
    <w:p w14:paraId="3C9056CA" w14:textId="77777777" w:rsidR="00D82C87" w:rsidRPr="00243C66" w:rsidRDefault="00D82C87" w:rsidP="00E56AE8">
      <w:pPr>
        <w:spacing w:line="240" w:lineRule="auto"/>
        <w:ind w:left="284"/>
        <w:contextualSpacing/>
        <w:rPr>
          <w:rFonts w:ascii="Aptos" w:eastAsia="Calibri" w:hAnsi="Aptos" w:cs="Calibri"/>
          <w:color w:val="000000"/>
        </w:rPr>
      </w:pPr>
    </w:p>
    <w:p w14:paraId="085E6086" w14:textId="77777777" w:rsidR="00D82C87" w:rsidRDefault="00D82C87" w:rsidP="00E56AE8">
      <w:pPr>
        <w:spacing w:line="240" w:lineRule="auto"/>
        <w:rPr>
          <w:rFonts w:eastAsia="Aptos" w:cs="Times New Roman"/>
          <w:color w:val="000000"/>
        </w:rPr>
      </w:pPr>
      <w:r w:rsidRPr="00243C66">
        <w:rPr>
          <w:rFonts w:eastAsia="Aptos" w:cs="Times New Roman"/>
          <w:color w:val="000000"/>
        </w:rPr>
        <w:t xml:space="preserve">Properties in the course of construction are carried at cost, less any impairment loss.  Costs include professional fees but not borrowing costs, which are recognised as expenses immediately, as allowed by IAS 23 for assets held at current value.  Assets are revalued and depreciation commences when they are brought into use.  An increase arising on revaluation is taken to the Revaluation Reserve except when it reverses an impairment previously recognised in expenditure, in which case it is credited to expenditure to the extent of the decrease previously charged there.  A revaluation decrease is recognised as an impairment charged to the Revaluation Reserve to the extent that there is a balance on the Reserve for the asset, and, thereafter, to expenditure.  Gains and losses recognised in the Revaluation Reserve are reported as other comprehensive income in the CIES. </w:t>
      </w:r>
    </w:p>
    <w:p w14:paraId="27A99FB1" w14:textId="77777777" w:rsidR="00D82C87" w:rsidRDefault="00D82C87" w:rsidP="00E56AE8">
      <w:pPr>
        <w:spacing w:line="240" w:lineRule="auto"/>
        <w:rPr>
          <w:rFonts w:eastAsia="Aptos" w:cs="Times New Roman"/>
          <w:color w:val="000000"/>
        </w:rPr>
      </w:pPr>
    </w:p>
    <w:p w14:paraId="316006D1" w14:textId="77777777" w:rsidR="00D82C87" w:rsidRDefault="00D82C87" w:rsidP="00E56AE8">
      <w:pPr>
        <w:spacing w:line="240" w:lineRule="auto"/>
        <w:rPr>
          <w:rFonts w:eastAsia="Aptos" w:cs="Times New Roman"/>
          <w:color w:val="000000"/>
        </w:rPr>
      </w:pPr>
      <w:r w:rsidRPr="006D16E0">
        <w:rPr>
          <w:rFonts w:eastAsia="Aptos" w:cs="Times New Roman"/>
          <w:color w:val="000000"/>
        </w:rPr>
        <w:t>The Authority undertakes an annual review of the useful economic life assumptions applied to all categories of property, plant and equipment to ensure they remain appropriate and reflect the expected pattern of economic benefit consumption.  Adjustments are made where necessary.</w:t>
      </w:r>
    </w:p>
    <w:p w14:paraId="4BF25EA2" w14:textId="77777777" w:rsidR="00D82C87" w:rsidRDefault="00D82C87" w:rsidP="00E56AE8">
      <w:pPr>
        <w:spacing w:line="240" w:lineRule="auto"/>
        <w:rPr>
          <w:rFonts w:eastAsia="Aptos" w:cs="Times New Roman"/>
          <w:color w:val="000000"/>
        </w:rPr>
      </w:pPr>
    </w:p>
    <w:p w14:paraId="2C255D78" w14:textId="77777777" w:rsidR="00D82C87" w:rsidRPr="00BD7D13" w:rsidRDefault="00D82C87" w:rsidP="00E56AE8">
      <w:pPr>
        <w:pStyle w:val="VAHeadingLevel2"/>
        <w:spacing w:line="240" w:lineRule="auto"/>
      </w:pPr>
      <w:r w:rsidRPr="09A945BA">
        <w:t>Indexation of Non-Current Assets</w:t>
      </w:r>
    </w:p>
    <w:p w14:paraId="307F9EA9" w14:textId="77777777" w:rsidR="00D82C87" w:rsidRDefault="00D82C87" w:rsidP="00E56AE8">
      <w:pPr>
        <w:spacing w:line="240" w:lineRule="auto"/>
        <w:rPr>
          <w:rFonts w:eastAsia="Aptos" w:cs="Times New Roman"/>
        </w:rPr>
      </w:pPr>
      <w:r w:rsidRPr="5D04C032">
        <w:rPr>
          <w:rFonts w:eastAsia="Aptos" w:cs="Times New Roman"/>
        </w:rPr>
        <w:t xml:space="preserve">The </w:t>
      </w:r>
      <w:r>
        <w:rPr>
          <w:rFonts w:eastAsia="Aptos" w:cs="Times New Roman"/>
        </w:rPr>
        <w:t>A</w:t>
      </w:r>
      <w:r w:rsidRPr="5D04C032">
        <w:rPr>
          <w:rFonts w:eastAsia="Aptos" w:cs="Times New Roman"/>
        </w:rPr>
        <w:t xml:space="preserve">uthority will undertake a rolling programme of valuations for material property assets, with desktop valuations every third year, a full revaluation taking place every fifth year and Indexation being applied in all interim years.  The </w:t>
      </w:r>
      <w:r>
        <w:rPr>
          <w:rFonts w:eastAsia="Aptos" w:cs="Times New Roman"/>
        </w:rPr>
        <w:t>A</w:t>
      </w:r>
      <w:r w:rsidRPr="5D04C032">
        <w:rPr>
          <w:rFonts w:eastAsia="Aptos" w:cs="Times New Roman"/>
        </w:rPr>
        <w:t xml:space="preserve">uthority will apply appropriate indices to maintain the accuracy and relevance of asset valuations between formal revaluation cycles.  This includes using recognised and reliable indices relevant to each asset class to update carrying amounts in intervening years between scheduled revaluations.  Selected indices will reflect current market conditions, be applied consistently, and be supported by a documented rationale as part of the valuation process.  </w:t>
      </w:r>
    </w:p>
    <w:p w14:paraId="0EDF014C" w14:textId="77777777" w:rsidR="00590068" w:rsidRDefault="00590068" w:rsidP="00E56AE8">
      <w:pPr>
        <w:spacing w:line="240" w:lineRule="auto"/>
        <w:rPr>
          <w:rFonts w:eastAsia="Aptos" w:cs="Times New Roman"/>
        </w:rPr>
      </w:pPr>
    </w:p>
    <w:p w14:paraId="4CA422B3" w14:textId="77777777" w:rsidR="00D82C87" w:rsidRPr="00243C66" w:rsidRDefault="00D82C87" w:rsidP="00E56AE8">
      <w:pPr>
        <w:pStyle w:val="VAHeadingLevel2"/>
        <w:spacing w:line="240" w:lineRule="auto"/>
        <w:rPr>
          <w:lang w:eastAsia="en-GB"/>
        </w:rPr>
      </w:pPr>
      <w:bookmarkStart w:id="253" w:name="_Hlk190767806"/>
      <w:r w:rsidRPr="00243C66">
        <w:rPr>
          <w:lang w:eastAsia="en-GB"/>
        </w:rPr>
        <w:t xml:space="preserve">Disposals </w:t>
      </w:r>
    </w:p>
    <w:bookmarkEnd w:id="253"/>
    <w:p w14:paraId="4FD3FC60" w14:textId="77777777" w:rsidR="00D82C87" w:rsidRPr="00243C66" w:rsidRDefault="00D82C87" w:rsidP="00E56AE8">
      <w:pPr>
        <w:spacing w:line="240" w:lineRule="auto"/>
        <w:rPr>
          <w:rFonts w:eastAsia="Aptos" w:cs="Times New Roman"/>
          <w:color w:val="000000"/>
          <w:lang w:eastAsia="en-GB"/>
        </w:rPr>
      </w:pPr>
      <w:r w:rsidRPr="003A779A">
        <w:rPr>
          <w:bCs/>
          <w:color w:val="000000"/>
          <w:lang w:eastAsia="en-GB"/>
        </w:rPr>
        <w:t>The gain or loss on disposal is the amount by which the disposal proceeds are more or less than the carrying</w:t>
      </w:r>
      <w:r w:rsidRPr="00243C66">
        <w:rPr>
          <w:rFonts w:eastAsia="Aptos" w:cs="Times New Roman"/>
          <w:color w:val="000000"/>
          <w:lang w:eastAsia="en-GB"/>
        </w:rPr>
        <w:t xml:space="preserve"> amount (net book value) of the fixed asset.  The CIES recognise this gain or loss. </w:t>
      </w:r>
    </w:p>
    <w:p w14:paraId="1285D66E" w14:textId="77777777" w:rsidR="00D82C87" w:rsidRPr="00243C66" w:rsidRDefault="00D82C87" w:rsidP="00E56AE8">
      <w:pPr>
        <w:spacing w:line="240" w:lineRule="auto"/>
        <w:rPr>
          <w:rFonts w:eastAsia="Aptos" w:cs="Times New Roman"/>
          <w:color w:val="000000"/>
          <w:lang w:eastAsia="en-GB"/>
        </w:rPr>
      </w:pPr>
    </w:p>
    <w:p w14:paraId="337FEE7D"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 xml:space="preserve">In order that this gain or loss is excluded from the charge to council tax, it is neutralised in the Accounting Adjustments between Accounting Basis and Funding Basis under Regulation. </w:t>
      </w:r>
    </w:p>
    <w:p w14:paraId="4DECF18C" w14:textId="77777777" w:rsidR="00D82C87" w:rsidRPr="00243C66" w:rsidRDefault="00D82C87" w:rsidP="00E56AE8">
      <w:pPr>
        <w:spacing w:line="240" w:lineRule="auto"/>
        <w:rPr>
          <w:rFonts w:eastAsia="Aptos" w:cs="Times New Roman"/>
          <w:color w:val="000000"/>
          <w:lang w:eastAsia="en-GB"/>
        </w:rPr>
      </w:pPr>
    </w:p>
    <w:p w14:paraId="15FB7449"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 xml:space="preserve">If, however, the asset is carried at current value, in addition to the entries above, the balance on the revaluation reserve in respect of asset disposals is written off to the Capital Adjustment Account.  In most cases the asset will be revalued to </w:t>
      </w:r>
      <w:proofErr w:type="gramStart"/>
      <w:r w:rsidRPr="00243C66">
        <w:rPr>
          <w:rFonts w:eastAsia="Aptos" w:cs="Times New Roman"/>
          <w:color w:val="000000"/>
          <w:lang w:eastAsia="en-GB"/>
        </w:rPr>
        <w:t>its</w:t>
      </w:r>
      <w:proofErr w:type="gramEnd"/>
      <w:r w:rsidRPr="00243C66">
        <w:rPr>
          <w:rFonts w:eastAsia="Aptos" w:cs="Times New Roman"/>
          <w:color w:val="000000"/>
          <w:lang w:eastAsia="en-GB"/>
        </w:rPr>
        <w:t xml:space="preserve"> carrying value at the point of disposal so there will be no profit or loss, unless there is an unamortised grant attached to the asset, which will be released to the CIES in full, resulting in a profit on disposal.  </w:t>
      </w:r>
    </w:p>
    <w:p w14:paraId="6AA8C1A0" w14:textId="77777777" w:rsidR="00D82C87" w:rsidRPr="00243C66" w:rsidRDefault="00D82C87" w:rsidP="00E56AE8">
      <w:pPr>
        <w:spacing w:line="240" w:lineRule="auto"/>
        <w:rPr>
          <w:rFonts w:eastAsia="Aptos" w:cs="Times New Roman"/>
          <w:color w:val="000000"/>
          <w:lang w:eastAsia="en-GB"/>
        </w:rPr>
      </w:pPr>
    </w:p>
    <w:p w14:paraId="6718FE4D"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The Authority undertakes regular reviews of all its assets to verify that they still are in use and will provide an economic benefit to the Authority.  A non-property asset that is due to last 5 years will incur depreciation for each of those five years and have a £0 balance at the end of the 5 years but will still be recorded in the asset register after these five years if it still exists and provides an economic benefit to the authority.</w:t>
      </w:r>
      <w:r w:rsidRPr="00712FC6">
        <w:rPr>
          <w:rFonts w:ascii="Aptos" w:hAnsi="Aptos"/>
          <w:color w:val="000000"/>
        </w:rPr>
        <w:t xml:space="preserve">  </w:t>
      </w:r>
      <w:r w:rsidRPr="00712FC6">
        <w:rPr>
          <w:rFonts w:eastAsia="Aptos" w:cs="Times New Roman"/>
          <w:color w:val="000000"/>
        </w:rPr>
        <w:t xml:space="preserve">If the economic benefit remaining is material, then the asset will be revalued and </w:t>
      </w:r>
      <w:r>
        <w:rPr>
          <w:rFonts w:eastAsia="Aptos" w:cs="Times New Roman"/>
          <w:color w:val="000000"/>
        </w:rPr>
        <w:t xml:space="preserve">its useful life adjusted </w:t>
      </w:r>
      <w:r w:rsidRPr="00712FC6">
        <w:rPr>
          <w:rFonts w:eastAsia="Aptos" w:cs="Times New Roman"/>
          <w:color w:val="000000"/>
        </w:rPr>
        <w:t>to reflect the expected economic benefit to the authority.</w:t>
      </w:r>
    </w:p>
    <w:p w14:paraId="44E0AE62" w14:textId="77777777" w:rsidR="00D82C87" w:rsidRPr="00243C66" w:rsidRDefault="00D82C87" w:rsidP="00E56AE8">
      <w:pPr>
        <w:spacing w:line="240" w:lineRule="auto"/>
        <w:rPr>
          <w:rFonts w:eastAsia="Aptos" w:cs="Times New Roman"/>
          <w:color w:val="000000"/>
        </w:rPr>
      </w:pPr>
    </w:p>
    <w:p w14:paraId="7A8EBA58" w14:textId="77777777" w:rsidR="00D82C87" w:rsidRPr="00243C66" w:rsidRDefault="00D82C87" w:rsidP="00E56AE8">
      <w:pPr>
        <w:pStyle w:val="VAHeadingLevel2"/>
        <w:spacing w:line="240" w:lineRule="auto"/>
      </w:pPr>
      <w:r w:rsidRPr="00243C66">
        <w:t xml:space="preserve">Componentisation </w:t>
      </w:r>
    </w:p>
    <w:p w14:paraId="508FAC84"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Where an item of Property, Plant and Equipment has major components with cost and lifespan significantly different from the rest, the components are depreciated separately. </w:t>
      </w:r>
    </w:p>
    <w:p w14:paraId="32DA292F" w14:textId="77777777" w:rsidR="00D82C87" w:rsidRPr="00243C66" w:rsidRDefault="00D82C87" w:rsidP="00E56AE8">
      <w:pPr>
        <w:spacing w:line="240" w:lineRule="auto"/>
        <w:rPr>
          <w:rFonts w:eastAsia="Aptos" w:cs="Times New Roman"/>
          <w:color w:val="000000"/>
        </w:rPr>
      </w:pPr>
    </w:p>
    <w:p w14:paraId="766AB2C2"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criteria for componentisation are as follows: </w:t>
      </w:r>
    </w:p>
    <w:p w14:paraId="7658AFA3" w14:textId="77777777" w:rsidR="00D82C87" w:rsidRPr="00243C66" w:rsidRDefault="00D82C87" w:rsidP="00E56AE8">
      <w:pPr>
        <w:pStyle w:val="RedBullet"/>
        <w:spacing w:line="240" w:lineRule="auto"/>
      </w:pPr>
      <w:r w:rsidRPr="00243C66">
        <w:t xml:space="preserve">A de-minimis level on implementation is set at £600,000 on the net book value of any asset </w:t>
      </w:r>
    </w:p>
    <w:p w14:paraId="43570776" w14:textId="77777777" w:rsidR="00D82C87" w:rsidRPr="00243C66" w:rsidRDefault="00D82C87" w:rsidP="00E56AE8">
      <w:pPr>
        <w:pStyle w:val="RedBullet"/>
        <w:spacing w:line="240" w:lineRule="auto"/>
      </w:pPr>
      <w:r w:rsidRPr="00243C66">
        <w:t xml:space="preserve">Any single component must exceed £100,000 in value </w:t>
      </w:r>
    </w:p>
    <w:p w14:paraId="5525A17A" w14:textId="77777777" w:rsidR="00D82C87" w:rsidRPr="009D0485" w:rsidRDefault="00D82C87" w:rsidP="00E56AE8">
      <w:pPr>
        <w:autoSpaceDE w:val="0"/>
        <w:autoSpaceDN w:val="0"/>
        <w:adjustRightInd w:val="0"/>
        <w:spacing w:line="240" w:lineRule="auto"/>
        <w:rPr>
          <w:rFonts w:eastAsia="Aptos" w:cs="Times New Roman"/>
          <w:color w:val="000000"/>
        </w:rPr>
      </w:pPr>
      <w:r w:rsidRPr="009D0485">
        <w:rPr>
          <w:rFonts w:eastAsia="Aptos" w:cs="Times New Roman"/>
          <w:color w:val="000000"/>
        </w:rPr>
        <w:t xml:space="preserve">Provided that both of these criteria are met the asset will be split into the appropriate components based on its type. </w:t>
      </w:r>
    </w:p>
    <w:p w14:paraId="1FB0B2A5" w14:textId="77777777" w:rsidR="00D82C87" w:rsidRPr="00243C66" w:rsidRDefault="00D82C87" w:rsidP="00E56AE8">
      <w:pPr>
        <w:autoSpaceDE w:val="0"/>
        <w:autoSpaceDN w:val="0"/>
        <w:adjustRightInd w:val="0"/>
        <w:spacing w:line="240" w:lineRule="auto"/>
        <w:rPr>
          <w:rFonts w:eastAsia="Times New Roman" w:cs="Calibri"/>
          <w:color w:val="000000"/>
          <w:sz w:val="22"/>
          <w:szCs w:val="22"/>
          <w:lang w:eastAsia="en-GB"/>
        </w:rPr>
      </w:pPr>
    </w:p>
    <w:p w14:paraId="58C217F1" w14:textId="77777777" w:rsidR="00D82C87" w:rsidRDefault="00D82C87" w:rsidP="00E56AE8">
      <w:pPr>
        <w:spacing w:line="240" w:lineRule="auto"/>
        <w:jc w:val="left"/>
        <w:rPr>
          <w:rFonts w:eastAsia="Times New Roman" w:cs="Times New Roman"/>
          <w:b/>
          <w:bCs/>
          <w:color w:val="25316C"/>
          <w:sz w:val="24"/>
        </w:rPr>
      </w:pPr>
      <w:r w:rsidRPr="00243C66">
        <w:rPr>
          <w:rFonts w:eastAsia="Times New Roman" w:cs="Times New Roman"/>
          <w:b/>
          <w:bCs/>
          <w:color w:val="25316C"/>
          <w:sz w:val="24"/>
        </w:rPr>
        <w:t>10) Depreciation and impairments</w:t>
      </w:r>
    </w:p>
    <w:p w14:paraId="291D54A4"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p>
    <w:p w14:paraId="6544D41E"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Depreciation is charged to write off the costs or valuation of property, plant and equipment and intangible non-current assets, less any residual value, over their useful economic lives on a straight-line basis.  The Useful Economic Life (UEL) of an asset is the period over which the Authority expects to obtain economic benefits or service potential from the asset.  This is specific to the Authority and may be shorter than the physical life of the asset itself.  The UEL and residual values are reviewed each year end, with the effect of any changes recognised on a prospective basis. </w:t>
      </w:r>
    </w:p>
    <w:p w14:paraId="1C8A7A1D" w14:textId="77777777" w:rsidR="00D82C87" w:rsidRPr="00243C66" w:rsidRDefault="00D82C87" w:rsidP="00E56AE8">
      <w:pPr>
        <w:spacing w:line="240" w:lineRule="auto"/>
        <w:rPr>
          <w:rFonts w:eastAsia="Aptos" w:cs="Times New Roman"/>
          <w:color w:val="000000"/>
        </w:rPr>
      </w:pPr>
    </w:p>
    <w:p w14:paraId="077B5DA4"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approximate average useful lives (depreciation periods) are categorised below: </w:t>
      </w:r>
    </w:p>
    <w:p w14:paraId="22C40B69" w14:textId="77777777" w:rsidR="00D82C87" w:rsidRPr="00243C66" w:rsidRDefault="00D82C87" w:rsidP="00E56AE8">
      <w:pPr>
        <w:pStyle w:val="RedBullet"/>
        <w:spacing w:line="240" w:lineRule="auto"/>
      </w:pPr>
      <w:r w:rsidRPr="00243C66">
        <w:t xml:space="preserve">Buildings – 30-60 years </w:t>
      </w:r>
    </w:p>
    <w:p w14:paraId="55F682C6" w14:textId="77777777" w:rsidR="00D82C87" w:rsidRPr="00243C66" w:rsidRDefault="00D82C87" w:rsidP="00E56AE8">
      <w:pPr>
        <w:pStyle w:val="RedBullet"/>
        <w:spacing w:line="240" w:lineRule="auto"/>
      </w:pPr>
      <w:r w:rsidRPr="00243C66">
        <w:t>Vehicles – Fire Appliances 15 years</w:t>
      </w:r>
    </w:p>
    <w:p w14:paraId="6D03D8A4" w14:textId="77777777" w:rsidR="00D82C87" w:rsidRPr="00243C66" w:rsidRDefault="00D82C87" w:rsidP="00E56AE8">
      <w:pPr>
        <w:pStyle w:val="RedBullet"/>
        <w:spacing w:line="240" w:lineRule="auto"/>
      </w:pPr>
      <w:r w:rsidRPr="00243C66">
        <w:t xml:space="preserve">Vehicles – Non-operational cars, lorries and vans 7 years </w:t>
      </w:r>
    </w:p>
    <w:p w14:paraId="479B0F4D" w14:textId="77777777" w:rsidR="00D82C87" w:rsidRPr="00243C66" w:rsidRDefault="00D82C87" w:rsidP="00E56AE8">
      <w:pPr>
        <w:pStyle w:val="RedBullet"/>
        <w:spacing w:line="240" w:lineRule="auto"/>
      </w:pPr>
      <w:r w:rsidRPr="00243C66">
        <w:t>Vehicles – All other vehicles 3-5 years</w:t>
      </w:r>
    </w:p>
    <w:p w14:paraId="22A6E367" w14:textId="77777777" w:rsidR="00D82C87" w:rsidRPr="00243C66" w:rsidRDefault="00D82C87" w:rsidP="00E56AE8">
      <w:pPr>
        <w:pStyle w:val="RedBullet"/>
        <w:spacing w:line="240" w:lineRule="auto"/>
      </w:pPr>
      <w:r w:rsidRPr="00243C66">
        <w:t>Equipment – 2-25 years</w:t>
      </w:r>
    </w:p>
    <w:p w14:paraId="5F490862" w14:textId="77777777" w:rsidR="00A019F2" w:rsidRDefault="00A019F2" w:rsidP="00E56AE8">
      <w:pPr>
        <w:spacing w:line="240" w:lineRule="auto"/>
        <w:rPr>
          <w:rFonts w:eastAsia="Aptos" w:cs="Times New Roman"/>
          <w:color w:val="000000"/>
        </w:rPr>
      </w:pPr>
    </w:p>
    <w:p w14:paraId="6AD043D1" w14:textId="0F197924"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Assets acquired under finance leases are depreciated over the term of the lease (or the life of the asset if this is lower than the term of the lease) on a straight-line basis. </w:t>
      </w:r>
    </w:p>
    <w:p w14:paraId="52C68FCD" w14:textId="77777777" w:rsidR="00D82C87" w:rsidRPr="00243C66" w:rsidRDefault="00D82C87" w:rsidP="00E56AE8">
      <w:pPr>
        <w:spacing w:line="240" w:lineRule="auto"/>
        <w:rPr>
          <w:rFonts w:eastAsia="Aptos" w:cs="Times New Roman"/>
          <w:color w:val="000000"/>
        </w:rPr>
      </w:pPr>
    </w:p>
    <w:p w14:paraId="26879473"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At each reporting period end, the Authority checks whether there is any indication that any of its non-current assets have suffered an impairment loss.  If there is indication of an impairment loss, the recoverable amount of the asset is estimated to determine whether there has been a loss and, if so, its amount. </w:t>
      </w:r>
    </w:p>
    <w:p w14:paraId="3A56C59C" w14:textId="77777777" w:rsidR="00D82C87" w:rsidRPr="00243C66" w:rsidRDefault="00D82C87" w:rsidP="00E56AE8">
      <w:pPr>
        <w:spacing w:line="240" w:lineRule="auto"/>
        <w:rPr>
          <w:rFonts w:eastAsia="Aptos" w:cs="Times New Roman"/>
          <w:color w:val="000000"/>
        </w:rPr>
      </w:pPr>
    </w:p>
    <w:p w14:paraId="2DE7D69A"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If there has been an impairment loss, the asset is written down to its recoverable amount, with the loss charged to the Revaluation Reserve to the extent that there is a balance on the Reserve for the asset and, thereafter, to expenditure.  Where an impairment loss subsequently reverses, the carrying amount of the asset is increased to the revised estimate of the recoverable amount but capped at the amount that would have been determined had there been no initial impairment loss.  The reversal of the impairment loss is credited to expenditure to the extent of the decrease previously charged there and thereafter to the Revaluation Reserve. </w:t>
      </w:r>
    </w:p>
    <w:p w14:paraId="32209F1F" w14:textId="77777777" w:rsidR="00D82C87" w:rsidRPr="00243C66" w:rsidRDefault="00D82C87" w:rsidP="00E56AE8">
      <w:pPr>
        <w:spacing w:line="240" w:lineRule="auto"/>
        <w:rPr>
          <w:rFonts w:eastAsia="Aptos" w:cs="Times New Roman"/>
          <w:color w:val="000000"/>
        </w:rPr>
      </w:pPr>
    </w:p>
    <w:p w14:paraId="2885458D" w14:textId="77777777" w:rsidR="00D82C87" w:rsidRDefault="00D82C87" w:rsidP="00E56AE8">
      <w:pPr>
        <w:spacing w:line="240" w:lineRule="auto"/>
        <w:rPr>
          <w:rFonts w:eastAsia="Aptos" w:cs="Times New Roman"/>
          <w:color w:val="000000"/>
        </w:rPr>
      </w:pPr>
      <w:r w:rsidRPr="00243C66">
        <w:rPr>
          <w:rFonts w:eastAsia="Aptos" w:cs="Times New Roman"/>
          <w:color w:val="000000"/>
        </w:rPr>
        <w:t>The Authority undertakes regular reviews of all its assets to verify that they still are in use and will provide an economic benefit to the Authority.  A non-property asset that is due to last 5 years will incur depreciation for each of those five years and have a £0 balance at the end of the 5 years but will still be recorded in the asset register after these five years if it still exists and provides an economic benefit to the authority</w:t>
      </w:r>
      <w:r>
        <w:rPr>
          <w:rFonts w:eastAsia="Aptos" w:cs="Times New Roman"/>
          <w:color w:val="000000"/>
        </w:rPr>
        <w:t>.  I</w:t>
      </w:r>
      <w:r w:rsidRPr="00712FC6">
        <w:rPr>
          <w:rFonts w:eastAsia="Aptos" w:cs="Times New Roman"/>
          <w:color w:val="000000"/>
        </w:rPr>
        <w:t xml:space="preserve">f the </w:t>
      </w:r>
      <w:r>
        <w:rPr>
          <w:rFonts w:eastAsia="Aptos" w:cs="Times New Roman"/>
          <w:color w:val="000000"/>
        </w:rPr>
        <w:t xml:space="preserve">remaining </w:t>
      </w:r>
      <w:r w:rsidRPr="00712FC6">
        <w:rPr>
          <w:rFonts w:eastAsia="Aptos" w:cs="Times New Roman"/>
          <w:color w:val="000000"/>
        </w:rPr>
        <w:t xml:space="preserve">economic benefit </w:t>
      </w:r>
      <w:r>
        <w:rPr>
          <w:rFonts w:eastAsia="Aptos" w:cs="Times New Roman"/>
          <w:color w:val="000000"/>
        </w:rPr>
        <w:t>is still significant, the asset will be revalued and its useful life adjusted to reflect the benefit expected by the Authority, with depreciation applied on a straight-line basis.</w:t>
      </w:r>
    </w:p>
    <w:p w14:paraId="1BC9EB2C" w14:textId="77777777" w:rsidR="00D82C87" w:rsidRPr="00243C66" w:rsidRDefault="00D82C87" w:rsidP="00E56AE8">
      <w:pPr>
        <w:spacing w:line="240" w:lineRule="auto"/>
        <w:rPr>
          <w:rFonts w:eastAsia="Aptos" w:cs="Times New Roman"/>
          <w:color w:val="000000"/>
        </w:rPr>
      </w:pPr>
    </w:p>
    <w:p w14:paraId="2C4FAC43"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Authority is not required to raise council tax to cover Depreciation and Impairment, however it is required to make an annual provision from its revenue budget to contribute towards the reduction in its overall borrowing requirement, the Minimum Revenue Provision (MRP). </w:t>
      </w:r>
    </w:p>
    <w:p w14:paraId="07903F70" w14:textId="77777777" w:rsidR="00D82C87" w:rsidRPr="00243C66" w:rsidRDefault="00D82C87" w:rsidP="00E56AE8">
      <w:pPr>
        <w:spacing w:line="240" w:lineRule="auto"/>
        <w:rPr>
          <w:rFonts w:eastAsia="Aptos" w:cs="Calibri"/>
          <w:color w:val="000000"/>
        </w:rPr>
      </w:pPr>
    </w:p>
    <w:p w14:paraId="3F297CE9" w14:textId="77777777" w:rsidR="00A019F2" w:rsidRDefault="00A019F2">
      <w:pPr>
        <w:spacing w:after="0" w:line="240" w:lineRule="auto"/>
        <w:jc w:val="left"/>
        <w:rPr>
          <w:rFonts w:eastAsia="Times New Roman" w:cs="Times New Roman"/>
          <w:b/>
          <w:bCs/>
          <w:color w:val="25316C"/>
          <w:sz w:val="24"/>
        </w:rPr>
      </w:pPr>
      <w:r>
        <w:rPr>
          <w:rFonts w:eastAsia="Times New Roman" w:cs="Times New Roman"/>
          <w:b/>
          <w:bCs/>
          <w:color w:val="25316C"/>
          <w:sz w:val="24"/>
        </w:rPr>
        <w:br w:type="page"/>
      </w:r>
    </w:p>
    <w:p w14:paraId="43DE6EE6" w14:textId="0FD37B2F" w:rsidR="00D82C87" w:rsidRDefault="00D82C87" w:rsidP="00E56AE8">
      <w:pPr>
        <w:numPr>
          <w:ilvl w:val="2"/>
          <w:numId w:val="0"/>
        </w:numPr>
        <w:tabs>
          <w:tab w:val="left" w:pos="1985"/>
        </w:tabs>
        <w:spacing w:line="240" w:lineRule="auto"/>
        <w:jc w:val="left"/>
        <w:rPr>
          <w:rFonts w:eastAsia="Times New Roman" w:cs="Times New Roman"/>
          <w:b/>
          <w:bCs/>
          <w:color w:val="25316C"/>
          <w:sz w:val="24"/>
        </w:rPr>
      </w:pPr>
      <w:r w:rsidRPr="00712FC6">
        <w:rPr>
          <w:rFonts w:eastAsia="Times New Roman" w:cs="Times New Roman"/>
          <w:b/>
          <w:bCs/>
          <w:color w:val="25316C"/>
          <w:sz w:val="24"/>
        </w:rPr>
        <w:lastRenderedPageBreak/>
        <w:t>11) Leases</w:t>
      </w:r>
    </w:p>
    <w:p w14:paraId="475144C5" w14:textId="77777777" w:rsidR="00D82C87" w:rsidRPr="00712FC6" w:rsidRDefault="00D82C87" w:rsidP="00E56AE8">
      <w:pPr>
        <w:numPr>
          <w:ilvl w:val="2"/>
          <w:numId w:val="0"/>
        </w:numPr>
        <w:tabs>
          <w:tab w:val="left" w:pos="1985"/>
        </w:tabs>
        <w:spacing w:line="240" w:lineRule="auto"/>
        <w:jc w:val="left"/>
        <w:rPr>
          <w:rFonts w:eastAsia="Times New Roman" w:cs="Times New Roman"/>
          <w:b/>
          <w:bCs/>
          <w:color w:val="25316C"/>
          <w:sz w:val="24"/>
        </w:rPr>
      </w:pPr>
    </w:p>
    <w:p w14:paraId="13C823E5" w14:textId="77777777" w:rsidR="00D82C87" w:rsidRDefault="00D82C87" w:rsidP="00E56AE8">
      <w:pPr>
        <w:numPr>
          <w:ilvl w:val="2"/>
          <w:numId w:val="0"/>
        </w:numPr>
        <w:tabs>
          <w:tab w:val="left" w:pos="1985"/>
        </w:tabs>
        <w:spacing w:line="240" w:lineRule="auto"/>
        <w:rPr>
          <w:rFonts w:eastAsia="Times New Roman" w:cs="Times New Roman"/>
          <w:b/>
          <w:bCs/>
          <w:color w:val="25316C"/>
          <w:sz w:val="24"/>
        </w:rPr>
      </w:pPr>
      <w:r w:rsidRPr="00712FC6">
        <w:rPr>
          <w:rFonts w:eastAsia="Aptos" w:cs="Times New Roman"/>
          <w:color w:val="000000"/>
        </w:rPr>
        <w:t>From 1 April 2024, the Authority has adopted IFRS 16 Leases, which replaces IAS 17 and related interpretations.  IFRS 16 introduces a single lessee accounting model, requiring recognition of most leases on the Balance Sheet</w:t>
      </w:r>
      <w:r w:rsidRPr="00712FC6">
        <w:rPr>
          <w:rFonts w:eastAsia="Times New Roman" w:cs="Times New Roman"/>
          <w:b/>
          <w:bCs/>
          <w:color w:val="25316C"/>
          <w:sz w:val="24"/>
        </w:rPr>
        <w:t>. </w:t>
      </w:r>
    </w:p>
    <w:p w14:paraId="0015B201" w14:textId="77777777" w:rsidR="00D82C87" w:rsidRPr="00712FC6" w:rsidRDefault="00D82C87" w:rsidP="00E56AE8">
      <w:pPr>
        <w:numPr>
          <w:ilvl w:val="2"/>
          <w:numId w:val="0"/>
        </w:numPr>
        <w:tabs>
          <w:tab w:val="left" w:pos="1985"/>
        </w:tabs>
        <w:spacing w:line="240" w:lineRule="auto"/>
        <w:jc w:val="left"/>
        <w:rPr>
          <w:rFonts w:eastAsia="Times New Roman" w:cs="Times New Roman"/>
          <w:b/>
          <w:bCs/>
          <w:color w:val="25316C"/>
          <w:sz w:val="24"/>
        </w:rPr>
      </w:pPr>
    </w:p>
    <w:p w14:paraId="5B5A917A" w14:textId="77777777" w:rsidR="00D82C87" w:rsidRDefault="00D82C87" w:rsidP="00E56AE8">
      <w:pPr>
        <w:pStyle w:val="VAHeadingLevel2"/>
        <w:spacing w:line="240" w:lineRule="auto"/>
      </w:pPr>
      <w:r w:rsidRPr="00712FC6">
        <w:t>The Authority as Lessee </w:t>
      </w:r>
    </w:p>
    <w:p w14:paraId="3C8BC93E" w14:textId="77777777" w:rsidR="00D82C87" w:rsidRDefault="00D82C87" w:rsidP="00E56AE8">
      <w:pPr>
        <w:spacing w:line="240" w:lineRule="auto"/>
      </w:pPr>
      <w:r w:rsidRPr="00712FC6">
        <w:t>At the</w:t>
      </w:r>
      <w:r>
        <w:t xml:space="preserve"> </w:t>
      </w:r>
      <w:r w:rsidRPr="00712FC6">
        <w:t>inception</w:t>
      </w:r>
      <w:r>
        <w:t xml:space="preserve"> </w:t>
      </w:r>
      <w:r w:rsidRPr="00712FC6">
        <w:t>of</w:t>
      </w:r>
      <w:r>
        <w:t xml:space="preserve"> </w:t>
      </w:r>
      <w:r w:rsidRPr="00712FC6">
        <w:t>a contract, the Authority assesses whether the arrangement</w:t>
      </w:r>
      <w:r>
        <w:t xml:space="preserve"> </w:t>
      </w:r>
      <w:r w:rsidRPr="00712FC6">
        <w:t>contains</w:t>
      </w:r>
      <w:r>
        <w:t xml:space="preserve"> </w:t>
      </w:r>
      <w:r w:rsidRPr="00712FC6">
        <w:t>a lease</w:t>
      </w:r>
      <w:r>
        <w:t xml:space="preserve"> </w:t>
      </w:r>
      <w:r w:rsidRPr="00712FC6">
        <w:t>by</w:t>
      </w:r>
      <w:r>
        <w:t xml:space="preserve"> </w:t>
      </w:r>
      <w:r w:rsidRPr="00712FC6">
        <w:t>determining</w:t>
      </w:r>
      <w:r>
        <w:t xml:space="preserve"> </w:t>
      </w:r>
      <w:r w:rsidRPr="00712FC6">
        <w:t>if</w:t>
      </w:r>
      <w:r>
        <w:t xml:space="preserve"> </w:t>
      </w:r>
      <w:r w:rsidRPr="00712FC6">
        <w:t>it</w:t>
      </w:r>
      <w:r>
        <w:t xml:space="preserve"> </w:t>
      </w:r>
      <w:r w:rsidRPr="00712FC6">
        <w:t>conveys</w:t>
      </w:r>
      <w:r>
        <w:t xml:space="preserve"> </w:t>
      </w:r>
      <w:r w:rsidRPr="00712FC6">
        <w:t>the</w:t>
      </w:r>
      <w:r>
        <w:t xml:space="preserve"> </w:t>
      </w:r>
      <w:r w:rsidRPr="00712FC6">
        <w:t>right</w:t>
      </w:r>
      <w:r>
        <w:t xml:space="preserve"> </w:t>
      </w:r>
      <w:r w:rsidRPr="00712FC6">
        <w:t>to control the use of an identified asset for a period of time in exchange for consideration.</w:t>
      </w:r>
    </w:p>
    <w:p w14:paraId="59B4216B" w14:textId="77777777" w:rsidR="00D82C87" w:rsidRPr="00712FC6" w:rsidRDefault="00D82C87" w:rsidP="00E56AE8">
      <w:pPr>
        <w:spacing w:line="240" w:lineRule="auto"/>
      </w:pPr>
    </w:p>
    <w:p w14:paraId="6E72F42A" w14:textId="77777777" w:rsidR="00D82C87" w:rsidRPr="00712FC6" w:rsidRDefault="00D82C87" w:rsidP="00E56AE8">
      <w:pPr>
        <w:numPr>
          <w:ilvl w:val="2"/>
          <w:numId w:val="0"/>
        </w:numPr>
        <w:tabs>
          <w:tab w:val="left" w:pos="1985"/>
        </w:tabs>
        <w:spacing w:line="240" w:lineRule="auto"/>
        <w:rPr>
          <w:rFonts w:eastAsia="Aptos" w:cs="Times New Roman"/>
          <w:color w:val="000000"/>
        </w:rPr>
      </w:pPr>
      <w:r w:rsidRPr="00712FC6">
        <w:rPr>
          <w:rFonts w:eastAsia="Aptos" w:cs="Times New Roman"/>
          <w:color w:val="000000"/>
        </w:rPr>
        <w:t>Under IFRS 16, the Authority recognises a right-of-use (ROU) asset and a corresponding lease liability for all leases, except for: </w:t>
      </w:r>
    </w:p>
    <w:p w14:paraId="4B0DD77C" w14:textId="77777777" w:rsidR="00D82C87" w:rsidRPr="00712FC6" w:rsidRDefault="00D82C87" w:rsidP="00E56AE8">
      <w:pPr>
        <w:pStyle w:val="RedBullet"/>
        <w:spacing w:line="240" w:lineRule="auto"/>
      </w:pPr>
      <w:r w:rsidRPr="00712FC6">
        <w:t>Short-term leases (lease term of 12 months or less), and </w:t>
      </w:r>
    </w:p>
    <w:p w14:paraId="6D107CFF" w14:textId="77777777" w:rsidR="00D82C87" w:rsidRPr="00712FC6" w:rsidRDefault="00D82C87" w:rsidP="00E56AE8">
      <w:pPr>
        <w:pStyle w:val="RedBullet"/>
        <w:spacing w:line="240" w:lineRule="auto"/>
      </w:pPr>
      <w:r w:rsidRPr="00712FC6">
        <w:t>Low-value assets (below the Authority’s de minimis threshold) </w:t>
      </w:r>
    </w:p>
    <w:p w14:paraId="2C983162" w14:textId="77777777" w:rsidR="00D82C87" w:rsidRDefault="00D82C87" w:rsidP="00E56AE8">
      <w:pPr>
        <w:numPr>
          <w:ilvl w:val="2"/>
          <w:numId w:val="0"/>
        </w:numPr>
        <w:tabs>
          <w:tab w:val="left" w:pos="1985"/>
        </w:tabs>
        <w:spacing w:line="240" w:lineRule="auto"/>
        <w:rPr>
          <w:rFonts w:eastAsia="Aptos" w:cs="Times New Roman"/>
          <w:color w:val="000000"/>
        </w:rPr>
      </w:pPr>
    </w:p>
    <w:p w14:paraId="65AB420F" w14:textId="77777777" w:rsidR="00D82C87" w:rsidRDefault="00D82C87" w:rsidP="00E56AE8">
      <w:pPr>
        <w:numPr>
          <w:ilvl w:val="2"/>
          <w:numId w:val="0"/>
        </w:numPr>
        <w:tabs>
          <w:tab w:val="left" w:pos="1985"/>
        </w:tabs>
        <w:spacing w:line="240" w:lineRule="auto"/>
        <w:rPr>
          <w:rFonts w:eastAsia="Aptos" w:cs="Times New Roman"/>
          <w:color w:val="000000"/>
        </w:rPr>
      </w:pPr>
      <w:r w:rsidRPr="00712FC6">
        <w:rPr>
          <w:rFonts w:eastAsia="Aptos" w:cs="Times New Roman"/>
          <w:color w:val="000000"/>
        </w:rPr>
        <w:t>Payments for these exempt leases are recognised as an expense on a straight-line basis in the Comprehensive Income and Expenditure Statement (CIES). </w:t>
      </w:r>
    </w:p>
    <w:p w14:paraId="73FD934A" w14:textId="70C16DD8" w:rsidR="001B000D" w:rsidRDefault="001B000D" w:rsidP="00E56AE8">
      <w:pPr>
        <w:spacing w:after="0" w:line="240" w:lineRule="auto"/>
        <w:jc w:val="left"/>
        <w:rPr>
          <w:rFonts w:asciiTheme="minorHAnsi" w:eastAsia="Times New Roman" w:hAnsiTheme="minorHAnsi" w:cs="Times New Roman"/>
          <w:bCs/>
          <w:color w:val="25316C"/>
          <w:sz w:val="24"/>
        </w:rPr>
      </w:pPr>
    </w:p>
    <w:p w14:paraId="30AB5656" w14:textId="552E8051" w:rsidR="00D82C87" w:rsidRPr="00712FC6" w:rsidRDefault="00D82C87" w:rsidP="00E56AE8">
      <w:pPr>
        <w:pStyle w:val="VAHeadingLevel2"/>
        <w:spacing w:line="240" w:lineRule="auto"/>
      </w:pPr>
      <w:r w:rsidRPr="00712FC6">
        <w:t>Initial Measurement of Lease Liability </w:t>
      </w:r>
    </w:p>
    <w:p w14:paraId="381BFCBB" w14:textId="77777777" w:rsidR="00D82C87" w:rsidRPr="00712FC6" w:rsidRDefault="00D82C87" w:rsidP="00E56AE8">
      <w:pPr>
        <w:numPr>
          <w:ilvl w:val="2"/>
          <w:numId w:val="0"/>
        </w:numPr>
        <w:tabs>
          <w:tab w:val="left" w:pos="1985"/>
        </w:tabs>
        <w:spacing w:line="240" w:lineRule="auto"/>
        <w:rPr>
          <w:rFonts w:eastAsia="Aptos" w:cs="Times New Roman"/>
          <w:color w:val="000000"/>
        </w:rPr>
      </w:pPr>
      <w:r w:rsidRPr="00712FC6">
        <w:rPr>
          <w:rFonts w:eastAsia="Aptos" w:cs="Times New Roman"/>
          <w:color w:val="000000"/>
        </w:rPr>
        <w:t>Lease liabilities are initially measured at the present value of lease payments, which include: </w:t>
      </w:r>
    </w:p>
    <w:p w14:paraId="24BB6375" w14:textId="77777777" w:rsidR="00D82C87" w:rsidRPr="00712FC6" w:rsidRDefault="00D82C87" w:rsidP="00E56AE8">
      <w:pPr>
        <w:pStyle w:val="RedBullet"/>
        <w:spacing w:line="240" w:lineRule="auto"/>
      </w:pPr>
      <w:r w:rsidRPr="00712FC6">
        <w:t>Fixed payments (including in-substance fixed payments), less any lease incentives receivable </w:t>
      </w:r>
    </w:p>
    <w:p w14:paraId="43E34AF5" w14:textId="77777777" w:rsidR="00D82C87" w:rsidRPr="00712FC6" w:rsidRDefault="00D82C87" w:rsidP="00E56AE8">
      <w:pPr>
        <w:pStyle w:val="RedBullet"/>
        <w:spacing w:line="240" w:lineRule="auto"/>
      </w:pPr>
      <w:r w:rsidRPr="00712FC6">
        <w:t>Variable lease payments based on an index or rate (initially measured using the index/rate at commencement) </w:t>
      </w:r>
    </w:p>
    <w:p w14:paraId="01BF6F7A" w14:textId="77777777" w:rsidR="00D82C87" w:rsidRPr="00712FC6" w:rsidRDefault="00D82C87" w:rsidP="00E56AE8">
      <w:pPr>
        <w:pStyle w:val="RedBullet"/>
        <w:spacing w:line="240" w:lineRule="auto"/>
      </w:pPr>
      <w:r w:rsidRPr="00712FC6">
        <w:t>Amounts expected under residual value guarantees </w:t>
      </w:r>
    </w:p>
    <w:p w14:paraId="28243FF6" w14:textId="77777777" w:rsidR="00D82C87" w:rsidRPr="00712FC6" w:rsidRDefault="00D82C87" w:rsidP="00E56AE8">
      <w:pPr>
        <w:pStyle w:val="RedBullet"/>
        <w:spacing w:line="240" w:lineRule="auto"/>
      </w:pPr>
      <w:r w:rsidRPr="00712FC6">
        <w:t>Exercise price of purchase options if reasonably certain to be exercised </w:t>
      </w:r>
    </w:p>
    <w:p w14:paraId="11B69365" w14:textId="77777777" w:rsidR="00D82C87" w:rsidRPr="00712FC6" w:rsidRDefault="00D82C87" w:rsidP="00E56AE8">
      <w:pPr>
        <w:pStyle w:val="RedBullet"/>
        <w:spacing w:line="240" w:lineRule="auto"/>
        <w:rPr>
          <w:color w:val="auto"/>
        </w:rPr>
      </w:pPr>
      <w:r w:rsidRPr="00712FC6">
        <w:t>Penalties for early termination if the lease term reflects exercising that option</w:t>
      </w:r>
    </w:p>
    <w:p w14:paraId="244137B3" w14:textId="77777777" w:rsidR="00D82C87" w:rsidRDefault="00D82C87" w:rsidP="00E56AE8">
      <w:pPr>
        <w:numPr>
          <w:ilvl w:val="2"/>
          <w:numId w:val="0"/>
        </w:numPr>
        <w:tabs>
          <w:tab w:val="left" w:pos="1985"/>
        </w:tabs>
        <w:spacing w:line="240" w:lineRule="auto"/>
        <w:rPr>
          <w:rFonts w:eastAsia="Times New Roman" w:cs="Times New Roman"/>
          <w:color w:val="auto"/>
          <w:szCs w:val="20"/>
        </w:rPr>
      </w:pPr>
      <w:r w:rsidRPr="00712FC6">
        <w:rPr>
          <w:rFonts w:eastAsia="Times New Roman" w:cs="Times New Roman"/>
          <w:color w:val="auto"/>
          <w:szCs w:val="20"/>
        </w:rPr>
        <w:t>Lease payments are discounted using the Authority’s incremental borrowing rate, based on Public Works Loan Board (PWLB) rates for similar terms and conditions. </w:t>
      </w:r>
    </w:p>
    <w:p w14:paraId="750295BB" w14:textId="77777777" w:rsidR="00D82C87" w:rsidRPr="00712FC6" w:rsidRDefault="00D82C87" w:rsidP="00E56AE8">
      <w:pPr>
        <w:numPr>
          <w:ilvl w:val="2"/>
          <w:numId w:val="0"/>
        </w:numPr>
        <w:tabs>
          <w:tab w:val="left" w:pos="1985"/>
        </w:tabs>
        <w:spacing w:line="240" w:lineRule="auto"/>
        <w:jc w:val="left"/>
        <w:rPr>
          <w:rFonts w:eastAsia="Times New Roman" w:cs="Times New Roman"/>
          <w:color w:val="auto"/>
          <w:szCs w:val="20"/>
        </w:rPr>
      </w:pPr>
    </w:p>
    <w:p w14:paraId="7F37209D" w14:textId="77777777" w:rsidR="00D82C87" w:rsidRPr="00712FC6" w:rsidRDefault="00D82C87" w:rsidP="00E56AE8">
      <w:pPr>
        <w:pStyle w:val="VAHeadingLevel2"/>
        <w:spacing w:line="240" w:lineRule="auto"/>
      </w:pPr>
      <w:r w:rsidRPr="00712FC6">
        <w:t>Subsequent Measurement </w:t>
      </w:r>
    </w:p>
    <w:p w14:paraId="00EB26A4" w14:textId="77777777" w:rsidR="00D82C87" w:rsidRDefault="00D82C87" w:rsidP="00E56AE8">
      <w:pPr>
        <w:numPr>
          <w:ilvl w:val="2"/>
          <w:numId w:val="0"/>
        </w:numPr>
        <w:tabs>
          <w:tab w:val="left" w:pos="1985"/>
        </w:tabs>
        <w:spacing w:line="240" w:lineRule="auto"/>
        <w:rPr>
          <w:rFonts w:eastAsia="Times New Roman" w:cs="Times New Roman"/>
          <w:color w:val="auto"/>
          <w:szCs w:val="20"/>
        </w:rPr>
      </w:pPr>
      <w:r w:rsidRPr="00712FC6">
        <w:rPr>
          <w:rFonts w:eastAsia="Times New Roman" w:cs="Times New Roman"/>
          <w:color w:val="auto"/>
          <w:szCs w:val="20"/>
        </w:rPr>
        <w:t>Lease liabilities are increased by interest and reduced by lease payments.  They are remeasured when future lease payments change due to index/rate adjustments or modifications.  Corresponding adjustments are made to the ROU asset. </w:t>
      </w:r>
    </w:p>
    <w:p w14:paraId="583621F1" w14:textId="77777777" w:rsidR="00D82C87" w:rsidRPr="00712FC6" w:rsidRDefault="00D82C87" w:rsidP="00E56AE8">
      <w:pPr>
        <w:numPr>
          <w:ilvl w:val="2"/>
          <w:numId w:val="0"/>
        </w:numPr>
        <w:tabs>
          <w:tab w:val="left" w:pos="1985"/>
        </w:tabs>
        <w:spacing w:line="240" w:lineRule="auto"/>
        <w:jc w:val="left"/>
        <w:rPr>
          <w:rFonts w:eastAsia="Times New Roman" w:cs="Times New Roman"/>
          <w:color w:val="auto"/>
          <w:szCs w:val="20"/>
        </w:rPr>
      </w:pPr>
    </w:p>
    <w:p w14:paraId="2FC0F584" w14:textId="77777777" w:rsidR="00D82C87" w:rsidRPr="00712FC6" w:rsidRDefault="00D82C87" w:rsidP="00E56AE8">
      <w:pPr>
        <w:pStyle w:val="VAHeadingLevel2"/>
        <w:spacing w:line="240" w:lineRule="auto"/>
      </w:pPr>
      <w:r w:rsidRPr="00712FC6">
        <w:t>Right-of-Use Assets </w:t>
      </w:r>
    </w:p>
    <w:p w14:paraId="18979B87" w14:textId="77777777" w:rsidR="00D82C87" w:rsidRPr="00712FC6" w:rsidRDefault="00D82C87" w:rsidP="00E56AE8">
      <w:pPr>
        <w:numPr>
          <w:ilvl w:val="2"/>
          <w:numId w:val="0"/>
        </w:numPr>
        <w:tabs>
          <w:tab w:val="left" w:pos="1985"/>
        </w:tabs>
        <w:spacing w:line="240" w:lineRule="auto"/>
        <w:rPr>
          <w:rFonts w:eastAsia="Times New Roman" w:cs="Times New Roman"/>
          <w:color w:val="auto"/>
          <w:szCs w:val="20"/>
        </w:rPr>
      </w:pPr>
      <w:r w:rsidRPr="00712FC6">
        <w:rPr>
          <w:rFonts w:eastAsia="Times New Roman" w:cs="Times New Roman"/>
          <w:color w:val="auto"/>
          <w:szCs w:val="20"/>
        </w:rPr>
        <w:t>ROU assets are initially measured at cost, comprising: </w:t>
      </w:r>
    </w:p>
    <w:p w14:paraId="0B3643F7" w14:textId="77777777" w:rsidR="00D82C87" w:rsidRPr="00712FC6" w:rsidRDefault="00D82C87" w:rsidP="00E56AE8">
      <w:pPr>
        <w:pStyle w:val="RedBullet"/>
        <w:spacing w:line="240" w:lineRule="auto"/>
      </w:pPr>
      <w:r w:rsidRPr="00712FC6">
        <w:t>The initial lease liability amount </w:t>
      </w:r>
    </w:p>
    <w:p w14:paraId="3BDA1DDE" w14:textId="77777777" w:rsidR="00D82C87" w:rsidRPr="00712FC6" w:rsidRDefault="00D82C87" w:rsidP="00E56AE8">
      <w:pPr>
        <w:pStyle w:val="RedBullet"/>
        <w:spacing w:line="240" w:lineRule="auto"/>
      </w:pPr>
      <w:r w:rsidRPr="00712FC6">
        <w:t>Lease payments made at or before commencement, less incentives received </w:t>
      </w:r>
    </w:p>
    <w:p w14:paraId="39B89DE6" w14:textId="77777777" w:rsidR="00D82C87" w:rsidRPr="00712FC6" w:rsidRDefault="00D82C87" w:rsidP="00E56AE8">
      <w:pPr>
        <w:pStyle w:val="RedBullet"/>
        <w:spacing w:line="240" w:lineRule="auto"/>
      </w:pPr>
      <w:r w:rsidRPr="00712FC6">
        <w:t>Initial direct costs </w:t>
      </w:r>
    </w:p>
    <w:p w14:paraId="7A8E48A2" w14:textId="77777777" w:rsidR="00D82C87" w:rsidRPr="00712FC6" w:rsidRDefault="00D82C87" w:rsidP="00E56AE8">
      <w:pPr>
        <w:pStyle w:val="RedBullet"/>
        <w:spacing w:line="240" w:lineRule="auto"/>
        <w:rPr>
          <w:color w:val="auto"/>
        </w:rPr>
      </w:pPr>
      <w:r w:rsidRPr="00712FC6">
        <w:t>Estimated restoration costs</w:t>
      </w:r>
    </w:p>
    <w:p w14:paraId="3F856504" w14:textId="77777777" w:rsidR="00D82C87" w:rsidRDefault="00D82C87" w:rsidP="00E56AE8">
      <w:pPr>
        <w:numPr>
          <w:ilvl w:val="2"/>
          <w:numId w:val="0"/>
        </w:numPr>
        <w:tabs>
          <w:tab w:val="left" w:pos="1985"/>
        </w:tabs>
        <w:spacing w:line="240" w:lineRule="auto"/>
        <w:rPr>
          <w:rFonts w:eastAsia="Times New Roman" w:cs="Times New Roman"/>
          <w:color w:val="auto"/>
          <w:szCs w:val="20"/>
        </w:rPr>
      </w:pPr>
      <w:r w:rsidRPr="00712FC6">
        <w:rPr>
          <w:rFonts w:eastAsia="Times New Roman" w:cs="Times New Roman"/>
          <w:color w:val="auto"/>
          <w:szCs w:val="20"/>
        </w:rPr>
        <w:t>ROU assets are depreciated on a straight-line basis over the shorter of the lease term or the asset’s useful life.  If a purchase option is reasonably certain to be exercised, depreciation is over the underlying asset’s useful life. </w:t>
      </w:r>
    </w:p>
    <w:p w14:paraId="7B810F29" w14:textId="77777777" w:rsidR="00D82C87" w:rsidRPr="00712FC6" w:rsidRDefault="00D82C87" w:rsidP="00E56AE8">
      <w:pPr>
        <w:numPr>
          <w:ilvl w:val="2"/>
          <w:numId w:val="0"/>
        </w:numPr>
        <w:tabs>
          <w:tab w:val="left" w:pos="1985"/>
        </w:tabs>
        <w:spacing w:line="240" w:lineRule="auto"/>
        <w:jc w:val="left"/>
        <w:rPr>
          <w:rFonts w:eastAsia="Times New Roman" w:cs="Times New Roman"/>
          <w:color w:val="auto"/>
          <w:szCs w:val="20"/>
        </w:rPr>
      </w:pPr>
    </w:p>
    <w:p w14:paraId="212F8764" w14:textId="77777777" w:rsidR="00D82C87" w:rsidRPr="00BC0177" w:rsidRDefault="00D82C87" w:rsidP="00E56AE8">
      <w:pPr>
        <w:pStyle w:val="VAHeadingLevel2"/>
        <w:spacing w:line="240" w:lineRule="auto"/>
      </w:pPr>
      <w:r w:rsidRPr="00BC0177">
        <w:t>Peppercorn and Nil Consideration Leases </w:t>
      </w:r>
    </w:p>
    <w:p w14:paraId="3769C598" w14:textId="77777777" w:rsidR="00D82C87" w:rsidRDefault="00D82C87" w:rsidP="00E56AE8">
      <w:pPr>
        <w:numPr>
          <w:ilvl w:val="2"/>
          <w:numId w:val="0"/>
        </w:numPr>
        <w:tabs>
          <w:tab w:val="left" w:pos="1985"/>
        </w:tabs>
        <w:spacing w:line="240" w:lineRule="auto"/>
        <w:rPr>
          <w:rFonts w:eastAsia="Times New Roman" w:cs="Times New Roman"/>
          <w:b/>
          <w:bCs/>
          <w:color w:val="25316C"/>
          <w:sz w:val="24"/>
        </w:rPr>
      </w:pPr>
      <w:r w:rsidRPr="00712FC6">
        <w:rPr>
          <w:rFonts w:eastAsia="Times New Roman" w:cs="Times New Roman"/>
          <w:color w:val="auto"/>
          <w:szCs w:val="20"/>
        </w:rPr>
        <w:t>For leases granted at peppercorn or nil consideration, the ROU asset is measured at fair value on initial recognition, with a corresponding credit to income (grant income) in the CIES.  The Authority uses professional valuations to determine fair value</w:t>
      </w:r>
      <w:r w:rsidRPr="00712FC6">
        <w:rPr>
          <w:rFonts w:eastAsia="Times New Roman" w:cs="Times New Roman"/>
          <w:b/>
          <w:bCs/>
          <w:color w:val="25316C"/>
          <w:sz w:val="24"/>
        </w:rPr>
        <w:t>. </w:t>
      </w:r>
    </w:p>
    <w:p w14:paraId="6FCE2FE2" w14:textId="77777777" w:rsidR="00D82C87" w:rsidRPr="00712FC6" w:rsidRDefault="00D82C87" w:rsidP="00E56AE8">
      <w:pPr>
        <w:numPr>
          <w:ilvl w:val="2"/>
          <w:numId w:val="0"/>
        </w:numPr>
        <w:tabs>
          <w:tab w:val="left" w:pos="1985"/>
        </w:tabs>
        <w:spacing w:line="240" w:lineRule="auto"/>
        <w:jc w:val="left"/>
        <w:rPr>
          <w:rFonts w:eastAsia="Times New Roman" w:cs="Times New Roman"/>
          <w:b/>
          <w:bCs/>
          <w:color w:val="25316C"/>
          <w:sz w:val="24"/>
        </w:rPr>
      </w:pPr>
    </w:p>
    <w:p w14:paraId="540FDEDF" w14:textId="77777777" w:rsidR="00D82C87" w:rsidRPr="00712FC6" w:rsidRDefault="00D82C87" w:rsidP="00E56AE8">
      <w:pPr>
        <w:pStyle w:val="VAHeadingLevel2"/>
        <w:spacing w:line="240" w:lineRule="auto"/>
      </w:pPr>
      <w:r w:rsidRPr="00712FC6">
        <w:lastRenderedPageBreak/>
        <w:t>The Authority as Lessor </w:t>
      </w:r>
    </w:p>
    <w:p w14:paraId="7FE5EEE5" w14:textId="77777777" w:rsidR="00D82C87" w:rsidRPr="00712FC6" w:rsidRDefault="00D82C87" w:rsidP="00E56AE8">
      <w:pPr>
        <w:numPr>
          <w:ilvl w:val="2"/>
          <w:numId w:val="0"/>
        </w:numPr>
        <w:tabs>
          <w:tab w:val="left" w:pos="1985"/>
        </w:tabs>
        <w:spacing w:line="240" w:lineRule="auto"/>
        <w:rPr>
          <w:rFonts w:eastAsia="Times New Roman" w:cs="Times New Roman"/>
          <w:color w:val="auto"/>
          <w:szCs w:val="20"/>
        </w:rPr>
      </w:pPr>
      <w:r w:rsidRPr="00712FC6">
        <w:rPr>
          <w:rFonts w:eastAsia="Times New Roman" w:cs="Times New Roman"/>
          <w:color w:val="auto"/>
          <w:szCs w:val="20"/>
        </w:rPr>
        <w:t>Where the Authority acts as lessor, leases are classified as operating leases unless substantially all risks and rewards of ownership transfer to the lessee.  For operating leases: </w:t>
      </w:r>
    </w:p>
    <w:p w14:paraId="330AB7E2" w14:textId="77777777" w:rsidR="00D82C87" w:rsidRPr="00712FC6" w:rsidRDefault="00D82C87" w:rsidP="00E56AE8">
      <w:pPr>
        <w:pStyle w:val="RedBullet"/>
        <w:spacing w:line="240" w:lineRule="auto"/>
      </w:pPr>
      <w:r w:rsidRPr="00712FC6">
        <w:t>The underlying asset remains on the Balance Sheet </w:t>
      </w:r>
    </w:p>
    <w:p w14:paraId="3D3D3A22" w14:textId="77777777" w:rsidR="00D82C87" w:rsidRPr="00712FC6" w:rsidRDefault="00D82C87" w:rsidP="00E56AE8">
      <w:pPr>
        <w:pStyle w:val="RedBullet"/>
        <w:spacing w:line="240" w:lineRule="auto"/>
      </w:pPr>
      <w:r w:rsidRPr="00712FC6">
        <w:t>Rental income is recognised on a straight-line basis over the lease term in the CIES </w:t>
      </w:r>
    </w:p>
    <w:p w14:paraId="70EC0CCE" w14:textId="77777777" w:rsidR="00D82C87" w:rsidRPr="00BC0177" w:rsidRDefault="00D82C87" w:rsidP="00E56AE8">
      <w:pPr>
        <w:pStyle w:val="RedBullet"/>
        <w:spacing w:line="240" w:lineRule="auto"/>
      </w:pPr>
      <w:r w:rsidRPr="00712FC6">
        <w:t>Initial direct costs are added to the carrying amount of the asset and expensed over the lease term </w:t>
      </w:r>
    </w:p>
    <w:p w14:paraId="2AB42E9A" w14:textId="77777777" w:rsidR="00D82C87" w:rsidRDefault="00D82C87" w:rsidP="00E56AE8">
      <w:pPr>
        <w:pStyle w:val="RedBullet"/>
        <w:numPr>
          <w:ilvl w:val="0"/>
          <w:numId w:val="0"/>
        </w:numPr>
        <w:spacing w:line="240" w:lineRule="auto"/>
        <w:ind w:left="720"/>
      </w:pPr>
    </w:p>
    <w:p w14:paraId="5D6C95D9"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 xml:space="preserve">12) Inventories </w:t>
      </w:r>
    </w:p>
    <w:p w14:paraId="29BD7FBF" w14:textId="77777777" w:rsidR="00D82C87" w:rsidRPr="00243C66" w:rsidRDefault="00D82C87" w:rsidP="00E56AE8">
      <w:pPr>
        <w:spacing w:line="240" w:lineRule="auto"/>
        <w:rPr>
          <w:lang w:eastAsia="en-GB"/>
        </w:rPr>
      </w:pPr>
    </w:p>
    <w:p w14:paraId="1ABE0EDB" w14:textId="5684B349" w:rsidR="00E24567" w:rsidRPr="00491393" w:rsidRDefault="00E24567" w:rsidP="00E56AE8">
      <w:pPr>
        <w:numPr>
          <w:ilvl w:val="1"/>
          <w:numId w:val="0"/>
        </w:numPr>
        <w:tabs>
          <w:tab w:val="left" w:pos="1418"/>
        </w:tabs>
        <w:spacing w:after="80" w:line="240" w:lineRule="auto"/>
        <w:jc w:val="left"/>
        <w:rPr>
          <w:lang w:eastAsia="en-GB"/>
        </w:rPr>
      </w:pPr>
      <w:r w:rsidRPr="00491393">
        <w:rPr>
          <w:lang w:eastAsia="en-GB"/>
        </w:rPr>
        <w:t>Inventories are valued at the lower of cost and Net Realisable Value, with cost determined on a First-In, First-Out (FIFO) basis</w:t>
      </w:r>
      <w:r w:rsidR="00A34375" w:rsidRPr="00491393">
        <w:rPr>
          <w:lang w:eastAsia="en-GB"/>
        </w:rPr>
        <w:t xml:space="preserve">.  </w:t>
      </w:r>
      <w:r w:rsidRPr="00491393">
        <w:rPr>
          <w:lang w:eastAsia="en-GB"/>
        </w:rPr>
        <w:t>This is considered to be a reasonable approximation to current value.</w:t>
      </w:r>
    </w:p>
    <w:p w14:paraId="0E7A30D1" w14:textId="77777777" w:rsidR="00D82C87" w:rsidRDefault="00D82C87" w:rsidP="00E56AE8">
      <w:pPr>
        <w:spacing w:line="240" w:lineRule="auto"/>
        <w:rPr>
          <w:rFonts w:eastAsia="Times New Roman" w:cs="Times New Roman"/>
          <w:b/>
          <w:bCs/>
          <w:color w:val="25316C"/>
          <w:sz w:val="24"/>
        </w:rPr>
      </w:pPr>
    </w:p>
    <w:p w14:paraId="00AF6A2B" w14:textId="77777777" w:rsidR="00D82C87" w:rsidRPr="00BC0177" w:rsidRDefault="00D82C87" w:rsidP="00E56AE8">
      <w:pPr>
        <w:spacing w:line="240" w:lineRule="auto"/>
        <w:rPr>
          <w:rFonts w:eastAsia="Aptos" w:cs="Times New Roman"/>
          <w:color w:val="000000"/>
          <w:lang w:eastAsia="en-GB"/>
        </w:rPr>
      </w:pPr>
      <w:r w:rsidRPr="00243C66">
        <w:rPr>
          <w:rFonts w:eastAsia="Times New Roman" w:cs="Times New Roman"/>
          <w:b/>
          <w:bCs/>
          <w:color w:val="25316C"/>
          <w:sz w:val="24"/>
        </w:rPr>
        <w:t xml:space="preserve">13) Cash and Cash Equivalents </w:t>
      </w:r>
    </w:p>
    <w:p w14:paraId="6488957D" w14:textId="77777777" w:rsidR="00D82C87" w:rsidRPr="00243C66" w:rsidRDefault="00D82C87" w:rsidP="00E56AE8">
      <w:pPr>
        <w:autoSpaceDE w:val="0"/>
        <w:autoSpaceDN w:val="0"/>
        <w:adjustRightInd w:val="0"/>
        <w:spacing w:line="240" w:lineRule="auto"/>
        <w:rPr>
          <w:rFonts w:eastAsia="Aptos" w:cs="Calibri"/>
          <w:color w:val="990032"/>
        </w:rPr>
      </w:pPr>
    </w:p>
    <w:p w14:paraId="66DBBA25" w14:textId="77777777" w:rsidR="00D82C87" w:rsidRPr="00243C66" w:rsidRDefault="00D82C87" w:rsidP="00E56AE8">
      <w:pPr>
        <w:autoSpaceDE w:val="0"/>
        <w:autoSpaceDN w:val="0"/>
        <w:adjustRightInd w:val="0"/>
        <w:spacing w:line="240" w:lineRule="auto"/>
        <w:rPr>
          <w:rFonts w:eastAsia="Aptos" w:cs="Calibri"/>
          <w:color w:val="000000"/>
        </w:rPr>
      </w:pPr>
      <w:r w:rsidRPr="00243C66">
        <w:rPr>
          <w:rFonts w:eastAsia="Aptos" w:cs="Times New Roman"/>
          <w:color w:val="000000"/>
        </w:rPr>
        <w:t>Cash is represented by cash in hand and deposits with financial institutions repayable without penalty on notice of not more than 24 hours.  Cash equivalents are investments that mature in three months or less from the date of acquisition, and that are readily convertible to or change in value.  In the Cash Flow Statement, cash and cash equivalents are shown net of bank overdrafts that are repayable on demand and form an integral part of the Authority’s cash management</w:t>
      </w:r>
      <w:r w:rsidRPr="00243C66">
        <w:rPr>
          <w:rFonts w:eastAsia="Aptos" w:cs="Calibri"/>
          <w:color w:val="000000"/>
        </w:rPr>
        <w:t xml:space="preserve">. </w:t>
      </w:r>
    </w:p>
    <w:p w14:paraId="16810BAA" w14:textId="77777777" w:rsidR="00D82C87" w:rsidRPr="00243C66" w:rsidRDefault="00D82C87" w:rsidP="00E56AE8">
      <w:pPr>
        <w:spacing w:line="240" w:lineRule="auto"/>
        <w:rPr>
          <w:rFonts w:eastAsia="Aptos" w:cs="Calibri"/>
          <w:b/>
          <w:bCs/>
          <w:color w:val="000000"/>
        </w:rPr>
      </w:pPr>
    </w:p>
    <w:p w14:paraId="6FA933A6"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1</w:t>
      </w:r>
      <w:r>
        <w:rPr>
          <w:rFonts w:eastAsia="Times New Roman" w:cs="Times New Roman"/>
          <w:b/>
          <w:bCs/>
          <w:color w:val="25316C"/>
          <w:sz w:val="24"/>
        </w:rPr>
        <w:t>4</w:t>
      </w:r>
      <w:r w:rsidRPr="00243C66">
        <w:rPr>
          <w:rFonts w:eastAsia="Times New Roman" w:cs="Times New Roman"/>
          <w:b/>
          <w:bCs/>
          <w:color w:val="25316C"/>
          <w:sz w:val="24"/>
        </w:rPr>
        <w:t>) Provisions</w:t>
      </w:r>
    </w:p>
    <w:p w14:paraId="492F5EAA" w14:textId="77777777" w:rsidR="00D82C87" w:rsidRPr="00243C66" w:rsidRDefault="00D82C87" w:rsidP="00E56AE8">
      <w:pPr>
        <w:autoSpaceDE w:val="0"/>
        <w:autoSpaceDN w:val="0"/>
        <w:adjustRightInd w:val="0"/>
        <w:spacing w:line="240" w:lineRule="auto"/>
        <w:rPr>
          <w:rFonts w:eastAsia="Times New Roman" w:cs="Calibri"/>
          <w:b/>
          <w:bCs/>
          <w:color w:val="990032"/>
          <w:sz w:val="22"/>
          <w:szCs w:val="22"/>
          <w:lang w:eastAsia="en-GB"/>
        </w:rPr>
      </w:pPr>
    </w:p>
    <w:p w14:paraId="394F873C"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Provisions are recognised when the Authority has a present legal or constructive obligation as a result of a past event, it is probable that the Authority will be required to settle the obligation, and a reliable estimate can be made of the amount of the obligation.  The amount recognised as a provision is the best estimate of the expenditure required to settle the obligation at the end of the reporting period, taking into account the risks and uncertainties. </w:t>
      </w:r>
    </w:p>
    <w:p w14:paraId="3B03DCB8" w14:textId="77777777" w:rsidR="00D82C87" w:rsidRPr="00243C66" w:rsidRDefault="00D82C87" w:rsidP="00E56AE8">
      <w:pPr>
        <w:spacing w:line="240" w:lineRule="auto"/>
        <w:rPr>
          <w:rFonts w:eastAsia="Aptos" w:cs="Calibri"/>
          <w:color w:val="000000"/>
        </w:rPr>
      </w:pPr>
    </w:p>
    <w:p w14:paraId="1E37431B"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1</w:t>
      </w:r>
      <w:r>
        <w:rPr>
          <w:rFonts w:eastAsia="Times New Roman" w:cs="Times New Roman"/>
          <w:b/>
          <w:bCs/>
          <w:color w:val="25316C"/>
          <w:sz w:val="24"/>
        </w:rPr>
        <w:t>5</w:t>
      </w:r>
      <w:r w:rsidRPr="00243C66">
        <w:rPr>
          <w:rFonts w:eastAsia="Times New Roman" w:cs="Times New Roman"/>
          <w:b/>
          <w:bCs/>
          <w:color w:val="25316C"/>
          <w:sz w:val="24"/>
        </w:rPr>
        <w:t xml:space="preserve">) Reserves </w:t>
      </w:r>
    </w:p>
    <w:p w14:paraId="4916287E" w14:textId="77777777" w:rsidR="00D82C87" w:rsidRPr="00243C66" w:rsidRDefault="00D82C87" w:rsidP="00E56AE8">
      <w:pPr>
        <w:autoSpaceDE w:val="0"/>
        <w:autoSpaceDN w:val="0"/>
        <w:adjustRightInd w:val="0"/>
        <w:spacing w:line="240" w:lineRule="auto"/>
        <w:rPr>
          <w:rFonts w:eastAsia="Times New Roman" w:cs="Calibri"/>
          <w:color w:val="990032"/>
          <w:sz w:val="22"/>
          <w:szCs w:val="22"/>
          <w:lang w:eastAsia="en-GB"/>
        </w:rPr>
      </w:pPr>
    </w:p>
    <w:p w14:paraId="721C40C3"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Reserves are maintained to finance expenditure on projects that will be conducted in future years and to protect the Authority against unexpected events.  Certain reserves/accounts are kept in order to manage the accounting process for tangible fixed assets (Revaluation Reserve, Capital Adjustment Account) and retirement benefits (Pensions Reserve IAS 19).  These do not represent usable resources for the Authority.  A Reserves Strategy is in place with regards to the usable reserves and is reviewed at least twice a year.</w:t>
      </w:r>
    </w:p>
    <w:p w14:paraId="40ED749F" w14:textId="77777777" w:rsidR="00D82C87" w:rsidRPr="00243C66" w:rsidRDefault="00D82C87" w:rsidP="00E56AE8">
      <w:pPr>
        <w:spacing w:line="240" w:lineRule="auto"/>
        <w:rPr>
          <w:rFonts w:eastAsia="Aptos" w:cs="Calibri"/>
          <w:color w:val="000000"/>
        </w:rPr>
      </w:pPr>
    </w:p>
    <w:p w14:paraId="709FD44C"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1</w:t>
      </w:r>
      <w:r>
        <w:rPr>
          <w:rFonts w:eastAsia="Times New Roman" w:cs="Times New Roman"/>
          <w:b/>
          <w:bCs/>
          <w:color w:val="25316C"/>
          <w:sz w:val="24"/>
          <w:lang w:eastAsia="en-GB"/>
        </w:rPr>
        <w:t>6</w:t>
      </w:r>
      <w:r w:rsidRPr="00243C66">
        <w:rPr>
          <w:rFonts w:eastAsia="Times New Roman" w:cs="Times New Roman"/>
          <w:b/>
          <w:bCs/>
          <w:color w:val="25316C"/>
          <w:sz w:val="24"/>
          <w:lang w:eastAsia="en-GB"/>
        </w:rPr>
        <w:t xml:space="preserve">) Joint Arrangements </w:t>
      </w:r>
    </w:p>
    <w:p w14:paraId="3EA04DF6" w14:textId="77777777" w:rsidR="00D82C87" w:rsidRPr="00243C66" w:rsidRDefault="00D82C87" w:rsidP="00E56AE8">
      <w:pPr>
        <w:spacing w:line="240" w:lineRule="auto"/>
        <w:rPr>
          <w:rFonts w:eastAsia="Aptos" w:cs="Times New Roman"/>
          <w:color w:val="000000"/>
          <w:lang w:eastAsia="en-GB"/>
        </w:rPr>
      </w:pPr>
    </w:p>
    <w:p w14:paraId="26DBB501" w14:textId="77777777" w:rsidR="00D82C87" w:rsidRDefault="00D82C87" w:rsidP="00E56AE8">
      <w:pPr>
        <w:spacing w:line="240" w:lineRule="auto"/>
        <w:rPr>
          <w:rFonts w:eastAsia="Aptos" w:cs="Times New Roman"/>
          <w:color w:val="000000"/>
        </w:rPr>
      </w:pPr>
      <w:r w:rsidRPr="00243C66">
        <w:rPr>
          <w:rFonts w:eastAsia="Aptos" w:cs="Times New Roman"/>
          <w:color w:val="000000"/>
        </w:rPr>
        <w:t xml:space="preserve">The Authority has interests in a number of Joint Arrangements.  All of these collaborations are governed by formal Section 22a Agreements, and the shares are fully incorporated in the CIES, Balance Sheet, Movement in Reserves Statement and the Cash Flow Statement, as required by the Code.  Note </w:t>
      </w:r>
      <w:r>
        <w:rPr>
          <w:rFonts w:eastAsia="Aptos" w:cs="Times New Roman"/>
          <w:color w:val="000000"/>
        </w:rPr>
        <w:t>39</w:t>
      </w:r>
      <w:r w:rsidRPr="00243C66">
        <w:rPr>
          <w:rFonts w:eastAsia="Aptos" w:cs="Times New Roman"/>
          <w:color w:val="000000"/>
        </w:rPr>
        <w:t xml:space="preserve"> provides further details.</w:t>
      </w:r>
    </w:p>
    <w:p w14:paraId="55BBAAA6" w14:textId="77777777" w:rsidR="00D82C87" w:rsidRPr="00243C66" w:rsidRDefault="00D82C87" w:rsidP="00E56AE8">
      <w:pPr>
        <w:spacing w:line="240" w:lineRule="auto"/>
        <w:rPr>
          <w:rFonts w:eastAsia="Aptos" w:cs="Times New Roman"/>
          <w:color w:val="000000"/>
        </w:rPr>
      </w:pPr>
    </w:p>
    <w:p w14:paraId="1B8E807E"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1</w:t>
      </w:r>
      <w:r>
        <w:rPr>
          <w:rFonts w:eastAsia="Times New Roman" w:cs="Times New Roman"/>
          <w:b/>
          <w:bCs/>
          <w:color w:val="25316C"/>
          <w:sz w:val="24"/>
          <w:lang w:eastAsia="en-GB"/>
        </w:rPr>
        <w:t>7</w:t>
      </w:r>
      <w:r w:rsidRPr="00243C66">
        <w:rPr>
          <w:rFonts w:eastAsia="Times New Roman" w:cs="Times New Roman"/>
          <w:b/>
          <w:bCs/>
          <w:color w:val="25316C"/>
          <w:sz w:val="24"/>
          <w:lang w:eastAsia="en-GB"/>
        </w:rPr>
        <w:t xml:space="preserve">) Value Added Tax </w:t>
      </w:r>
    </w:p>
    <w:p w14:paraId="44E4219D" w14:textId="77777777" w:rsidR="00D82C87" w:rsidRPr="00243C66" w:rsidRDefault="00D82C87" w:rsidP="00E56AE8">
      <w:pPr>
        <w:spacing w:line="240" w:lineRule="auto"/>
        <w:rPr>
          <w:lang w:eastAsia="en-GB"/>
        </w:rPr>
      </w:pPr>
    </w:p>
    <w:p w14:paraId="7EEA5494"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VAT is included in the accounts of the Authority, whether of a capital or revenue nature, only to the extent that it is not recoverable.</w:t>
      </w:r>
    </w:p>
    <w:p w14:paraId="7EBBBC14" w14:textId="77777777" w:rsidR="00D82C87" w:rsidRPr="00243C66" w:rsidRDefault="00D82C87" w:rsidP="00E56AE8">
      <w:pPr>
        <w:spacing w:line="240" w:lineRule="auto"/>
        <w:rPr>
          <w:lang w:eastAsia="en-GB"/>
        </w:rPr>
      </w:pPr>
    </w:p>
    <w:p w14:paraId="5DB2915A" w14:textId="77777777" w:rsidR="000208B5" w:rsidRDefault="000208B5">
      <w:pPr>
        <w:spacing w:after="0" w:line="240" w:lineRule="auto"/>
        <w:jc w:val="left"/>
        <w:rPr>
          <w:rFonts w:eastAsia="Times New Roman" w:cs="Times New Roman"/>
          <w:b/>
          <w:bCs/>
          <w:color w:val="25316C"/>
          <w:sz w:val="24"/>
          <w:lang w:eastAsia="en-GB"/>
        </w:rPr>
      </w:pPr>
      <w:r>
        <w:rPr>
          <w:rFonts w:eastAsia="Times New Roman" w:cs="Times New Roman"/>
          <w:b/>
          <w:bCs/>
          <w:color w:val="25316C"/>
          <w:sz w:val="24"/>
          <w:lang w:eastAsia="en-GB"/>
        </w:rPr>
        <w:br w:type="page"/>
      </w:r>
    </w:p>
    <w:p w14:paraId="032B5776" w14:textId="479FEF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lastRenderedPageBreak/>
        <w:t>1</w:t>
      </w:r>
      <w:r>
        <w:rPr>
          <w:rFonts w:eastAsia="Times New Roman" w:cs="Times New Roman"/>
          <w:b/>
          <w:bCs/>
          <w:color w:val="25316C"/>
          <w:sz w:val="24"/>
          <w:lang w:eastAsia="en-GB"/>
        </w:rPr>
        <w:t>8</w:t>
      </w:r>
      <w:r w:rsidRPr="00243C66">
        <w:rPr>
          <w:rFonts w:eastAsia="Times New Roman" w:cs="Times New Roman"/>
          <w:b/>
          <w:bCs/>
          <w:color w:val="25316C"/>
          <w:sz w:val="24"/>
          <w:lang w:eastAsia="en-GB"/>
        </w:rPr>
        <w:t xml:space="preserve">) Contingent Assets and Contingent Liabilities </w:t>
      </w:r>
    </w:p>
    <w:p w14:paraId="30C6F7A6" w14:textId="77777777" w:rsidR="00D82C87" w:rsidRPr="00243C66" w:rsidRDefault="00D82C87" w:rsidP="00E56AE8">
      <w:pPr>
        <w:spacing w:line="240" w:lineRule="auto"/>
        <w:rPr>
          <w:lang w:eastAsia="en-GB"/>
        </w:rPr>
      </w:pPr>
    </w:p>
    <w:p w14:paraId="5C177478"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 xml:space="preserve">These are not recognised in the accounting statements but disclosed in the Notes to the Accounts. </w:t>
      </w:r>
    </w:p>
    <w:p w14:paraId="0ADC1649" w14:textId="77777777" w:rsidR="00D82C87" w:rsidRPr="00243C66" w:rsidRDefault="00D82C87" w:rsidP="00E56AE8">
      <w:pPr>
        <w:spacing w:line="240" w:lineRule="auto"/>
        <w:rPr>
          <w:lang w:eastAsia="en-GB"/>
        </w:rPr>
      </w:pPr>
    </w:p>
    <w:p w14:paraId="384F9735" w14:textId="77777777" w:rsidR="00D82C87" w:rsidRPr="00243C66" w:rsidRDefault="00D82C87" w:rsidP="00E56AE8">
      <w:pPr>
        <w:spacing w:line="240" w:lineRule="auto"/>
        <w:jc w:val="left"/>
        <w:rPr>
          <w:rFonts w:eastAsia="Times New Roman" w:cs="Times New Roman"/>
          <w:b/>
          <w:bCs/>
          <w:color w:val="25316C"/>
          <w:sz w:val="24"/>
          <w:lang w:eastAsia="en-GB"/>
        </w:rPr>
      </w:pPr>
      <w:r>
        <w:rPr>
          <w:rFonts w:eastAsia="Times New Roman" w:cs="Times New Roman"/>
          <w:b/>
          <w:bCs/>
          <w:color w:val="25316C"/>
          <w:sz w:val="24"/>
          <w:lang w:eastAsia="en-GB"/>
        </w:rPr>
        <w:t>19</w:t>
      </w:r>
      <w:r w:rsidRPr="00243C66">
        <w:rPr>
          <w:rFonts w:eastAsia="Times New Roman" w:cs="Times New Roman"/>
          <w:b/>
          <w:bCs/>
          <w:color w:val="25316C"/>
          <w:sz w:val="24"/>
          <w:lang w:eastAsia="en-GB"/>
        </w:rPr>
        <w:t xml:space="preserve">) Exceptional Items and Prior Period Adjustments </w:t>
      </w:r>
    </w:p>
    <w:p w14:paraId="606897EE" w14:textId="77777777" w:rsidR="00D82C87" w:rsidRPr="00243C66" w:rsidRDefault="00D82C87" w:rsidP="00E56AE8">
      <w:pPr>
        <w:spacing w:line="240" w:lineRule="auto"/>
        <w:rPr>
          <w:lang w:eastAsia="en-GB"/>
        </w:rPr>
      </w:pPr>
    </w:p>
    <w:p w14:paraId="279970D6"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 xml:space="preserve">Exceptional items are included in the cost of the service to which they relate or on the face of the CIES if that degree of prominence is necessary in order to give a fair presentation of the Accounts. </w:t>
      </w:r>
    </w:p>
    <w:p w14:paraId="106C03C0"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Extraordinary items are disclosed and described on the CIES after dealing with all items within the ordinary activities of the Authority.</w:t>
      </w:r>
    </w:p>
    <w:p w14:paraId="1AD88F8E" w14:textId="77777777" w:rsidR="00D82C87" w:rsidRPr="00243C66" w:rsidRDefault="00D82C87" w:rsidP="00E56AE8">
      <w:pPr>
        <w:spacing w:line="240" w:lineRule="auto"/>
        <w:rPr>
          <w:rFonts w:eastAsia="Aptos" w:cs="Times New Roman"/>
          <w:color w:val="000000"/>
          <w:lang w:eastAsia="en-GB"/>
        </w:rPr>
      </w:pPr>
    </w:p>
    <w:p w14:paraId="0107F3E9" w14:textId="77777777" w:rsidR="00D82C87" w:rsidRPr="00243C66" w:rsidRDefault="00D82C87" w:rsidP="00E56AE8">
      <w:pPr>
        <w:spacing w:line="240" w:lineRule="auto"/>
        <w:rPr>
          <w:rFonts w:eastAsia="Aptos" w:cs="Times New Roman"/>
          <w:color w:val="000000"/>
          <w:lang w:eastAsia="en-GB"/>
        </w:rPr>
      </w:pPr>
      <w:r w:rsidRPr="1AD673C7">
        <w:rPr>
          <w:rFonts w:eastAsia="Aptos" w:cs="Times New Roman"/>
          <w:lang w:eastAsia="en-GB"/>
        </w:rPr>
        <w:t>Material adjustments applicable to prior years, arising from changes in accounting policies or from the correction of fundamental errors, are accounted for by restating the comparative figures for the preceding period in the Statement of Account and Notes, and adjusting the opening balance of reserves for the cumulative effect.  The cumulative effect of the adjustments is at the foot of the statement of total movements in gains and losses of the current period.</w:t>
      </w:r>
    </w:p>
    <w:p w14:paraId="2924E366" w14:textId="77777777" w:rsidR="00D82C87" w:rsidRPr="00243C66" w:rsidRDefault="00D82C87" w:rsidP="00E56AE8">
      <w:pPr>
        <w:spacing w:line="240" w:lineRule="auto"/>
        <w:rPr>
          <w:rFonts w:eastAsia="Aptos" w:cs="Times New Roman"/>
          <w:color w:val="000000"/>
          <w:lang w:eastAsia="en-GB"/>
        </w:rPr>
      </w:pPr>
    </w:p>
    <w:p w14:paraId="07348AEA"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2</w:t>
      </w:r>
      <w:r>
        <w:rPr>
          <w:rFonts w:eastAsia="Times New Roman" w:cs="Times New Roman"/>
          <w:b/>
          <w:bCs/>
          <w:color w:val="25316C"/>
          <w:sz w:val="24"/>
          <w:lang w:eastAsia="en-GB"/>
        </w:rPr>
        <w:t>0</w:t>
      </w:r>
      <w:r w:rsidRPr="00243C66">
        <w:rPr>
          <w:rFonts w:eastAsia="Times New Roman" w:cs="Times New Roman"/>
          <w:b/>
          <w:bCs/>
          <w:color w:val="25316C"/>
          <w:sz w:val="24"/>
          <w:lang w:eastAsia="en-GB"/>
        </w:rPr>
        <w:t xml:space="preserve">) Events After the Balance Sheet Date </w:t>
      </w:r>
    </w:p>
    <w:p w14:paraId="05C1DD3C" w14:textId="77777777" w:rsidR="00D82C87" w:rsidRPr="00243C66" w:rsidRDefault="00D82C87" w:rsidP="00E56AE8">
      <w:pPr>
        <w:spacing w:line="240" w:lineRule="auto"/>
        <w:rPr>
          <w:lang w:eastAsia="en-GB"/>
        </w:rPr>
      </w:pPr>
    </w:p>
    <w:p w14:paraId="7950F4B0"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 xml:space="preserve">Events after the balance sheet date are reflected up to the date when the Statement of Accounts is authorised for issue.  The date when the Statement of Accounts was authorised for issue and who gave that authorisation is disclosed in the notes to the Statement of Accounts, including confirmation that this is the date up to which events after the balance sheet date have been considered. </w:t>
      </w:r>
    </w:p>
    <w:p w14:paraId="31C7FABD" w14:textId="77777777" w:rsidR="00D82C87" w:rsidRPr="00243C66" w:rsidRDefault="00D82C87" w:rsidP="00E56AE8">
      <w:pPr>
        <w:spacing w:line="240" w:lineRule="auto"/>
        <w:rPr>
          <w:lang w:eastAsia="en-GB"/>
        </w:rPr>
      </w:pPr>
    </w:p>
    <w:p w14:paraId="5FEAEB04"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2</w:t>
      </w:r>
      <w:r>
        <w:rPr>
          <w:rFonts w:eastAsia="Times New Roman" w:cs="Times New Roman"/>
          <w:b/>
          <w:bCs/>
          <w:color w:val="25316C"/>
          <w:sz w:val="24"/>
          <w:lang w:eastAsia="en-GB"/>
        </w:rPr>
        <w:t>1</w:t>
      </w:r>
      <w:r w:rsidRPr="00243C66">
        <w:rPr>
          <w:rFonts w:eastAsia="Times New Roman" w:cs="Times New Roman"/>
          <w:b/>
          <w:bCs/>
          <w:color w:val="25316C"/>
          <w:sz w:val="24"/>
          <w:lang w:eastAsia="en-GB"/>
        </w:rPr>
        <w:t xml:space="preserve">) Estimation Techniques Used </w:t>
      </w:r>
    </w:p>
    <w:p w14:paraId="5246E7CC" w14:textId="77777777" w:rsidR="00D82C87" w:rsidRPr="00243C66" w:rsidRDefault="00D82C87" w:rsidP="00E56AE8">
      <w:pPr>
        <w:spacing w:line="240" w:lineRule="auto"/>
      </w:pPr>
    </w:p>
    <w:p w14:paraId="053753CE" w14:textId="77777777" w:rsidR="00D82C87" w:rsidRPr="00243C66" w:rsidRDefault="00D82C87" w:rsidP="00E56AE8">
      <w:pPr>
        <w:spacing w:line="240" w:lineRule="auto"/>
        <w:rPr>
          <w:rFonts w:eastAsia="Aptos" w:cs="Times New Roman"/>
          <w:color w:val="000000"/>
          <w:lang w:eastAsia="en-GB"/>
        </w:rPr>
      </w:pPr>
      <w:r w:rsidRPr="00243C66">
        <w:rPr>
          <w:rFonts w:eastAsia="Aptos" w:cs="Times New Roman"/>
          <w:color w:val="000000"/>
          <w:lang w:eastAsia="en-GB"/>
        </w:rPr>
        <w:t xml:space="preserve">The Code distinguishes between accounting concepts and estimation techniques that have been used, when required.  The techniques below describe the steps taken to arrive at key monetary values in the Statement of Accounts: </w:t>
      </w:r>
    </w:p>
    <w:p w14:paraId="3696BF62" w14:textId="77777777" w:rsidR="00D82C87" w:rsidRPr="00243C66" w:rsidRDefault="00D82C87" w:rsidP="00E56AE8">
      <w:pPr>
        <w:pStyle w:val="RedBullet"/>
        <w:spacing w:line="240" w:lineRule="auto"/>
        <w:rPr>
          <w:lang w:eastAsia="en-GB"/>
        </w:rPr>
      </w:pPr>
      <w:r w:rsidRPr="00243C66">
        <w:rPr>
          <w:lang w:eastAsia="en-GB"/>
        </w:rPr>
        <w:t>Payroll Creditors i.e. overtime – average overtime rates</w:t>
      </w:r>
    </w:p>
    <w:p w14:paraId="5038D942" w14:textId="77777777" w:rsidR="00D82C87" w:rsidRPr="00243C66" w:rsidRDefault="00D82C87" w:rsidP="00E56AE8">
      <w:pPr>
        <w:pStyle w:val="RedBullet"/>
        <w:spacing w:line="240" w:lineRule="auto"/>
        <w:rPr>
          <w:lang w:eastAsia="en-GB"/>
        </w:rPr>
      </w:pPr>
      <w:r w:rsidRPr="00243C66">
        <w:rPr>
          <w:lang w:eastAsia="en-GB"/>
        </w:rPr>
        <w:t xml:space="preserve">IAS19 Valuation – independent actuaries provide actuarial valuations of future pension liabilities </w:t>
      </w:r>
    </w:p>
    <w:p w14:paraId="2FF39DD5" w14:textId="77777777" w:rsidR="00D82C87" w:rsidRPr="00243C66" w:rsidRDefault="00D82C87" w:rsidP="00E56AE8">
      <w:pPr>
        <w:pStyle w:val="RedBullet"/>
        <w:spacing w:line="240" w:lineRule="auto"/>
        <w:rPr>
          <w:lang w:eastAsia="en-GB"/>
        </w:rPr>
      </w:pPr>
      <w:r w:rsidRPr="00243C66">
        <w:rPr>
          <w:lang w:eastAsia="en-GB"/>
        </w:rPr>
        <w:t>Bad Debts are valued at the receivable value.  Therefore, the cost of collection of debt assessed as recoverable are deducted from the outstanding value</w:t>
      </w:r>
    </w:p>
    <w:p w14:paraId="2FFABA97" w14:textId="77777777" w:rsidR="00D82C87" w:rsidRPr="00243C66" w:rsidRDefault="00D82C87" w:rsidP="00E56AE8">
      <w:pPr>
        <w:pStyle w:val="RedBullet"/>
        <w:spacing w:line="240" w:lineRule="auto"/>
      </w:pPr>
      <w:r w:rsidRPr="00243C66">
        <w:t xml:space="preserve">Property assets are valued at Market Value (MV) and Depreciated Replacement Cost (DRC) but held in fixed assets at the depreciated cost assessed as MV/DRC less the cumulative depreciation over the Useful Economic Life of that asset </w:t>
      </w:r>
    </w:p>
    <w:p w14:paraId="40D4EDE6" w14:textId="77777777" w:rsidR="00D82C87" w:rsidRDefault="00D82C87" w:rsidP="00E56AE8">
      <w:pPr>
        <w:numPr>
          <w:ilvl w:val="1"/>
          <w:numId w:val="0"/>
        </w:numPr>
        <w:tabs>
          <w:tab w:val="left" w:pos="1418"/>
        </w:tabs>
        <w:spacing w:line="240" w:lineRule="auto"/>
        <w:jc w:val="left"/>
        <w:rPr>
          <w:rFonts w:eastAsia="Times New Roman" w:cs="Times New Roman"/>
          <w:b/>
          <w:bCs/>
          <w:color w:val="25316C"/>
          <w:sz w:val="24"/>
        </w:rPr>
      </w:pPr>
    </w:p>
    <w:p w14:paraId="43B76F7D" w14:textId="77777777" w:rsidR="00D82C87" w:rsidRPr="00243C66" w:rsidRDefault="00D82C87" w:rsidP="00E56AE8">
      <w:pPr>
        <w:spacing w:line="240" w:lineRule="auto"/>
        <w:jc w:val="left"/>
        <w:rPr>
          <w:rFonts w:eastAsia="Times New Roman" w:cs="Times New Roman"/>
          <w:b/>
          <w:bCs/>
          <w:color w:val="25316C"/>
          <w:sz w:val="24"/>
        </w:rPr>
      </w:pPr>
      <w:r w:rsidRPr="00243C66">
        <w:rPr>
          <w:rFonts w:eastAsia="Times New Roman" w:cs="Times New Roman"/>
          <w:b/>
          <w:bCs/>
          <w:color w:val="25316C"/>
          <w:sz w:val="24"/>
        </w:rPr>
        <w:t>2</w:t>
      </w:r>
      <w:r>
        <w:rPr>
          <w:rFonts w:eastAsia="Times New Roman" w:cs="Times New Roman"/>
          <w:b/>
          <w:bCs/>
          <w:color w:val="25316C"/>
          <w:sz w:val="24"/>
        </w:rPr>
        <w:t>2</w:t>
      </w:r>
      <w:r w:rsidRPr="00243C66">
        <w:rPr>
          <w:rFonts w:eastAsia="Times New Roman" w:cs="Times New Roman"/>
          <w:b/>
          <w:bCs/>
          <w:color w:val="25316C"/>
          <w:sz w:val="24"/>
        </w:rPr>
        <w:t xml:space="preserve">) Comparison with Previous Years </w:t>
      </w:r>
    </w:p>
    <w:p w14:paraId="6F3CED91" w14:textId="77777777" w:rsidR="00D82C87" w:rsidRPr="00243C66" w:rsidRDefault="00D82C87" w:rsidP="00E56AE8">
      <w:pPr>
        <w:spacing w:line="240" w:lineRule="auto"/>
      </w:pPr>
    </w:p>
    <w:p w14:paraId="0F72C7BE"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Comparative figures for the previous financial year are shown in the Accounts.  The same items are treated alike from one year to the next, except where notes explain otherwise. </w:t>
      </w:r>
    </w:p>
    <w:p w14:paraId="41658570" w14:textId="77777777" w:rsidR="00D82C87" w:rsidRPr="00243C66" w:rsidRDefault="00D82C87" w:rsidP="00E56AE8">
      <w:pPr>
        <w:spacing w:line="240" w:lineRule="auto"/>
      </w:pPr>
    </w:p>
    <w:p w14:paraId="6EBCE31D"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2</w:t>
      </w:r>
      <w:r>
        <w:rPr>
          <w:rFonts w:eastAsia="Times New Roman" w:cs="Times New Roman"/>
          <w:b/>
          <w:bCs/>
          <w:color w:val="25316C"/>
          <w:sz w:val="24"/>
        </w:rPr>
        <w:t>3</w:t>
      </w:r>
      <w:r w:rsidRPr="00243C66">
        <w:rPr>
          <w:rFonts w:eastAsia="Times New Roman" w:cs="Times New Roman"/>
          <w:b/>
          <w:bCs/>
          <w:color w:val="25316C"/>
          <w:sz w:val="24"/>
        </w:rPr>
        <w:t xml:space="preserve">) Actuarial Gains and Losses </w:t>
      </w:r>
    </w:p>
    <w:p w14:paraId="5F61D009" w14:textId="77777777" w:rsidR="00D82C87" w:rsidRPr="00243C66" w:rsidRDefault="00D82C87" w:rsidP="00E56AE8">
      <w:pPr>
        <w:autoSpaceDE w:val="0"/>
        <w:autoSpaceDN w:val="0"/>
        <w:adjustRightInd w:val="0"/>
        <w:spacing w:line="240" w:lineRule="auto"/>
        <w:rPr>
          <w:rFonts w:eastAsia="Aptos" w:cs="Calibri"/>
          <w:color w:val="990032"/>
        </w:rPr>
      </w:pPr>
    </w:p>
    <w:p w14:paraId="4676D6E4"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Changes in the net pensions liability that arise because events have not coincided with assumptions made at the last actuarial valuation or because the actuaries have updated their assumptions are debited to Other Comprehensive Income and Expenditure in the CIES.</w:t>
      </w:r>
    </w:p>
    <w:p w14:paraId="040042B8" w14:textId="77777777" w:rsidR="00E56AE8" w:rsidRDefault="00E56AE8" w:rsidP="00E56AE8">
      <w:pPr>
        <w:spacing w:after="0" w:line="240" w:lineRule="auto"/>
        <w:jc w:val="left"/>
        <w:rPr>
          <w:rFonts w:eastAsia="Times New Roman" w:cs="Times New Roman"/>
          <w:b/>
          <w:bCs/>
          <w:color w:val="25316C"/>
          <w:sz w:val="24"/>
          <w:lang w:eastAsia="en-GB"/>
        </w:rPr>
      </w:pPr>
      <w:r>
        <w:rPr>
          <w:rFonts w:eastAsia="Times New Roman" w:cs="Times New Roman"/>
          <w:b/>
          <w:bCs/>
          <w:color w:val="25316C"/>
          <w:sz w:val="24"/>
          <w:lang w:eastAsia="en-GB"/>
        </w:rPr>
        <w:br w:type="page"/>
      </w:r>
    </w:p>
    <w:p w14:paraId="2DA09CFF" w14:textId="2015EBB5" w:rsidR="00D82C87" w:rsidRPr="00243C66" w:rsidRDefault="00D82C87" w:rsidP="00E56AE8">
      <w:pPr>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lastRenderedPageBreak/>
        <w:t>2</w:t>
      </w:r>
      <w:r>
        <w:rPr>
          <w:rFonts w:eastAsia="Times New Roman" w:cs="Times New Roman"/>
          <w:b/>
          <w:bCs/>
          <w:color w:val="25316C"/>
          <w:sz w:val="24"/>
          <w:lang w:eastAsia="en-GB"/>
        </w:rPr>
        <w:t>4</w:t>
      </w:r>
      <w:r w:rsidRPr="00243C66">
        <w:rPr>
          <w:rFonts w:eastAsia="Times New Roman" w:cs="Times New Roman"/>
          <w:b/>
          <w:bCs/>
          <w:color w:val="25316C"/>
          <w:sz w:val="24"/>
          <w:lang w:eastAsia="en-GB"/>
        </w:rPr>
        <w:t xml:space="preserve">) Opening balances </w:t>
      </w:r>
    </w:p>
    <w:p w14:paraId="05B3A0AE" w14:textId="77777777" w:rsidR="00D82C87" w:rsidRPr="00243C66" w:rsidRDefault="00D82C87" w:rsidP="00E56AE8">
      <w:pPr>
        <w:spacing w:line="240" w:lineRule="auto"/>
        <w:rPr>
          <w:rFonts w:eastAsia="Aptos" w:cs="Calibri"/>
          <w:color w:val="000000"/>
        </w:rPr>
      </w:pPr>
    </w:p>
    <w:p w14:paraId="5727F5F9"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Where the conclusion of an audit on prior year balances has not yet been concluded, opening balances will be based upon the last published financial statements and any change to this will be included within the re-statement note.</w:t>
      </w:r>
    </w:p>
    <w:p w14:paraId="3314253A" w14:textId="77777777" w:rsidR="00D82C87" w:rsidRDefault="00D82C87" w:rsidP="00E56AE8">
      <w:pPr>
        <w:spacing w:line="240" w:lineRule="auto"/>
        <w:jc w:val="left"/>
        <w:rPr>
          <w:rFonts w:eastAsia="Times New Roman" w:cs="Times New Roman"/>
          <w:b/>
          <w:bCs/>
          <w:color w:val="25316C"/>
          <w:sz w:val="24"/>
        </w:rPr>
      </w:pPr>
    </w:p>
    <w:p w14:paraId="26E4FEC2"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2</w:t>
      </w:r>
      <w:r>
        <w:rPr>
          <w:rFonts w:eastAsia="Times New Roman" w:cs="Times New Roman"/>
          <w:b/>
          <w:bCs/>
          <w:color w:val="25316C"/>
          <w:sz w:val="24"/>
        </w:rPr>
        <w:t>5</w:t>
      </w:r>
      <w:r w:rsidRPr="00243C66">
        <w:rPr>
          <w:rFonts w:eastAsia="Times New Roman" w:cs="Times New Roman"/>
          <w:b/>
          <w:bCs/>
          <w:color w:val="25316C"/>
          <w:sz w:val="24"/>
        </w:rPr>
        <w:t xml:space="preserve">) Employee Benefits </w:t>
      </w:r>
    </w:p>
    <w:p w14:paraId="3A0E2667" w14:textId="77777777" w:rsidR="00D82C87" w:rsidRPr="00243C66" w:rsidRDefault="00D82C87" w:rsidP="00E56AE8">
      <w:pPr>
        <w:spacing w:line="240" w:lineRule="auto"/>
      </w:pPr>
    </w:p>
    <w:p w14:paraId="4BE413A9" w14:textId="77777777" w:rsidR="00D82C87" w:rsidRPr="00243C66" w:rsidRDefault="00D82C87" w:rsidP="00E56AE8">
      <w:pPr>
        <w:pStyle w:val="VAHeadingLevel2"/>
        <w:spacing w:line="240" w:lineRule="auto"/>
      </w:pPr>
      <w:r w:rsidRPr="00243C66">
        <w:t xml:space="preserve">Benefits Payable during Employment </w:t>
      </w:r>
    </w:p>
    <w:p w14:paraId="07D316DC" w14:textId="77777777" w:rsidR="00D82C87" w:rsidRDefault="00D82C87" w:rsidP="00E56AE8">
      <w:pPr>
        <w:spacing w:line="240" w:lineRule="auto"/>
        <w:rPr>
          <w:rFonts w:eastAsia="Aptos" w:cs="Times New Roman"/>
          <w:color w:val="000000"/>
        </w:rPr>
      </w:pPr>
      <w:r w:rsidRPr="00243C66">
        <w:rPr>
          <w:rFonts w:eastAsia="Aptos" w:cs="Times New Roman"/>
          <w:color w:val="000000"/>
        </w:rPr>
        <w:t xml:space="preserve">Short-term employee benefits are those due to be settled within 12 months of the year-end.  They include such benefits as salaries, paid annual leave and flexitime, bonuses and non-monetary benefits (e.g. cars) for current employees and are recognised as an expense in the year in which employees render service to the Authority.  </w:t>
      </w:r>
    </w:p>
    <w:p w14:paraId="4820AEF1" w14:textId="77777777" w:rsidR="00D82C87" w:rsidRDefault="00D82C87" w:rsidP="00E56AE8">
      <w:pPr>
        <w:spacing w:line="240" w:lineRule="auto"/>
        <w:rPr>
          <w:rFonts w:eastAsia="Aptos" w:cs="Times New Roman"/>
          <w:color w:val="000000"/>
        </w:rPr>
      </w:pPr>
    </w:p>
    <w:p w14:paraId="28E43628" w14:textId="7A11D639" w:rsidR="00D82C87" w:rsidRPr="00712FC6" w:rsidRDefault="00D82C87" w:rsidP="00E56AE8">
      <w:pPr>
        <w:spacing w:line="240" w:lineRule="auto"/>
        <w:rPr>
          <w:rFonts w:eastAsia="Aptos" w:cs="Times New Roman"/>
          <w:color w:val="000000"/>
        </w:rPr>
      </w:pPr>
      <w:r w:rsidRPr="00712FC6">
        <w:rPr>
          <w:rFonts w:eastAsia="Aptos" w:cs="Times New Roman"/>
          <w:color w:val="000000"/>
        </w:rPr>
        <w:t>Under the CIPFA Code of Practice on Local Authority Accounting, the Authority is required to recognise the cost of untaken annual leave </w:t>
      </w:r>
      <w:proofErr w:type="gramStart"/>
      <w:r w:rsidRPr="00712FC6">
        <w:rPr>
          <w:rFonts w:eastAsia="Aptos" w:cs="Times New Roman"/>
          <w:color w:val="000000"/>
        </w:rPr>
        <w:t>at</w:t>
      </w:r>
      <w:proofErr w:type="gramEnd"/>
      <w:r w:rsidRPr="00712FC6">
        <w:rPr>
          <w:rFonts w:eastAsia="Aptos" w:cs="Times New Roman"/>
          <w:color w:val="000000"/>
        </w:rPr>
        <w:t> 31 March as a liability in the Balance Sheet.  This includes both vesting entitlements (which employees are entitled to carry forward and receive payment for if employment ends) and non-vesting entitlements (which lapse if not taken but still represent a benefit earned during the reporting period). </w:t>
      </w:r>
    </w:p>
    <w:p w14:paraId="55FE77DE" w14:textId="77777777" w:rsidR="00D82C87" w:rsidRPr="00712FC6" w:rsidRDefault="00D82C87" w:rsidP="00E56AE8">
      <w:pPr>
        <w:spacing w:line="240" w:lineRule="auto"/>
        <w:rPr>
          <w:rFonts w:eastAsia="Aptos" w:cs="Times New Roman"/>
          <w:color w:val="000000"/>
        </w:rPr>
      </w:pPr>
      <w:r w:rsidRPr="00712FC6">
        <w:rPr>
          <w:rFonts w:eastAsia="Aptos" w:cs="Times New Roman"/>
          <w:color w:val="000000"/>
        </w:rPr>
        <w:t>To ensure consistency, annual leave costs are reflected in the year in which the leave should have been taken, with an adjustment made between the Accounting Basis and Funding Basis under Regulation, and the corresponding entry posted to the Accumulated Absences Account. </w:t>
      </w:r>
    </w:p>
    <w:p w14:paraId="1E496999" w14:textId="77777777" w:rsidR="00D82C87" w:rsidRPr="00243C66" w:rsidRDefault="00D82C87" w:rsidP="00E56AE8">
      <w:pPr>
        <w:spacing w:line="240" w:lineRule="auto"/>
        <w:rPr>
          <w:rFonts w:eastAsia="Aptos" w:cs="Times New Roman"/>
          <w:b/>
          <w:bCs/>
          <w:color w:val="990032"/>
        </w:rPr>
      </w:pPr>
    </w:p>
    <w:p w14:paraId="0164E648" w14:textId="77777777" w:rsidR="00D82C87" w:rsidRPr="00243C66" w:rsidRDefault="00D82C87" w:rsidP="00E56AE8">
      <w:pPr>
        <w:pStyle w:val="VAHeadingLevel2"/>
        <w:spacing w:line="240" w:lineRule="auto"/>
      </w:pPr>
      <w:r w:rsidRPr="00243C66">
        <w:t xml:space="preserve">Termination Benefits </w:t>
      </w:r>
    </w:p>
    <w:p w14:paraId="16E30784"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Termination benefits are amounts payable as a result of a decision by the Authority to terminate an individual’s employment before the normal retirement date or of an employee’s decision to accept voluntary redundancy in exchange for those benefits.  These are charged on an </w:t>
      </w:r>
      <w:proofErr w:type="gramStart"/>
      <w:r w:rsidRPr="00243C66">
        <w:rPr>
          <w:rFonts w:eastAsia="Aptos" w:cs="Times New Roman"/>
          <w:color w:val="000000"/>
        </w:rPr>
        <w:t>accruals</w:t>
      </w:r>
      <w:proofErr w:type="gramEnd"/>
      <w:r w:rsidRPr="00243C66">
        <w:rPr>
          <w:rFonts w:eastAsia="Aptos" w:cs="Times New Roman"/>
          <w:color w:val="000000"/>
        </w:rPr>
        <w:t xml:space="preserve"> basis to the CIES at the earlier of when the Authority can no longer withdraw the offer of those benefits or when the Authority recognises costs for a restructuring.</w:t>
      </w:r>
    </w:p>
    <w:p w14:paraId="1EA3FEA4" w14:textId="77777777" w:rsidR="00D82C87" w:rsidRPr="00243C66" w:rsidRDefault="00D82C87" w:rsidP="00E56AE8">
      <w:pPr>
        <w:spacing w:line="240" w:lineRule="auto"/>
        <w:rPr>
          <w:rFonts w:eastAsia="Aptos" w:cs="Times New Roman"/>
          <w:b/>
          <w:bCs/>
          <w:color w:val="000000"/>
        </w:rPr>
      </w:pPr>
    </w:p>
    <w:p w14:paraId="146C9496"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When termination benefits involve the enhancement of pensions, statutory provisions require the General Fund Balance to be charged with the amount payable by the Authority to the Pension Fund or pensioner in the year, not the amount calculated according to the relevant accounting standards.  In the Movement in Reserves Statement, appropriations are required to and from the Pensions Reserve to remove the notional debits and credits for pension enhancement termination benefits and replace them with debits for the cash paid to the pension fund and pensioners, and any such amounts payable but unpaid at the year-end.</w:t>
      </w:r>
    </w:p>
    <w:p w14:paraId="248D06C3" w14:textId="77777777" w:rsidR="00D82C87" w:rsidRDefault="00D82C87" w:rsidP="00E56AE8">
      <w:pPr>
        <w:numPr>
          <w:ilvl w:val="1"/>
          <w:numId w:val="0"/>
        </w:numPr>
        <w:tabs>
          <w:tab w:val="left" w:pos="1418"/>
        </w:tabs>
        <w:spacing w:line="240" w:lineRule="auto"/>
        <w:jc w:val="left"/>
        <w:rPr>
          <w:rFonts w:eastAsia="Times New Roman" w:cs="Times New Roman"/>
          <w:b/>
          <w:bCs/>
          <w:color w:val="25316C"/>
          <w:sz w:val="24"/>
        </w:rPr>
      </w:pPr>
    </w:p>
    <w:p w14:paraId="514934E0"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sidRPr="00243C66">
        <w:rPr>
          <w:rFonts w:eastAsia="Times New Roman" w:cs="Times New Roman"/>
          <w:b/>
          <w:bCs/>
          <w:color w:val="25316C"/>
          <w:sz w:val="24"/>
        </w:rPr>
        <w:t>2</w:t>
      </w:r>
      <w:r>
        <w:rPr>
          <w:rFonts w:eastAsia="Times New Roman" w:cs="Times New Roman"/>
          <w:b/>
          <w:bCs/>
          <w:color w:val="25316C"/>
          <w:sz w:val="24"/>
        </w:rPr>
        <w:t>6</w:t>
      </w:r>
      <w:r w:rsidRPr="00243C66">
        <w:rPr>
          <w:rFonts w:eastAsia="Times New Roman" w:cs="Times New Roman"/>
          <w:b/>
          <w:bCs/>
          <w:color w:val="25316C"/>
          <w:sz w:val="24"/>
        </w:rPr>
        <w:t xml:space="preserve">) Transactions relating to Retirement Benefits </w:t>
      </w:r>
    </w:p>
    <w:p w14:paraId="007E6941" w14:textId="77777777" w:rsidR="00D82C87" w:rsidRPr="00243C66" w:rsidRDefault="00D82C87" w:rsidP="00E56AE8">
      <w:pPr>
        <w:autoSpaceDE w:val="0"/>
        <w:autoSpaceDN w:val="0"/>
        <w:adjustRightInd w:val="0"/>
        <w:spacing w:line="240" w:lineRule="auto"/>
        <w:rPr>
          <w:rFonts w:eastAsia="Times New Roman" w:cs="Calibri"/>
          <w:b/>
          <w:bCs/>
          <w:color w:val="990032"/>
          <w:sz w:val="22"/>
          <w:szCs w:val="22"/>
          <w:lang w:eastAsia="en-GB"/>
        </w:rPr>
      </w:pPr>
    </w:p>
    <w:p w14:paraId="0C98A5C1" w14:textId="77777777" w:rsidR="00D82C87" w:rsidRPr="00243C66" w:rsidRDefault="00D82C87" w:rsidP="00E56AE8">
      <w:pPr>
        <w:autoSpaceDE w:val="0"/>
        <w:autoSpaceDN w:val="0"/>
        <w:adjustRightInd w:val="0"/>
        <w:spacing w:line="240" w:lineRule="auto"/>
        <w:rPr>
          <w:rFonts w:eastAsia="Aptos" w:cs="Times New Roman"/>
          <w:lang w:eastAsia="en-GB"/>
        </w:rPr>
      </w:pPr>
      <w:r w:rsidRPr="1755DD5E">
        <w:rPr>
          <w:rFonts w:eastAsia="Aptos" w:cs="Times New Roman"/>
        </w:rPr>
        <w:t xml:space="preserve">As part of the terms and conditions of employment of its officers and other employees, the OPFCC and OCC offer retirement benefits.  These benefits will not actually be payable until employees retire, but the Authority discloses the value of the payments that would need to be paid at the time that employees earn their future entitlement.  Depending on their employer and role, opted-in employees will be members of the following pensions schemes: </w:t>
      </w:r>
    </w:p>
    <w:p w14:paraId="571B8700" w14:textId="77777777" w:rsidR="00D82C87" w:rsidRDefault="00D82C87" w:rsidP="00E56AE8">
      <w:pPr>
        <w:spacing w:line="240" w:lineRule="auto"/>
        <w:rPr>
          <w:rFonts w:eastAsia="Aptos" w:cs="Times New Roman"/>
        </w:rPr>
      </w:pPr>
    </w:p>
    <w:p w14:paraId="04998C26" w14:textId="77777777" w:rsidR="00E56AE8" w:rsidRDefault="00E56AE8" w:rsidP="00E56AE8">
      <w:pPr>
        <w:spacing w:after="0" w:line="240" w:lineRule="auto"/>
        <w:jc w:val="left"/>
        <w:rPr>
          <w:rFonts w:eastAsia="Times New Roman" w:cs="Times New Roman"/>
          <w:bCs/>
          <w:color w:val="25316C"/>
          <w:sz w:val="24"/>
        </w:rPr>
      </w:pPr>
      <w:r>
        <w:rPr>
          <w:rFonts w:eastAsia="Times New Roman" w:cs="Times New Roman"/>
          <w:bCs/>
          <w:color w:val="25316C"/>
          <w:sz w:val="24"/>
        </w:rPr>
        <w:br w:type="page"/>
      </w:r>
    </w:p>
    <w:p w14:paraId="5616DE95" w14:textId="190C36A8" w:rsidR="00D82C87" w:rsidRPr="003A779A" w:rsidRDefault="00D82C87" w:rsidP="00E56AE8">
      <w:pPr>
        <w:numPr>
          <w:ilvl w:val="2"/>
          <w:numId w:val="0"/>
        </w:numPr>
        <w:tabs>
          <w:tab w:val="left" w:pos="1985"/>
        </w:tabs>
        <w:spacing w:line="240" w:lineRule="auto"/>
        <w:jc w:val="left"/>
        <w:rPr>
          <w:rFonts w:eastAsia="Times New Roman" w:cs="Times New Roman"/>
          <w:bCs/>
          <w:color w:val="25316C"/>
          <w:sz w:val="24"/>
        </w:rPr>
      </w:pPr>
      <w:r w:rsidRPr="003A779A">
        <w:rPr>
          <w:rFonts w:eastAsia="Times New Roman" w:cs="Times New Roman"/>
          <w:bCs/>
          <w:color w:val="25316C"/>
          <w:sz w:val="24"/>
        </w:rPr>
        <w:lastRenderedPageBreak/>
        <w:t xml:space="preserve">The Police Pension Scheme for Police Officers </w:t>
      </w:r>
    </w:p>
    <w:p w14:paraId="4665D88A"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The Police Pension Scheme (PPS) is an unfunded defined benefit scheme administered by XPS on behalf of OPFCC and is governed by</w:t>
      </w:r>
      <w:r>
        <w:rPr>
          <w:rFonts w:eastAsia="Aptos" w:cs="Times New Roman"/>
          <w:color w:val="000000"/>
        </w:rPr>
        <w:t>:</w:t>
      </w:r>
    </w:p>
    <w:p w14:paraId="4C30FAE0" w14:textId="77777777" w:rsidR="00D82C87" w:rsidRPr="00243C66" w:rsidRDefault="00D82C87" w:rsidP="00E56AE8">
      <w:pPr>
        <w:pStyle w:val="RedBullet"/>
        <w:spacing w:line="240" w:lineRule="auto"/>
        <w:rPr>
          <w:rFonts w:eastAsia="Aptos"/>
        </w:rPr>
      </w:pPr>
      <w:r w:rsidRPr="00243C66">
        <w:rPr>
          <w:rFonts w:eastAsia="Aptos"/>
        </w:rPr>
        <w:t>The Police Pension Regulations 1987 (as amended) and related regulations that are made under the Police Pensions Act 1976</w:t>
      </w:r>
    </w:p>
    <w:p w14:paraId="0E154DED" w14:textId="77777777" w:rsidR="00D82C87" w:rsidRPr="00243C66" w:rsidRDefault="00D82C87" w:rsidP="00E56AE8">
      <w:pPr>
        <w:pStyle w:val="RedBullet"/>
        <w:spacing w:line="240" w:lineRule="auto"/>
        <w:rPr>
          <w:rFonts w:eastAsia="Aptos"/>
        </w:rPr>
      </w:pPr>
      <w:r w:rsidRPr="00243C66">
        <w:rPr>
          <w:rFonts w:eastAsia="Aptos"/>
        </w:rPr>
        <w:t>The new Police Pensions Scheme (NPPS) is governed by the Police Pensions Act 1976 (as amended by the Police Pension Regulations 2006)</w:t>
      </w:r>
    </w:p>
    <w:p w14:paraId="625B3BD0" w14:textId="77777777" w:rsidR="00D82C87" w:rsidRPr="00243C66" w:rsidRDefault="00D82C87" w:rsidP="00E56AE8">
      <w:pPr>
        <w:pStyle w:val="RedBullet"/>
        <w:spacing w:line="240" w:lineRule="auto"/>
        <w:rPr>
          <w:rFonts w:eastAsia="Aptos"/>
        </w:rPr>
      </w:pPr>
      <w:r w:rsidRPr="00243C66">
        <w:rPr>
          <w:rFonts w:eastAsia="Aptos"/>
        </w:rPr>
        <w:t>The latest Pension Scheme (2015) is governed by the Police Pensions Act 1976 (as amended by the Police Pension Regulations 2015)</w:t>
      </w:r>
    </w:p>
    <w:p w14:paraId="611275AC" w14:textId="77777777" w:rsidR="00D82C87" w:rsidRPr="00243C66" w:rsidRDefault="00D82C87" w:rsidP="00E56AE8">
      <w:pPr>
        <w:spacing w:line="240" w:lineRule="auto"/>
        <w:rPr>
          <w:rFonts w:eastAsia="Aptos" w:cs="Times New Roman"/>
          <w:color w:val="000000"/>
        </w:rPr>
      </w:pPr>
    </w:p>
    <w:p w14:paraId="1C3942E5"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The 1987 and 2006 schemes have now been closed to new entrants and payments from or to those pension schemes are only being made under the national pension remedy review.</w:t>
      </w:r>
    </w:p>
    <w:p w14:paraId="5BC804E3" w14:textId="77777777" w:rsidR="00D82C87" w:rsidRPr="00243C66" w:rsidRDefault="00D82C87" w:rsidP="00E56AE8">
      <w:pPr>
        <w:spacing w:line="240" w:lineRule="auto"/>
        <w:rPr>
          <w:rFonts w:eastAsia="Aptos" w:cs="Times New Roman"/>
          <w:color w:val="000000"/>
        </w:rPr>
      </w:pPr>
    </w:p>
    <w:p w14:paraId="23704D10"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All three pensions are unfunded which means there are no investment assets built up to meet pension’s liabilities, and cash has to be generated to meet actual pension payments as they eventually fall due. </w:t>
      </w:r>
    </w:p>
    <w:p w14:paraId="26491510" w14:textId="77777777" w:rsidR="00D82C87" w:rsidRPr="00243C66" w:rsidRDefault="00D82C87" w:rsidP="00E56AE8">
      <w:pPr>
        <w:spacing w:line="240" w:lineRule="auto"/>
        <w:rPr>
          <w:rFonts w:eastAsia="Aptos" w:cs="Times New Roman"/>
          <w:color w:val="000000"/>
        </w:rPr>
      </w:pPr>
    </w:p>
    <w:p w14:paraId="5CB9CDC5"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funding arrangements for police officer pensions changed on 1 April 2006, when an employer’s contribution rate was set by the Home Office, which is charged to the Comprehensive Income and Expenditure Statement.  </w:t>
      </w:r>
    </w:p>
    <w:p w14:paraId="5F17D8EE"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Also, from 1 April 2006, each OPFCC was required by legislation to operate a Pension Fund Account.  The amounts that must be paid into and out of the account are specified by regulation.  Officer’s contributions and the employer’s contribution are paid into the pension account from which pension payments are made.  Under the Police Pension Fund Regulations 2007, if the amounts receivable by the pensions fund for the year are less than amounts payable, the OPFCC must annually transfer an amount required to meet the deficit to the pension fund.  Subject to parliamentary scrutiny and approval, up to 100% of this cost is met by central government pension top-up grant.  If, however, the pension fund is in surplus for the year, the surplus is required to be transferred from the pension fund to the OPFCC, which then must repay the amount to central government. </w:t>
      </w:r>
    </w:p>
    <w:p w14:paraId="30E9FE8D" w14:textId="77777777" w:rsidR="00D82C87" w:rsidRPr="00243C66" w:rsidRDefault="00D82C87" w:rsidP="00E56AE8">
      <w:pPr>
        <w:spacing w:line="240" w:lineRule="auto"/>
        <w:rPr>
          <w:rFonts w:eastAsia="Aptos" w:cs="Calibri"/>
          <w:color w:val="000000"/>
        </w:rPr>
      </w:pPr>
    </w:p>
    <w:p w14:paraId="1BD723C4" w14:textId="77777777" w:rsidR="00D82C87" w:rsidRPr="00243C66" w:rsidRDefault="00D82C87" w:rsidP="00E56AE8">
      <w:pPr>
        <w:numPr>
          <w:ilvl w:val="2"/>
          <w:numId w:val="0"/>
        </w:numPr>
        <w:tabs>
          <w:tab w:val="left" w:pos="1985"/>
        </w:tabs>
        <w:spacing w:line="240" w:lineRule="auto"/>
        <w:jc w:val="left"/>
        <w:rPr>
          <w:rFonts w:eastAsia="Times New Roman" w:cs="Times New Roman"/>
          <w:bCs/>
          <w:color w:val="25316C"/>
          <w:sz w:val="24"/>
        </w:rPr>
      </w:pPr>
      <w:r w:rsidRPr="00243C66">
        <w:rPr>
          <w:rFonts w:eastAsia="Times New Roman" w:cs="Times New Roman"/>
          <w:bCs/>
          <w:color w:val="25316C"/>
          <w:sz w:val="24"/>
        </w:rPr>
        <w:t xml:space="preserve">The Local Government Pension Scheme for civilian employees </w:t>
      </w:r>
    </w:p>
    <w:p w14:paraId="2783E70D"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Local Government Pension Scheme for civilian employees, administered locally by West Northamptonshire Council, is a funded defined benefit final salary scheme, meaning that the OPFCC and employees pay contributions into a fund, calculated at a level intended to balance the pension’s liabilities with investment assets. </w:t>
      </w:r>
    </w:p>
    <w:p w14:paraId="0A43B731" w14:textId="77777777" w:rsidR="00D82C87" w:rsidRPr="00243C66" w:rsidRDefault="00D82C87" w:rsidP="00E56AE8">
      <w:pPr>
        <w:spacing w:line="240" w:lineRule="auto"/>
        <w:rPr>
          <w:rFonts w:eastAsia="Aptos" w:cs="Times New Roman"/>
          <w:color w:val="000000"/>
        </w:rPr>
      </w:pPr>
    </w:p>
    <w:p w14:paraId="62D781A1"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Actuarial valuations of the fund are undertaken every three years to determine the contributions rates needed to meet its liabilities. </w:t>
      </w:r>
    </w:p>
    <w:p w14:paraId="0094EB7D" w14:textId="77777777" w:rsidR="00D82C87" w:rsidRPr="00243C66" w:rsidRDefault="00D82C87" w:rsidP="00E56AE8">
      <w:pPr>
        <w:spacing w:line="240" w:lineRule="auto"/>
        <w:rPr>
          <w:rFonts w:eastAsia="Aptos" w:cs="Times New Roman"/>
          <w:color w:val="000000"/>
        </w:rPr>
      </w:pPr>
    </w:p>
    <w:p w14:paraId="6C1AC065"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accounts show the full implementation of IAS 19 (Retirement Benefits).  IAS 19 requires organisations to recognise retirement benefits in the Comprehensive Income and Expenditure Statement when they are earned, even though the benefits will not be payable until employees retire.  However, as statutory procedures require the charge against Council Tax to be based on the amounts payable by the OPFCC to the pension fund during the year, an appropriation is made with the pension’s reserve which equals the net change in the pension’s liability, recognised in the Comprehensive Income and Expenditure Statement.  The neutralising entry is within Adjustments made between Accounting Basis and Funding Basis under Regulations. </w:t>
      </w:r>
    </w:p>
    <w:p w14:paraId="5953E66A" w14:textId="77777777" w:rsidR="00D82C87" w:rsidRPr="00243C66" w:rsidRDefault="00D82C87" w:rsidP="00E56AE8">
      <w:pPr>
        <w:spacing w:line="240" w:lineRule="auto"/>
        <w:rPr>
          <w:rFonts w:eastAsia="Aptos" w:cs="Times New Roman"/>
          <w:color w:val="000000"/>
        </w:rPr>
      </w:pPr>
    </w:p>
    <w:p w14:paraId="02BB6254"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Balance Sheet discloses the OPFCC’s net liability in relation to retirement benefits.  The figures are based on the actuary’s latest estimate. </w:t>
      </w:r>
    </w:p>
    <w:p w14:paraId="69B7E09E" w14:textId="77777777" w:rsidR="00D82C87" w:rsidRPr="00243C66" w:rsidRDefault="00D82C87" w:rsidP="00E56AE8">
      <w:pPr>
        <w:spacing w:line="240" w:lineRule="auto"/>
        <w:rPr>
          <w:rFonts w:eastAsia="Aptos" w:cs="Times New Roman"/>
          <w:color w:val="000000"/>
        </w:rPr>
      </w:pPr>
    </w:p>
    <w:p w14:paraId="4E30FEC4"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Note 37 to the Core Financial Statements provide further information about the pension schemes. </w:t>
      </w:r>
    </w:p>
    <w:p w14:paraId="48AA8F3A" w14:textId="77777777" w:rsidR="00D82C87" w:rsidRPr="00243C66" w:rsidRDefault="00D82C87" w:rsidP="00E56AE8">
      <w:pPr>
        <w:spacing w:line="240" w:lineRule="auto"/>
        <w:rPr>
          <w:rFonts w:eastAsia="Aptos" w:cs="Calibri"/>
          <w:color w:val="000000"/>
        </w:rPr>
      </w:pPr>
    </w:p>
    <w:p w14:paraId="52457EBC" w14:textId="77777777" w:rsidR="00D82C87" w:rsidRPr="00243C66" w:rsidRDefault="00D82C87" w:rsidP="00E56AE8">
      <w:pPr>
        <w:spacing w:line="240" w:lineRule="auto"/>
        <w:rPr>
          <w:rFonts w:eastAsia="Aptos" w:cs="Times New Roman"/>
          <w:b/>
          <w:bCs/>
          <w:color w:val="990032"/>
        </w:rPr>
      </w:pPr>
      <w:r w:rsidRPr="00243C66">
        <w:rPr>
          <w:rFonts w:eastAsia="Aptos" w:cs="Times New Roman"/>
          <w:color w:val="000000"/>
        </w:rPr>
        <w:t xml:space="preserve">The above schemes provide defined benefits to members (retirement lump sums and pensions), earned as employees work for the Authority.  They are accounted for in accordance with the requirements for Defined </w:t>
      </w:r>
      <w:r w:rsidRPr="00243C66">
        <w:rPr>
          <w:rFonts w:eastAsia="Aptos" w:cs="Times New Roman"/>
          <w:color w:val="000000"/>
        </w:rPr>
        <w:lastRenderedPageBreak/>
        <w:t>Benefits Schemes, based on the principle that an organisation should account for retirement benefits when it is committed to give them, even though this may be many years into the future.</w:t>
      </w:r>
    </w:p>
    <w:p w14:paraId="4F1BC3E5" w14:textId="77777777" w:rsidR="00D82C87" w:rsidRPr="00243C66" w:rsidRDefault="00D82C87" w:rsidP="00E56AE8">
      <w:pPr>
        <w:spacing w:line="240" w:lineRule="auto"/>
        <w:rPr>
          <w:rFonts w:eastAsia="Aptos" w:cs="Times New Roman"/>
          <w:b/>
          <w:bCs/>
          <w:color w:val="990032"/>
        </w:rPr>
      </w:pPr>
    </w:p>
    <w:p w14:paraId="7736FA9C"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A pensions asset or liability is recognised in the Balance Sheet, made up of the net position of retirement liabilities and pension scheme assets.  Retirement liabilities are measured on an actuarial basis using the projected unit method, by assessing the future payments that will be made in relation to retirement benefits earned to date by employees, based on assumptions about mortality rates, employee turnover rates and projections of earnings for current employees.  Pension scheme assets (LGPS only) attributable to the Authority are included at their Fair Value.  The Authority currently has a net pensions liability, and this is matched in the Balance Sheet by a Pensions Reserve. </w:t>
      </w:r>
    </w:p>
    <w:p w14:paraId="13392B62"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change in net pensions liability during the year is analysed into the following components: </w:t>
      </w:r>
    </w:p>
    <w:p w14:paraId="13421A0F" w14:textId="77777777" w:rsidR="00D82C87" w:rsidRPr="00243C66" w:rsidRDefault="00D82C87" w:rsidP="00E56AE8">
      <w:pPr>
        <w:spacing w:line="240" w:lineRule="auto"/>
        <w:rPr>
          <w:rFonts w:eastAsia="Aptos" w:cs="Times New Roman"/>
          <w:color w:val="000000"/>
        </w:rPr>
      </w:pPr>
    </w:p>
    <w:p w14:paraId="69EE618D"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Service Cost, comprising: </w:t>
      </w:r>
    </w:p>
    <w:p w14:paraId="79214F96" w14:textId="77777777" w:rsidR="00D82C87" w:rsidRPr="00243C66" w:rsidRDefault="00D82C87" w:rsidP="00E56AE8">
      <w:pPr>
        <w:spacing w:line="240" w:lineRule="auto"/>
        <w:rPr>
          <w:rFonts w:eastAsia="Aptos" w:cs="Calibri"/>
          <w:color w:val="000000"/>
        </w:rPr>
      </w:pPr>
    </w:p>
    <w:p w14:paraId="0DF726E1" w14:textId="77777777" w:rsidR="00D82C87" w:rsidRPr="00243C66" w:rsidRDefault="00D82C87" w:rsidP="00E56AE8">
      <w:pPr>
        <w:pStyle w:val="RedBullet"/>
        <w:spacing w:line="240" w:lineRule="auto"/>
      </w:pPr>
      <w:r w:rsidRPr="00243C66">
        <w:t>Current service cost – the increase in Liabilities as a result of service earned by employees in the current year.  This is charged to services within the CIES</w:t>
      </w:r>
    </w:p>
    <w:p w14:paraId="5D9B431A" w14:textId="77777777" w:rsidR="00D82C87" w:rsidRPr="00243C66" w:rsidRDefault="00D82C87" w:rsidP="00E56AE8">
      <w:pPr>
        <w:pStyle w:val="RedBullet"/>
        <w:spacing w:line="240" w:lineRule="auto"/>
      </w:pPr>
      <w:r w:rsidRPr="00243C66">
        <w:t xml:space="preserve">Past service cost – the increase in liabilities as a result of a scheme amendment or curtailment whose effect relates to service earned in earlier years.  This is part of the services line in the CIES </w:t>
      </w:r>
    </w:p>
    <w:p w14:paraId="286A3395" w14:textId="77777777" w:rsidR="00D82C87" w:rsidRPr="00243C66" w:rsidRDefault="00D82C87" w:rsidP="00E56AE8">
      <w:pPr>
        <w:pStyle w:val="RedBullet"/>
        <w:spacing w:line="240" w:lineRule="auto"/>
      </w:pPr>
      <w:r w:rsidRPr="00243C66">
        <w:t>Net interest on the net defined benefit liability – the change during the period in the net defined benefit liability that arises from the passage of time.  This is calculated by applying the discount rate used to measure the defined benefit obligation at the beginning of the period to the net defined benefit liability at the end of the period, taking into account any changes in the net defined benefit liability during the period as a result of contribution and benefit payments.  This is charged to the Financing and Investment Income and Expenditure line within the CIES</w:t>
      </w:r>
    </w:p>
    <w:p w14:paraId="0D49ADA1" w14:textId="77777777" w:rsidR="00D82C87" w:rsidRPr="00243C66" w:rsidRDefault="00D82C87" w:rsidP="00E56AE8">
      <w:pPr>
        <w:spacing w:line="240" w:lineRule="auto"/>
        <w:rPr>
          <w:rFonts w:eastAsia="Aptos" w:cs="Calibri"/>
          <w:color w:val="000000"/>
        </w:rPr>
      </w:pPr>
    </w:p>
    <w:p w14:paraId="5E96AC70"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Remeasurements, comprising:</w:t>
      </w:r>
    </w:p>
    <w:p w14:paraId="5562324E" w14:textId="77777777" w:rsidR="00D82C87" w:rsidRPr="00243C66" w:rsidRDefault="00D82C87" w:rsidP="00E56AE8">
      <w:pPr>
        <w:spacing w:line="240" w:lineRule="auto"/>
        <w:rPr>
          <w:rFonts w:eastAsia="Aptos" w:cs="Calibri"/>
          <w:color w:val="000000"/>
        </w:rPr>
      </w:pPr>
    </w:p>
    <w:p w14:paraId="3330D093" w14:textId="77777777" w:rsidR="00D82C87" w:rsidRPr="00243C66" w:rsidRDefault="00D82C87" w:rsidP="00E56AE8">
      <w:pPr>
        <w:pStyle w:val="RedBullet"/>
        <w:spacing w:line="240" w:lineRule="auto"/>
      </w:pPr>
      <w:r w:rsidRPr="00243C66">
        <w:t>The return on plan assets (LGPS only) – this excludes amounts included in net interest on the net defined benefit liability and is charged to the Pensions Reserve as ‘Other Comprehensive Income and Expenditure’</w:t>
      </w:r>
    </w:p>
    <w:p w14:paraId="72BE6301" w14:textId="77777777" w:rsidR="00D82C87" w:rsidRPr="00243C66" w:rsidRDefault="00D82C87" w:rsidP="00E56AE8">
      <w:pPr>
        <w:pStyle w:val="RedBullet"/>
        <w:spacing w:line="240" w:lineRule="auto"/>
      </w:pPr>
      <w:r w:rsidRPr="00243C66">
        <w:t xml:space="preserve">Actuarial gains and losses – changes in the net pensions liability that arise because events have not coincided with assumptions made at the last actuarial valuation or because the actuaries have updated their assumptions.  This is charged to the Pensions Reserve as ‘Other Comprehensive Income and Expenditure’ </w:t>
      </w:r>
    </w:p>
    <w:p w14:paraId="0CE901C5" w14:textId="77777777" w:rsidR="00D82C87" w:rsidRPr="00243C66" w:rsidRDefault="00D82C87" w:rsidP="00E56AE8">
      <w:pPr>
        <w:pStyle w:val="RedBullet"/>
        <w:spacing w:line="240" w:lineRule="auto"/>
      </w:pPr>
      <w:r w:rsidRPr="00243C66">
        <w:t>Contributions paid / benefits paid – cash paid as employer’s contribution by the Authority either to LGPS or directly to pensioners to reduce the scheme liabilities</w:t>
      </w:r>
    </w:p>
    <w:p w14:paraId="61F5A553" w14:textId="77777777" w:rsidR="00D82C87" w:rsidRPr="00243C66" w:rsidRDefault="00D82C87" w:rsidP="00E56AE8">
      <w:pPr>
        <w:spacing w:line="240" w:lineRule="auto"/>
        <w:rPr>
          <w:rFonts w:eastAsia="Aptos" w:cs="Calibri"/>
          <w:color w:val="000000"/>
        </w:rPr>
      </w:pPr>
    </w:p>
    <w:p w14:paraId="27D45B4A" w14:textId="77777777" w:rsidR="00D82C87" w:rsidRDefault="00D82C87" w:rsidP="00E56AE8">
      <w:pPr>
        <w:spacing w:line="240" w:lineRule="auto"/>
        <w:rPr>
          <w:rFonts w:eastAsia="Aptos" w:cs="Times New Roman"/>
          <w:color w:val="000000"/>
        </w:rPr>
      </w:pPr>
      <w:r w:rsidRPr="00243C66">
        <w:rPr>
          <w:rFonts w:eastAsia="Aptos" w:cs="Times New Roman"/>
          <w:color w:val="000000"/>
        </w:rPr>
        <w:t xml:space="preserve">Statutory provisions require that the amount charged to the General Fund Balance is that payable by the Authority to pensions funds or directly to pensioners during the year rather than that calculated under accounting standards.  This means that an appropriation to or from the Pensions Reserve is done within the Movement in Reserves Statement to replace the notional sums for retirement benefits with the actual </w:t>
      </w:r>
      <w:proofErr w:type="gramStart"/>
      <w:r w:rsidRPr="00243C66">
        <w:rPr>
          <w:rFonts w:eastAsia="Aptos" w:cs="Times New Roman"/>
          <w:color w:val="000000"/>
        </w:rPr>
        <w:t>pensions</w:t>
      </w:r>
      <w:proofErr w:type="gramEnd"/>
      <w:r w:rsidRPr="00243C66">
        <w:rPr>
          <w:rFonts w:eastAsia="Aptos" w:cs="Times New Roman"/>
          <w:color w:val="000000"/>
        </w:rPr>
        <w:t xml:space="preserve"> costs.  The negative balance on the Pensions Reserve thereby measures the beneficial impact to the General Fund of being required to account for retirement benefits on the basis of cash flows rather than as benefits are earned by employees. </w:t>
      </w:r>
    </w:p>
    <w:p w14:paraId="18BEDC35" w14:textId="77777777" w:rsidR="00D82C87" w:rsidRPr="00243C66" w:rsidRDefault="00D82C87" w:rsidP="00E56AE8">
      <w:pPr>
        <w:spacing w:line="240" w:lineRule="auto"/>
        <w:rPr>
          <w:rFonts w:eastAsia="Aptos" w:cs="Times New Roman"/>
          <w:color w:val="000000"/>
        </w:rPr>
      </w:pPr>
    </w:p>
    <w:p w14:paraId="6D12AB2D"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243C66">
        <w:rPr>
          <w:rFonts w:eastAsia="Times New Roman" w:cs="Times New Roman"/>
          <w:b/>
          <w:bCs/>
          <w:color w:val="25316C"/>
          <w:sz w:val="24"/>
          <w:lang w:eastAsia="en-GB"/>
        </w:rPr>
        <w:t>2</w:t>
      </w:r>
      <w:r>
        <w:rPr>
          <w:rFonts w:eastAsia="Times New Roman" w:cs="Times New Roman"/>
          <w:b/>
          <w:bCs/>
          <w:color w:val="25316C"/>
          <w:sz w:val="24"/>
          <w:lang w:eastAsia="en-GB"/>
        </w:rPr>
        <w:t>7</w:t>
      </w:r>
      <w:r w:rsidRPr="00243C66">
        <w:rPr>
          <w:rFonts w:eastAsia="Times New Roman" w:cs="Times New Roman"/>
          <w:b/>
          <w:bCs/>
          <w:color w:val="25316C"/>
          <w:sz w:val="24"/>
          <w:lang w:eastAsia="en-GB"/>
        </w:rPr>
        <w:t xml:space="preserve">) Interest in Companies and Other Entities </w:t>
      </w:r>
    </w:p>
    <w:p w14:paraId="003DD9F5" w14:textId="77777777" w:rsidR="00D82C87" w:rsidRPr="00243C66" w:rsidRDefault="00D82C87" w:rsidP="00E56AE8">
      <w:pPr>
        <w:spacing w:line="240" w:lineRule="auto"/>
        <w:rPr>
          <w:rFonts w:eastAsia="Aptos" w:cs="Calibri"/>
          <w:color w:val="000000"/>
        </w:rPr>
      </w:pPr>
    </w:p>
    <w:p w14:paraId="5FDF422D" w14:textId="20D3E21B" w:rsidR="00D82C87" w:rsidRPr="00243C66" w:rsidRDefault="00D82C87" w:rsidP="00E56AE8">
      <w:pPr>
        <w:spacing w:line="240" w:lineRule="auto"/>
        <w:rPr>
          <w:rFonts w:eastAsia="Aptos" w:cs="Times New Roman"/>
          <w:color w:val="000000"/>
        </w:rPr>
      </w:pPr>
      <w:r w:rsidRPr="00243C66">
        <w:rPr>
          <w:rFonts w:eastAsia="Aptos" w:cs="Times New Roman"/>
          <w:color w:val="000000"/>
        </w:rPr>
        <w:t xml:space="preserve">The Authority is required to produce Group Accounts alongside its own financial statements where it has material interests in subsidiaries, associates and/or joint ventures.  The OPFCC previously had involvement with Voice for Victims and Witnesses, a company set up by guarantee in 2017/18 and concluded that the requirement to produce Group Accounts applies in relation to it.  Employees of Voice for Victims and Witnesses transferred employment to the OPFCC on the 31 March 2023.  This company was dissolved on 6 February 2024 with all assets </w:t>
      </w:r>
      <w:r w:rsidRPr="00243C66">
        <w:rPr>
          <w:rFonts w:eastAsia="Aptos" w:cs="Times New Roman"/>
          <w:color w:val="000000"/>
        </w:rPr>
        <w:lastRenderedPageBreak/>
        <w:t>and liabilities being transferred to the OPFCC from this day onwards.  The company is therefore no longer included separately (as a Joint Venture or otherwise) in this set of Accounts.</w:t>
      </w:r>
    </w:p>
    <w:p w14:paraId="12FA9EB4" w14:textId="77777777" w:rsidR="00D82C87" w:rsidRDefault="00D82C87" w:rsidP="00E56AE8">
      <w:pPr>
        <w:spacing w:line="240" w:lineRule="auto"/>
        <w:jc w:val="left"/>
        <w:rPr>
          <w:rFonts w:eastAsia="Times New Roman" w:cs="Times New Roman"/>
          <w:b/>
          <w:bCs/>
          <w:color w:val="25316C"/>
          <w:sz w:val="24"/>
          <w:lang w:eastAsia="en-GB"/>
        </w:rPr>
      </w:pPr>
    </w:p>
    <w:p w14:paraId="33A725E6" w14:textId="77777777" w:rsidR="00D82C87"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r w:rsidRPr="00712FC6">
        <w:rPr>
          <w:rFonts w:eastAsia="Times New Roman" w:cs="Times New Roman"/>
          <w:b/>
          <w:bCs/>
          <w:color w:val="25316C"/>
          <w:sz w:val="24"/>
          <w:lang w:eastAsia="en-GB"/>
        </w:rPr>
        <w:t>2</w:t>
      </w:r>
      <w:r>
        <w:rPr>
          <w:rFonts w:eastAsia="Times New Roman" w:cs="Times New Roman"/>
          <w:b/>
          <w:bCs/>
          <w:color w:val="25316C"/>
          <w:sz w:val="24"/>
          <w:lang w:eastAsia="en-GB"/>
        </w:rPr>
        <w:t>8</w:t>
      </w:r>
      <w:r w:rsidRPr="00712FC6">
        <w:rPr>
          <w:rFonts w:eastAsia="Times New Roman" w:cs="Times New Roman"/>
          <w:b/>
          <w:bCs/>
          <w:color w:val="25316C"/>
          <w:sz w:val="24"/>
          <w:lang w:eastAsia="en-GB"/>
        </w:rPr>
        <w:t>) Borrowing </w:t>
      </w:r>
    </w:p>
    <w:p w14:paraId="2E65BF79" w14:textId="77777777" w:rsidR="00D82C87" w:rsidRPr="00712FC6" w:rsidRDefault="00D82C87" w:rsidP="00E56AE8">
      <w:pPr>
        <w:numPr>
          <w:ilvl w:val="1"/>
          <w:numId w:val="0"/>
        </w:numPr>
        <w:tabs>
          <w:tab w:val="left" w:pos="1418"/>
        </w:tabs>
        <w:spacing w:line="240" w:lineRule="auto"/>
        <w:jc w:val="left"/>
        <w:rPr>
          <w:rFonts w:eastAsia="Times New Roman" w:cs="Times New Roman"/>
          <w:b/>
          <w:bCs/>
          <w:color w:val="25316C"/>
          <w:sz w:val="24"/>
          <w:lang w:eastAsia="en-GB"/>
        </w:rPr>
      </w:pPr>
    </w:p>
    <w:p w14:paraId="106F5369" w14:textId="77777777" w:rsidR="00D82C87" w:rsidRDefault="00D82C87" w:rsidP="00E56AE8">
      <w:pPr>
        <w:numPr>
          <w:ilvl w:val="1"/>
          <w:numId w:val="0"/>
        </w:numPr>
        <w:tabs>
          <w:tab w:val="left" w:pos="1418"/>
        </w:tabs>
        <w:spacing w:line="240" w:lineRule="auto"/>
        <w:jc w:val="left"/>
        <w:rPr>
          <w:rFonts w:eastAsia="Times New Roman" w:cs="Times New Roman"/>
          <w:bCs/>
          <w:color w:val="25316C"/>
          <w:sz w:val="24"/>
        </w:rPr>
      </w:pPr>
      <w:r w:rsidRPr="004A250D">
        <w:rPr>
          <w:rStyle w:val="VAHeadingLevel2Char"/>
          <w:rFonts w:asciiTheme="minorHAnsi" w:eastAsiaTheme="minorHAnsi" w:hAnsiTheme="minorHAnsi" w:cstheme="minorHAnsi"/>
          <w:sz w:val="24"/>
        </w:rPr>
        <w:t>Recognition</w:t>
      </w:r>
      <w:r w:rsidRPr="008600DB">
        <w:rPr>
          <w:rStyle w:val="VAHeadingLevel2Char"/>
          <w:rFonts w:asciiTheme="minorHAnsi" w:eastAsiaTheme="minorHAnsi" w:hAnsiTheme="minorHAnsi" w:cstheme="minorHAnsi"/>
          <w:sz w:val="24"/>
        </w:rPr>
        <w:t xml:space="preserve"> and Measurement</w:t>
      </w:r>
      <w:r>
        <w:rPr>
          <w:rFonts w:eastAsia="Times New Roman" w:cs="Times New Roman"/>
          <w:bCs/>
          <w:color w:val="25316C"/>
          <w:sz w:val="24"/>
        </w:rPr>
        <w:t xml:space="preserve"> </w:t>
      </w:r>
    </w:p>
    <w:p w14:paraId="19DF9D71" w14:textId="77777777" w:rsidR="00D82C87" w:rsidRDefault="00D82C87" w:rsidP="00E56AE8">
      <w:pPr>
        <w:numPr>
          <w:ilvl w:val="1"/>
          <w:numId w:val="0"/>
        </w:numPr>
        <w:tabs>
          <w:tab w:val="left" w:pos="1418"/>
        </w:tabs>
        <w:spacing w:line="240" w:lineRule="auto"/>
        <w:rPr>
          <w:rFonts w:eastAsia="Aptos" w:cs="Times New Roman"/>
          <w:color w:val="000000"/>
        </w:rPr>
      </w:pPr>
      <w:r w:rsidRPr="00712FC6">
        <w:rPr>
          <w:rFonts w:eastAsia="Aptos" w:cs="Times New Roman"/>
          <w:color w:val="000000"/>
        </w:rPr>
        <w:t>Borrowings are recognised as financial liabilities in the Balance Sheet when the Authority becomes a party to the contractual provisions of the instrument.  They are initially measured at fair value, net of directly attributable transaction costs, and subsequently measured at amortised cost using the effective interest method, unless designated at fair value through profit or loss.</w:t>
      </w:r>
    </w:p>
    <w:p w14:paraId="32A7B7AB" w14:textId="77777777" w:rsidR="00D82C87" w:rsidRPr="00712FC6" w:rsidRDefault="00D82C87" w:rsidP="00E56AE8">
      <w:pPr>
        <w:numPr>
          <w:ilvl w:val="1"/>
          <w:numId w:val="0"/>
        </w:numPr>
        <w:tabs>
          <w:tab w:val="left" w:pos="1418"/>
        </w:tabs>
        <w:spacing w:line="240" w:lineRule="auto"/>
        <w:rPr>
          <w:rFonts w:eastAsia="Aptos" w:cs="Times New Roman"/>
          <w:color w:val="000000"/>
        </w:rPr>
      </w:pPr>
    </w:p>
    <w:p w14:paraId="673DD6C3" w14:textId="77777777" w:rsidR="00D82C87" w:rsidRDefault="00D82C87" w:rsidP="00E56AE8">
      <w:pPr>
        <w:pStyle w:val="VAHeadingLevel2"/>
        <w:spacing w:line="240" w:lineRule="auto"/>
        <w:rPr>
          <w:rStyle w:val="scxw137163791"/>
          <w:rFonts w:ascii="Aptos" w:hAnsi="Aptos" w:cs="Segoe UI"/>
        </w:rPr>
      </w:pPr>
      <w:r w:rsidRPr="00712FC6">
        <w:t>Effective Interest Method</w:t>
      </w:r>
      <w:r>
        <w:rPr>
          <w:rStyle w:val="scxw137163791"/>
          <w:rFonts w:ascii="Aptos" w:hAnsi="Aptos" w:cs="Segoe UI"/>
        </w:rPr>
        <w:t> </w:t>
      </w:r>
    </w:p>
    <w:p w14:paraId="4A64E728" w14:textId="77777777" w:rsidR="00D82C87" w:rsidRPr="006D16E0" w:rsidRDefault="00D82C87" w:rsidP="00E56AE8">
      <w:pPr>
        <w:numPr>
          <w:ilvl w:val="1"/>
          <w:numId w:val="0"/>
        </w:numPr>
        <w:tabs>
          <w:tab w:val="left" w:pos="1418"/>
        </w:tabs>
        <w:spacing w:line="240" w:lineRule="auto"/>
        <w:rPr>
          <w:rFonts w:eastAsia="Aptos" w:cs="Times New Roman"/>
          <w:color w:val="000000"/>
        </w:rPr>
      </w:pPr>
      <w:r w:rsidRPr="006D16E0">
        <w:rPr>
          <w:rFonts w:eastAsia="Aptos" w:cs="Times New Roman"/>
          <w:color w:val="000000"/>
        </w:rPr>
        <w:t>The effective interest method allocates interest expense over the expected life of the borrowing and calculates the amortised cost of the liability.  The effective interest rate is the rate that exactly discounts estimated future cash payments through the expected life of the instrument to its initial carrying amount. </w:t>
      </w:r>
    </w:p>
    <w:p w14:paraId="1C04CE16" w14:textId="77777777" w:rsidR="00D82C87" w:rsidRPr="006D16E0" w:rsidRDefault="00D82C87" w:rsidP="00E56AE8">
      <w:pPr>
        <w:numPr>
          <w:ilvl w:val="1"/>
          <w:numId w:val="0"/>
        </w:numPr>
        <w:tabs>
          <w:tab w:val="left" w:pos="1418"/>
        </w:tabs>
        <w:spacing w:line="240" w:lineRule="auto"/>
        <w:rPr>
          <w:rFonts w:eastAsia="Aptos" w:cs="Times New Roman"/>
          <w:color w:val="000000"/>
        </w:rPr>
      </w:pPr>
    </w:p>
    <w:p w14:paraId="7F62F2B0" w14:textId="77777777" w:rsidR="00D82C87" w:rsidRDefault="00D82C87" w:rsidP="00E56AE8">
      <w:pPr>
        <w:pStyle w:val="VAHeadingLevel2"/>
        <w:spacing w:line="240" w:lineRule="auto"/>
        <w:rPr>
          <w:rStyle w:val="scxw137163791"/>
          <w:rFonts w:ascii="Aptos" w:hAnsi="Aptos" w:cs="Segoe UI"/>
        </w:rPr>
      </w:pPr>
      <w:r w:rsidRPr="00712FC6">
        <w:t>Interest and Finance Costs</w:t>
      </w:r>
      <w:r>
        <w:rPr>
          <w:rStyle w:val="scxw137163791"/>
          <w:rFonts w:ascii="Aptos" w:hAnsi="Aptos" w:cs="Segoe UI"/>
        </w:rPr>
        <w:t> </w:t>
      </w:r>
    </w:p>
    <w:p w14:paraId="12053BD5" w14:textId="77777777" w:rsidR="00D82C87" w:rsidRPr="006D16E0" w:rsidRDefault="00D82C87" w:rsidP="00E56AE8">
      <w:pPr>
        <w:numPr>
          <w:ilvl w:val="1"/>
          <w:numId w:val="0"/>
        </w:numPr>
        <w:tabs>
          <w:tab w:val="left" w:pos="1418"/>
        </w:tabs>
        <w:spacing w:line="240" w:lineRule="auto"/>
        <w:rPr>
          <w:rFonts w:eastAsia="Aptos" w:cs="Times New Roman"/>
          <w:color w:val="000000"/>
        </w:rPr>
      </w:pPr>
      <w:r w:rsidRPr="006D16E0">
        <w:rPr>
          <w:rFonts w:eastAsia="Aptos" w:cs="Times New Roman"/>
          <w:color w:val="000000"/>
        </w:rPr>
        <w:t>Interest payable on borrowings is recognised in the Comprehensive Income and Expenditure Statement (CIES) on an accrual basis.  As finance costs are not an allowable charge against council tax, they are neutralised by an adjustment between the Accounting Basis and Funding Basis under Regulation, with the corresponding entry in the Financial Instruments Adjustment Account. </w:t>
      </w:r>
    </w:p>
    <w:p w14:paraId="6DD51173" w14:textId="77777777" w:rsidR="00D82C87" w:rsidRPr="00712FC6" w:rsidRDefault="00D82C87" w:rsidP="00E56AE8">
      <w:pPr>
        <w:pStyle w:val="paragraph"/>
        <w:spacing w:before="0" w:beforeAutospacing="0" w:after="0" w:afterAutospacing="0"/>
        <w:textAlignment w:val="baseline"/>
        <w:rPr>
          <w:rFonts w:ascii="Calibri" w:eastAsia="Aptos" w:hAnsi="Calibri"/>
          <w:color w:val="000000"/>
          <w:sz w:val="20"/>
          <w:lang w:eastAsia="en-US"/>
        </w:rPr>
      </w:pPr>
    </w:p>
    <w:p w14:paraId="220B5606" w14:textId="77777777" w:rsidR="00D82C87" w:rsidRDefault="00D82C87" w:rsidP="00E56AE8">
      <w:pPr>
        <w:pStyle w:val="VAHeadingLevel2"/>
        <w:spacing w:line="240" w:lineRule="auto"/>
      </w:pPr>
      <w:r w:rsidRPr="00712FC6">
        <w:t>Derecognition </w:t>
      </w:r>
    </w:p>
    <w:p w14:paraId="27EFF7BA" w14:textId="77777777" w:rsidR="00D82C87" w:rsidRPr="006D16E0" w:rsidRDefault="00D82C87" w:rsidP="00E56AE8">
      <w:pPr>
        <w:pStyle w:val="paragraph"/>
        <w:spacing w:before="0" w:beforeAutospacing="0" w:after="0" w:afterAutospacing="0"/>
        <w:jc w:val="both"/>
        <w:textAlignment w:val="baseline"/>
        <w:rPr>
          <w:rFonts w:ascii="Calibri" w:eastAsia="Aptos" w:hAnsi="Calibri"/>
          <w:color w:val="000000"/>
          <w:sz w:val="20"/>
          <w:lang w:eastAsia="en-US"/>
        </w:rPr>
      </w:pPr>
      <w:r w:rsidRPr="006D16E0">
        <w:rPr>
          <w:rFonts w:ascii="Calibri" w:eastAsia="Aptos" w:hAnsi="Calibri"/>
          <w:color w:val="000000"/>
          <w:sz w:val="20"/>
          <w:lang w:eastAsia="en-US"/>
        </w:rPr>
        <w:t>Borrowings are derecognised when the contractual obligation is discharged, cancelled, or expires.  Any difference between the carrying amount of the liability and the consideration paid is recognised in the CIES. </w:t>
      </w:r>
    </w:p>
    <w:p w14:paraId="3BFF625A" w14:textId="77777777" w:rsidR="00D82C87" w:rsidRPr="00712FC6" w:rsidRDefault="00D82C87" w:rsidP="00E56AE8">
      <w:pPr>
        <w:pStyle w:val="paragraph"/>
        <w:spacing w:before="0" w:beforeAutospacing="0" w:after="0" w:afterAutospacing="0"/>
        <w:textAlignment w:val="baseline"/>
        <w:rPr>
          <w:rFonts w:ascii="Calibri" w:eastAsia="Aptos" w:hAnsi="Calibri"/>
          <w:color w:val="000000"/>
          <w:sz w:val="20"/>
          <w:lang w:eastAsia="en-US"/>
        </w:rPr>
      </w:pPr>
    </w:p>
    <w:p w14:paraId="4F6CF0FC" w14:textId="77777777" w:rsidR="00D82C87" w:rsidRDefault="00D82C87" w:rsidP="00E56AE8">
      <w:pPr>
        <w:pStyle w:val="VAHeadingLevel2"/>
        <w:spacing w:line="240" w:lineRule="auto"/>
        <w:rPr>
          <w:rStyle w:val="scxw137163791"/>
          <w:rFonts w:ascii="Aptos" w:hAnsi="Aptos" w:cs="Segoe UI"/>
        </w:rPr>
      </w:pPr>
      <w:r w:rsidRPr="00712FC6">
        <w:t>Fair Value Disclosure</w:t>
      </w:r>
      <w:r>
        <w:rPr>
          <w:rStyle w:val="scxw137163791"/>
          <w:rFonts w:ascii="Aptos" w:hAnsi="Aptos" w:cs="Segoe UI"/>
        </w:rPr>
        <w:t> </w:t>
      </w:r>
    </w:p>
    <w:p w14:paraId="2165C8AB" w14:textId="77777777" w:rsidR="00D82C87" w:rsidRPr="006D16E0" w:rsidRDefault="00D82C87" w:rsidP="00E56AE8">
      <w:pPr>
        <w:numPr>
          <w:ilvl w:val="1"/>
          <w:numId w:val="0"/>
        </w:numPr>
        <w:tabs>
          <w:tab w:val="left" w:pos="1418"/>
        </w:tabs>
        <w:spacing w:line="240" w:lineRule="auto"/>
        <w:rPr>
          <w:rFonts w:eastAsia="Aptos" w:cs="Times New Roman"/>
          <w:color w:val="000000"/>
        </w:rPr>
      </w:pPr>
      <w:r w:rsidRPr="006D16E0">
        <w:rPr>
          <w:rFonts w:eastAsia="Aptos" w:cs="Times New Roman"/>
          <w:color w:val="000000"/>
        </w:rPr>
        <w:t>The fair value of borrowings is disclosed in the notes to the financial statements and is determined by reference to quoted market prices where available, or by discounting contractual cash flows using current market interest rates for similar instruments. </w:t>
      </w:r>
    </w:p>
    <w:p w14:paraId="58D008C8" w14:textId="77777777" w:rsidR="00D82C87" w:rsidRDefault="00D82C87" w:rsidP="00E56AE8">
      <w:pPr>
        <w:pStyle w:val="paragraph"/>
        <w:spacing w:before="0" w:beforeAutospacing="0" w:after="0" w:afterAutospacing="0"/>
        <w:textAlignment w:val="baseline"/>
        <w:rPr>
          <w:rFonts w:ascii="Segoe UI" w:hAnsi="Segoe UI" w:cs="Segoe UI"/>
          <w:sz w:val="18"/>
          <w:szCs w:val="18"/>
        </w:rPr>
      </w:pPr>
    </w:p>
    <w:p w14:paraId="3FEDD77E" w14:textId="77777777" w:rsidR="00D82C87" w:rsidRDefault="00D82C87" w:rsidP="00E56AE8">
      <w:pPr>
        <w:pStyle w:val="VAHeadingLevel2"/>
        <w:spacing w:line="240" w:lineRule="auto"/>
        <w:rPr>
          <w:rStyle w:val="scxw137163791"/>
          <w:rFonts w:ascii="Aptos" w:hAnsi="Aptos" w:cs="Segoe UI"/>
        </w:rPr>
      </w:pPr>
      <w:r w:rsidRPr="00712FC6">
        <w:t>Modifications and Refinancing</w:t>
      </w:r>
      <w:r>
        <w:rPr>
          <w:rStyle w:val="scxw137163791"/>
          <w:rFonts w:ascii="Aptos" w:hAnsi="Aptos" w:cs="Segoe UI"/>
        </w:rPr>
        <w:t> </w:t>
      </w:r>
    </w:p>
    <w:p w14:paraId="2270D9C3" w14:textId="77777777" w:rsidR="00D82C87" w:rsidRPr="006D16E0" w:rsidRDefault="00D82C87" w:rsidP="00E56AE8">
      <w:pPr>
        <w:pStyle w:val="VAHeadingLevel2"/>
        <w:spacing w:line="240" w:lineRule="auto"/>
        <w:jc w:val="both"/>
        <w:rPr>
          <w:rFonts w:ascii="Calibri" w:eastAsia="Aptos" w:hAnsi="Calibri"/>
          <w:color w:val="000000"/>
          <w:sz w:val="20"/>
        </w:rPr>
      </w:pPr>
      <w:r w:rsidRPr="006D16E0">
        <w:rPr>
          <w:rFonts w:ascii="Calibri" w:eastAsia="Aptos" w:hAnsi="Calibri"/>
          <w:color w:val="000000"/>
          <w:sz w:val="20"/>
        </w:rPr>
        <w:t>Where borrowings are refinanced or terms are modified, the Authority assesses whether the modification is substantial.  If substantial, the original liability is derecognised and a new liability recognised; otherwise, the carrying amount is adjusted for the revised cash flows and the adjustment recognised in the CIES. </w:t>
      </w:r>
    </w:p>
    <w:p w14:paraId="5E5ED146" w14:textId="77777777" w:rsidR="00D82C87" w:rsidRPr="00243C66" w:rsidRDefault="00D82C87" w:rsidP="00E56AE8">
      <w:pPr>
        <w:numPr>
          <w:ilvl w:val="1"/>
          <w:numId w:val="0"/>
        </w:numPr>
        <w:tabs>
          <w:tab w:val="left" w:pos="1418"/>
        </w:tabs>
        <w:spacing w:line="240" w:lineRule="auto"/>
        <w:rPr>
          <w:rFonts w:eastAsia="Aptos" w:cs="Times New Roman"/>
          <w:color w:val="000000"/>
        </w:rPr>
      </w:pPr>
    </w:p>
    <w:p w14:paraId="768F568C" w14:textId="77777777" w:rsidR="00D82C87" w:rsidRPr="00243C66" w:rsidRDefault="00D82C87" w:rsidP="00E56AE8">
      <w:pPr>
        <w:numPr>
          <w:ilvl w:val="1"/>
          <w:numId w:val="0"/>
        </w:numPr>
        <w:tabs>
          <w:tab w:val="left" w:pos="1418"/>
        </w:tabs>
        <w:spacing w:line="240" w:lineRule="auto"/>
        <w:jc w:val="left"/>
        <w:rPr>
          <w:rFonts w:eastAsia="Times New Roman" w:cs="Times New Roman"/>
          <w:b/>
          <w:bCs/>
          <w:color w:val="25316C"/>
          <w:sz w:val="24"/>
        </w:rPr>
      </w:pPr>
      <w:r>
        <w:rPr>
          <w:rFonts w:eastAsia="Times New Roman" w:cs="Times New Roman"/>
          <w:b/>
          <w:bCs/>
          <w:color w:val="25316C"/>
          <w:sz w:val="24"/>
        </w:rPr>
        <w:t>29</w:t>
      </w:r>
      <w:r w:rsidRPr="00243C66">
        <w:rPr>
          <w:rFonts w:eastAsia="Times New Roman" w:cs="Times New Roman"/>
          <w:b/>
          <w:bCs/>
          <w:color w:val="25316C"/>
          <w:sz w:val="24"/>
        </w:rPr>
        <w:t xml:space="preserve">) Redemption of Debt </w:t>
      </w:r>
    </w:p>
    <w:p w14:paraId="73F83D2E" w14:textId="77777777" w:rsidR="00D82C87" w:rsidRPr="00243C66" w:rsidRDefault="00D82C87" w:rsidP="00E56AE8">
      <w:pPr>
        <w:autoSpaceDE w:val="0"/>
        <w:autoSpaceDN w:val="0"/>
        <w:adjustRightInd w:val="0"/>
        <w:spacing w:line="240" w:lineRule="auto"/>
        <w:rPr>
          <w:rFonts w:eastAsia="Times New Roman" w:cs="Calibri"/>
          <w:color w:val="990032"/>
          <w:sz w:val="22"/>
          <w:szCs w:val="22"/>
          <w:lang w:eastAsia="en-GB"/>
        </w:rPr>
      </w:pPr>
    </w:p>
    <w:p w14:paraId="15500586" w14:textId="77777777" w:rsidR="00D82C87" w:rsidRPr="00243C66" w:rsidRDefault="00D82C87" w:rsidP="00E56AE8">
      <w:pPr>
        <w:spacing w:line="240" w:lineRule="auto"/>
        <w:rPr>
          <w:rFonts w:eastAsia="Aptos" w:cs="Times New Roman"/>
          <w:color w:val="000000"/>
        </w:rPr>
      </w:pPr>
      <w:r w:rsidRPr="00243C66">
        <w:rPr>
          <w:rFonts w:eastAsia="Aptos" w:cs="Times New Roman"/>
          <w:color w:val="000000"/>
        </w:rPr>
        <w:t>Outstanding loan debt relating to police services was transferred to Northamptonshire Police from Northamptonshire County Council on 1 April 1995.  Instalments of principal are charged to revenue in accordance with the statutory Minimum Revenue Provision.  This is calculated at 4% of the Capital Financing Requirement at the beginning of the year and is charged to the Capital Adjustment Account with a corresponding adjustment in Accounting Basis and Funding Basis under Regulations.</w:t>
      </w:r>
    </w:p>
    <w:p w14:paraId="39F0AA3D" w14:textId="77777777" w:rsidR="00D82C87" w:rsidRPr="00243C66" w:rsidRDefault="00D82C87" w:rsidP="00E56AE8">
      <w:pPr>
        <w:spacing w:line="240" w:lineRule="auto"/>
        <w:rPr>
          <w:rFonts w:eastAsia="Aptos" w:cs="Times New Roman"/>
          <w:color w:val="000000"/>
        </w:rPr>
      </w:pPr>
    </w:p>
    <w:p w14:paraId="60BFC7B7" w14:textId="77777777" w:rsidR="00D82C87" w:rsidRDefault="00D82C87" w:rsidP="00E56AE8">
      <w:pPr>
        <w:spacing w:line="240" w:lineRule="auto"/>
        <w:rPr>
          <w:rFonts w:eastAsia="Aptos" w:cs="Times New Roman"/>
          <w:color w:val="000000"/>
        </w:rPr>
      </w:pPr>
      <w:r w:rsidRPr="00243C66">
        <w:rPr>
          <w:rFonts w:eastAsia="Aptos" w:cs="Times New Roman"/>
          <w:color w:val="000000"/>
        </w:rPr>
        <w:t>Valuation is based upon amortised cost, with fair value based upon the cash flow over the remaining term of the debt.</w:t>
      </w:r>
    </w:p>
    <w:p w14:paraId="385DA45A" w14:textId="77777777" w:rsidR="00D82C87" w:rsidRDefault="00D82C87" w:rsidP="00E56AE8">
      <w:pPr>
        <w:spacing w:line="240" w:lineRule="auto"/>
        <w:rPr>
          <w:rFonts w:eastAsia="Aptos" w:cs="Times New Roman"/>
          <w:color w:val="000000"/>
        </w:rPr>
      </w:pPr>
    </w:p>
    <w:p w14:paraId="34D15CAB" w14:textId="77777777" w:rsidR="000208B5" w:rsidRDefault="000208B5">
      <w:pPr>
        <w:spacing w:after="0" w:line="240" w:lineRule="auto"/>
        <w:jc w:val="left"/>
        <w:rPr>
          <w:rFonts w:eastAsia="Times New Roman" w:cs="Times New Roman"/>
          <w:b/>
          <w:bCs/>
          <w:color w:val="25316C"/>
          <w:sz w:val="24"/>
        </w:rPr>
      </w:pPr>
      <w:r>
        <w:rPr>
          <w:rFonts w:eastAsia="Times New Roman" w:cs="Times New Roman"/>
          <w:b/>
          <w:bCs/>
          <w:color w:val="25316C"/>
          <w:sz w:val="24"/>
        </w:rPr>
        <w:br w:type="page"/>
      </w:r>
    </w:p>
    <w:p w14:paraId="7B76E79C" w14:textId="4DEDBF51" w:rsidR="00D82C87" w:rsidRDefault="00D82C87" w:rsidP="00E56AE8">
      <w:pPr>
        <w:numPr>
          <w:ilvl w:val="1"/>
          <w:numId w:val="0"/>
        </w:numPr>
        <w:tabs>
          <w:tab w:val="left" w:pos="1418"/>
        </w:tabs>
        <w:spacing w:line="240" w:lineRule="auto"/>
        <w:jc w:val="left"/>
        <w:rPr>
          <w:rFonts w:eastAsia="Times New Roman" w:cs="Times New Roman"/>
          <w:b/>
          <w:bCs/>
          <w:color w:val="25316C"/>
          <w:sz w:val="24"/>
        </w:rPr>
      </w:pPr>
      <w:r w:rsidRPr="00E67410">
        <w:rPr>
          <w:rFonts w:eastAsia="Times New Roman" w:cs="Times New Roman"/>
          <w:b/>
          <w:bCs/>
          <w:color w:val="25316C"/>
          <w:sz w:val="24"/>
        </w:rPr>
        <w:lastRenderedPageBreak/>
        <w:t>30) Intra</w:t>
      </w:r>
      <w:r w:rsidRPr="00E67410">
        <w:rPr>
          <w:rFonts w:eastAsia="Times New Roman" w:cs="Times New Roman"/>
          <w:b/>
          <w:bCs/>
          <w:color w:val="25316C"/>
          <w:sz w:val="24"/>
        </w:rPr>
        <w:noBreakHyphen/>
        <w:t>group transactions and balances</w:t>
      </w:r>
    </w:p>
    <w:p w14:paraId="1BA0407D" w14:textId="77777777" w:rsidR="00D82C87" w:rsidRDefault="00D82C87" w:rsidP="00E56AE8">
      <w:pPr>
        <w:numPr>
          <w:ilvl w:val="1"/>
          <w:numId w:val="0"/>
        </w:numPr>
        <w:tabs>
          <w:tab w:val="left" w:pos="1418"/>
        </w:tabs>
        <w:spacing w:line="240" w:lineRule="auto"/>
        <w:jc w:val="left"/>
        <w:rPr>
          <w:rFonts w:eastAsia="Times New Roman" w:cs="Times New Roman"/>
          <w:b/>
          <w:bCs/>
          <w:color w:val="25316C"/>
          <w:sz w:val="24"/>
        </w:rPr>
      </w:pPr>
    </w:p>
    <w:p w14:paraId="6DD6B5C7" w14:textId="77777777" w:rsidR="00D82C87" w:rsidRPr="00E67410" w:rsidRDefault="00D82C87" w:rsidP="00E56AE8">
      <w:pPr>
        <w:tabs>
          <w:tab w:val="left" w:pos="1418"/>
        </w:tabs>
        <w:spacing w:line="240" w:lineRule="auto"/>
        <w:rPr>
          <w:rFonts w:eastAsia="Aptos" w:cs="Times New Roman"/>
          <w:color w:val="000000"/>
        </w:rPr>
      </w:pPr>
      <w:r w:rsidRPr="099ED908">
        <w:rPr>
          <w:rFonts w:eastAsia="Aptos" w:cs="Times New Roman"/>
        </w:rPr>
        <w:t>Under the Police Reform and Social Responsibility Act 2011, the OPFCC receives all income, holds all bank accounts and owns all assets, while the Chief Constable is responsible for the direction and control of officers and staff.  No cash transfers occur between the two bodies; instead, the Chief Constable records an income transfer from the OPFCC to reflect the resources consumed in delivering operational policing.  The Chief Constable also recognises all employment related liabilities, including the full pension liability and related pension funding.</w:t>
      </w:r>
    </w:p>
    <w:p w14:paraId="6108803D" w14:textId="77777777" w:rsidR="00D82C87" w:rsidRDefault="00D82C87" w:rsidP="00E56AE8">
      <w:pPr>
        <w:spacing w:line="240" w:lineRule="auto"/>
      </w:pPr>
    </w:p>
    <w:p w14:paraId="5925789A" w14:textId="77777777" w:rsidR="00243C66" w:rsidRPr="00243C66" w:rsidRDefault="00243C66" w:rsidP="00E56AE8">
      <w:pPr>
        <w:spacing w:line="240" w:lineRule="auto"/>
        <w:rPr>
          <w:rFonts w:eastAsia="Aptos" w:cs="Times New Roman"/>
          <w:color w:val="000000"/>
        </w:rPr>
      </w:pPr>
    </w:p>
    <w:p w14:paraId="4B5099CA" w14:textId="7DAA9CDF" w:rsidR="00EA47B5" w:rsidRPr="00FD10BB" w:rsidRDefault="00243C66" w:rsidP="00E56AE8">
      <w:pPr>
        <w:pStyle w:val="ChapterHeading"/>
        <w:spacing w:line="240" w:lineRule="auto"/>
      </w:pPr>
      <w:r>
        <w:br w:type="page"/>
      </w:r>
      <w:bookmarkStart w:id="254" w:name="_Toc231975676"/>
      <w:bookmarkStart w:id="255" w:name="_Toc46991594"/>
      <w:bookmarkEnd w:id="0"/>
      <w:bookmarkEnd w:id="1"/>
      <w:bookmarkEnd w:id="2"/>
      <w:bookmarkEnd w:id="238"/>
      <w:bookmarkEnd w:id="252"/>
      <w:r w:rsidR="00EA47B5" w:rsidRPr="00FD10BB">
        <w:lastRenderedPageBreak/>
        <w:t>Annual Governance Statement (OCC)</w:t>
      </w:r>
      <w:bookmarkEnd w:id="254"/>
    </w:p>
    <w:p w14:paraId="6E28C574" w14:textId="77777777" w:rsidR="00EA47B5" w:rsidRPr="00FD10BB" w:rsidRDefault="00EA47B5" w:rsidP="003356AE">
      <w:pPr>
        <w:spacing w:line="240" w:lineRule="auto"/>
      </w:pPr>
    </w:p>
    <w:p w14:paraId="2D2BE2A3" w14:textId="77777777" w:rsidR="00FC1022" w:rsidRPr="00FD10BB" w:rsidRDefault="00FC1022" w:rsidP="003356AE">
      <w:pPr>
        <w:pStyle w:val="VAHeadingLevel2"/>
        <w:spacing w:line="240" w:lineRule="auto"/>
      </w:pPr>
      <w:r w:rsidRPr="00FD10BB">
        <w:t>Background and Framework</w:t>
      </w:r>
    </w:p>
    <w:p w14:paraId="07A2457C" w14:textId="2E54FA48" w:rsidR="00FC1022" w:rsidRPr="00FD10BB" w:rsidRDefault="00FC1022" w:rsidP="003356AE">
      <w:pPr>
        <w:spacing w:line="240" w:lineRule="auto"/>
      </w:pPr>
      <w:bookmarkStart w:id="256" w:name="_Hlk162270200"/>
      <w:r w:rsidRPr="00FD10BB">
        <w:t>In the financial year 202</w:t>
      </w:r>
      <w:r w:rsidR="00055899" w:rsidRPr="00FD10BB">
        <w:t>5</w:t>
      </w:r>
      <w:r w:rsidRPr="00FD10BB">
        <w:t>/2</w:t>
      </w:r>
      <w:r w:rsidR="00055899" w:rsidRPr="00FD10BB">
        <w:t>6</w:t>
      </w:r>
      <w:r w:rsidRPr="00FD10BB">
        <w:t>, the two corporations sole have maintained the governance arrangements and strategies in place and driven forward performance improvements.  As the PFCC also undertakes governance of Northamptonshire Commissioner Fire and Rescue Authority (NCFRA), there continues to be progress in strategic management and close working arrangements with Fire.  Throughout the year, NCFRA have remained a separate corporation sole to the PFCC and CC and with separate legislative responsibilities.</w:t>
      </w:r>
    </w:p>
    <w:p w14:paraId="77505759" w14:textId="77777777" w:rsidR="00FC1022" w:rsidRPr="00FD10BB" w:rsidRDefault="00FC1022" w:rsidP="003356AE">
      <w:pPr>
        <w:spacing w:line="240" w:lineRule="auto"/>
      </w:pPr>
    </w:p>
    <w:p w14:paraId="6033DF1A" w14:textId="77777777" w:rsidR="00FC1022" w:rsidRPr="00FD10BB" w:rsidRDefault="00FC1022" w:rsidP="003356AE">
      <w:pPr>
        <w:spacing w:line="240" w:lineRule="auto"/>
        <w:rPr>
          <w:i/>
        </w:rPr>
      </w:pPr>
      <w:r w:rsidRPr="00FD10BB">
        <w:t xml:space="preserve">The organisational powers and arrangements in place within the police service, relating to governance, are unique and any governance framework needs to take this into account.  This is clearly recognised in the Chartered Institute of Public Finance and Accounting (CIPFA) document - </w:t>
      </w:r>
      <w:r w:rsidRPr="00FD10BB">
        <w:rPr>
          <w:i/>
        </w:rPr>
        <w:t>“Delivering good governance – Guidance notes for policing bodies in England and Wales,</w:t>
      </w:r>
      <w:r w:rsidRPr="00FD10BB">
        <w:rPr>
          <w:b/>
          <w:i/>
        </w:rPr>
        <w:t xml:space="preserve"> </w:t>
      </w:r>
      <w:r w:rsidRPr="00FD10BB">
        <w:rPr>
          <w:i/>
        </w:rPr>
        <w:t>2016”.</w:t>
      </w:r>
    </w:p>
    <w:p w14:paraId="4102C655" w14:textId="77777777" w:rsidR="00FC1022" w:rsidRPr="00FD10BB" w:rsidRDefault="00FC1022" w:rsidP="003356AE">
      <w:pPr>
        <w:spacing w:line="240" w:lineRule="auto"/>
      </w:pPr>
    </w:p>
    <w:p w14:paraId="4A2824DF" w14:textId="77777777" w:rsidR="00922C92" w:rsidRPr="00FD10BB" w:rsidRDefault="00922C92" w:rsidP="003356AE">
      <w:pPr>
        <w:spacing w:line="240" w:lineRule="auto"/>
      </w:pPr>
      <w:r w:rsidRPr="00FD10BB">
        <w:t>In 2007, CIPFA, working in partnership with the Society of Local Authority Chief Executives (SOLACE), developed the framework Delivering Good Governance in Local Government.  The framework was subsequently reviewed and updated, with a revised edition published in April 2016.  Most recently, an addendum to the framework was issued in May 2025 to reflect developing best practice and emerging governance challenges within the local government sector.</w:t>
      </w:r>
    </w:p>
    <w:p w14:paraId="0EC0534A" w14:textId="77777777" w:rsidR="00FC1022" w:rsidRPr="00FD10BB" w:rsidRDefault="00FC1022" w:rsidP="003356AE">
      <w:pPr>
        <w:spacing w:line="240" w:lineRule="auto"/>
      </w:pPr>
    </w:p>
    <w:p w14:paraId="0347F9FB" w14:textId="77777777" w:rsidR="00FC1022" w:rsidRPr="00FD10BB" w:rsidRDefault="00FC1022" w:rsidP="003356AE">
      <w:pPr>
        <w:spacing w:line="240" w:lineRule="auto"/>
      </w:pPr>
      <w:r w:rsidRPr="00FD10BB">
        <w:t>This framework recognises that no two organisations are the same and as such allows an organisation to test its governance structures against a set of principles which are:</w:t>
      </w:r>
    </w:p>
    <w:p w14:paraId="7B4DB938" w14:textId="77777777" w:rsidR="00FC1022" w:rsidRPr="00FD10BB" w:rsidRDefault="00FC1022" w:rsidP="003356AE">
      <w:pPr>
        <w:spacing w:line="240" w:lineRule="auto"/>
      </w:pP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7229"/>
      </w:tblGrid>
      <w:tr w:rsidR="00FC1022" w:rsidRPr="00FD10BB" w14:paraId="3762767C" w14:textId="77777777">
        <w:tc>
          <w:tcPr>
            <w:tcW w:w="1990" w:type="dxa"/>
          </w:tcPr>
          <w:p w14:paraId="6FC78B89" w14:textId="77777777" w:rsidR="00FC1022" w:rsidRPr="00FD10BB" w:rsidRDefault="00FC1022" w:rsidP="003356AE">
            <w:pPr>
              <w:pStyle w:val="RedBullet"/>
              <w:spacing w:line="240" w:lineRule="auto"/>
              <w:ind w:left="714" w:hanging="357"/>
              <w:rPr>
                <w:b/>
              </w:rPr>
            </w:pPr>
            <w:r w:rsidRPr="00FD10BB">
              <w:rPr>
                <w:b/>
              </w:rPr>
              <w:t xml:space="preserve">Principle A: </w:t>
            </w:r>
          </w:p>
        </w:tc>
        <w:tc>
          <w:tcPr>
            <w:tcW w:w="7229" w:type="dxa"/>
          </w:tcPr>
          <w:p w14:paraId="5540F0CB" w14:textId="77777777" w:rsidR="00FC1022" w:rsidRPr="00FD10BB" w:rsidRDefault="00FC1022" w:rsidP="003356AE">
            <w:pPr>
              <w:spacing w:line="240" w:lineRule="auto"/>
              <w:ind w:right="38"/>
            </w:pPr>
            <w:r w:rsidRPr="00FD10BB">
              <w:t>Behaving with integrity, demonstrating strong commitment to ethical values and respecting the rule of law</w:t>
            </w:r>
          </w:p>
        </w:tc>
      </w:tr>
      <w:tr w:rsidR="00FC1022" w:rsidRPr="00FD10BB" w14:paraId="712C79F6" w14:textId="77777777">
        <w:tc>
          <w:tcPr>
            <w:tcW w:w="1990" w:type="dxa"/>
          </w:tcPr>
          <w:p w14:paraId="57684B9C" w14:textId="77777777" w:rsidR="00FC1022" w:rsidRPr="00FD10BB" w:rsidRDefault="00FC1022" w:rsidP="003356AE">
            <w:pPr>
              <w:pStyle w:val="RedBullet"/>
              <w:spacing w:line="240" w:lineRule="auto"/>
              <w:ind w:left="714" w:hanging="357"/>
              <w:rPr>
                <w:b/>
              </w:rPr>
            </w:pPr>
            <w:r w:rsidRPr="00FD10BB">
              <w:rPr>
                <w:b/>
              </w:rPr>
              <w:t xml:space="preserve">Principle B: </w:t>
            </w:r>
          </w:p>
        </w:tc>
        <w:tc>
          <w:tcPr>
            <w:tcW w:w="7229" w:type="dxa"/>
          </w:tcPr>
          <w:p w14:paraId="57299456" w14:textId="77777777" w:rsidR="00FC1022" w:rsidRPr="00FD10BB" w:rsidRDefault="00FC1022" w:rsidP="003356AE">
            <w:pPr>
              <w:spacing w:line="240" w:lineRule="auto"/>
            </w:pPr>
            <w:r w:rsidRPr="00FD10BB">
              <w:t>Ensuring openness and comprehensive stakeholder engagement</w:t>
            </w:r>
          </w:p>
        </w:tc>
      </w:tr>
      <w:tr w:rsidR="00FC1022" w:rsidRPr="00FD10BB" w14:paraId="77E4459D" w14:textId="77777777">
        <w:tc>
          <w:tcPr>
            <w:tcW w:w="1990" w:type="dxa"/>
          </w:tcPr>
          <w:p w14:paraId="524FC096" w14:textId="77777777" w:rsidR="00FC1022" w:rsidRPr="00FD10BB" w:rsidRDefault="00FC1022" w:rsidP="003356AE">
            <w:pPr>
              <w:pStyle w:val="RedBullet"/>
              <w:spacing w:line="240" w:lineRule="auto"/>
              <w:ind w:left="714" w:hanging="357"/>
              <w:rPr>
                <w:b/>
              </w:rPr>
            </w:pPr>
            <w:r w:rsidRPr="00FD10BB">
              <w:rPr>
                <w:b/>
              </w:rPr>
              <w:t xml:space="preserve">Principle C: </w:t>
            </w:r>
          </w:p>
        </w:tc>
        <w:tc>
          <w:tcPr>
            <w:tcW w:w="7229" w:type="dxa"/>
          </w:tcPr>
          <w:p w14:paraId="589C1BD3" w14:textId="77777777" w:rsidR="00FC1022" w:rsidRPr="00FD10BB" w:rsidRDefault="00FC1022" w:rsidP="003356AE">
            <w:pPr>
              <w:spacing w:line="240" w:lineRule="auto"/>
            </w:pPr>
            <w:r w:rsidRPr="00FD10BB">
              <w:t>Defining outcomes in terms of sustainable, economic, social and environmental outcomes</w:t>
            </w:r>
          </w:p>
        </w:tc>
      </w:tr>
      <w:tr w:rsidR="00FC1022" w:rsidRPr="00FD10BB" w14:paraId="07E61BDE" w14:textId="77777777">
        <w:tc>
          <w:tcPr>
            <w:tcW w:w="1990" w:type="dxa"/>
          </w:tcPr>
          <w:p w14:paraId="0B4FA1AF" w14:textId="77777777" w:rsidR="00FC1022" w:rsidRPr="00FD10BB" w:rsidRDefault="00FC1022" w:rsidP="003356AE">
            <w:pPr>
              <w:pStyle w:val="RedBullet"/>
              <w:spacing w:line="240" w:lineRule="auto"/>
              <w:ind w:left="714" w:hanging="357"/>
              <w:rPr>
                <w:b/>
              </w:rPr>
            </w:pPr>
            <w:r w:rsidRPr="00FD10BB">
              <w:rPr>
                <w:b/>
              </w:rPr>
              <w:t xml:space="preserve">Principle D: </w:t>
            </w:r>
          </w:p>
        </w:tc>
        <w:tc>
          <w:tcPr>
            <w:tcW w:w="7229" w:type="dxa"/>
          </w:tcPr>
          <w:p w14:paraId="08FA5D9E" w14:textId="77777777" w:rsidR="00FC1022" w:rsidRPr="00FD10BB" w:rsidRDefault="00FC1022" w:rsidP="003356AE">
            <w:pPr>
              <w:spacing w:line="240" w:lineRule="auto"/>
            </w:pPr>
            <w:r w:rsidRPr="00FD10BB">
              <w:t>Determining the interventions necessary to optimise the achievement of intended outcomes</w:t>
            </w:r>
          </w:p>
        </w:tc>
      </w:tr>
      <w:tr w:rsidR="00FC1022" w:rsidRPr="00FD10BB" w14:paraId="6944770E" w14:textId="77777777">
        <w:tc>
          <w:tcPr>
            <w:tcW w:w="1990" w:type="dxa"/>
          </w:tcPr>
          <w:p w14:paraId="21C7C03C" w14:textId="77777777" w:rsidR="00FC1022" w:rsidRPr="00FD10BB" w:rsidRDefault="00FC1022" w:rsidP="003356AE">
            <w:pPr>
              <w:pStyle w:val="RedBullet"/>
              <w:spacing w:line="240" w:lineRule="auto"/>
              <w:ind w:left="714" w:hanging="357"/>
              <w:rPr>
                <w:b/>
              </w:rPr>
            </w:pPr>
            <w:r w:rsidRPr="00FD10BB">
              <w:rPr>
                <w:b/>
              </w:rPr>
              <w:t xml:space="preserve">Principle E: </w:t>
            </w:r>
          </w:p>
        </w:tc>
        <w:tc>
          <w:tcPr>
            <w:tcW w:w="7229" w:type="dxa"/>
          </w:tcPr>
          <w:p w14:paraId="07267433" w14:textId="77777777" w:rsidR="00FC1022" w:rsidRPr="00FD10BB" w:rsidRDefault="00FC1022" w:rsidP="003356AE">
            <w:pPr>
              <w:spacing w:line="240" w:lineRule="auto"/>
            </w:pPr>
            <w:r w:rsidRPr="00FD10BB">
              <w:t>Developing Capacity and Capability</w:t>
            </w:r>
          </w:p>
        </w:tc>
      </w:tr>
      <w:tr w:rsidR="00FC1022" w:rsidRPr="00FD10BB" w14:paraId="4C8AC23D" w14:textId="77777777">
        <w:tc>
          <w:tcPr>
            <w:tcW w:w="1990" w:type="dxa"/>
          </w:tcPr>
          <w:p w14:paraId="02984C93" w14:textId="77777777" w:rsidR="00FC1022" w:rsidRPr="00FD10BB" w:rsidRDefault="00FC1022" w:rsidP="003356AE">
            <w:pPr>
              <w:pStyle w:val="RedBullet"/>
              <w:spacing w:line="240" w:lineRule="auto"/>
              <w:ind w:left="714" w:hanging="357"/>
              <w:rPr>
                <w:b/>
              </w:rPr>
            </w:pPr>
            <w:r w:rsidRPr="00FD10BB">
              <w:rPr>
                <w:b/>
              </w:rPr>
              <w:t xml:space="preserve">Principle F: </w:t>
            </w:r>
          </w:p>
        </w:tc>
        <w:tc>
          <w:tcPr>
            <w:tcW w:w="7229" w:type="dxa"/>
          </w:tcPr>
          <w:p w14:paraId="27BE59E1" w14:textId="77777777" w:rsidR="00FC1022" w:rsidRPr="00FD10BB" w:rsidRDefault="00FC1022" w:rsidP="003356AE">
            <w:pPr>
              <w:spacing w:line="240" w:lineRule="auto"/>
              <w:rPr>
                <w:b/>
              </w:rPr>
            </w:pPr>
            <w:r w:rsidRPr="00FD10BB">
              <w:t>Managing Risks and Performance</w:t>
            </w:r>
          </w:p>
        </w:tc>
      </w:tr>
      <w:tr w:rsidR="00FC1022" w:rsidRPr="00FD10BB" w14:paraId="53E06696" w14:textId="77777777">
        <w:tc>
          <w:tcPr>
            <w:tcW w:w="1990" w:type="dxa"/>
          </w:tcPr>
          <w:p w14:paraId="024A832B" w14:textId="77777777" w:rsidR="00FC1022" w:rsidRPr="00FD10BB" w:rsidRDefault="00FC1022" w:rsidP="003356AE">
            <w:pPr>
              <w:pStyle w:val="RedBullet"/>
              <w:spacing w:line="240" w:lineRule="auto"/>
              <w:ind w:left="714" w:hanging="357"/>
              <w:rPr>
                <w:b/>
              </w:rPr>
            </w:pPr>
            <w:r w:rsidRPr="00FD10BB">
              <w:rPr>
                <w:b/>
              </w:rPr>
              <w:t xml:space="preserve">Principle G: </w:t>
            </w:r>
          </w:p>
        </w:tc>
        <w:tc>
          <w:tcPr>
            <w:tcW w:w="7229" w:type="dxa"/>
          </w:tcPr>
          <w:p w14:paraId="7F96B666" w14:textId="13A2F8C2" w:rsidR="00FC1022" w:rsidRPr="00FD10BB" w:rsidRDefault="00FC1022" w:rsidP="003356AE">
            <w:pPr>
              <w:spacing w:line="240" w:lineRule="auto"/>
              <w:rPr>
                <w:b/>
              </w:rPr>
            </w:pPr>
            <w:r w:rsidRPr="00FD10BB">
              <w:t>Implementing good practices in transparency, reporting and accountability</w:t>
            </w:r>
          </w:p>
        </w:tc>
      </w:tr>
      <w:bookmarkEnd w:id="256"/>
    </w:tbl>
    <w:p w14:paraId="62CC58E3" w14:textId="77777777" w:rsidR="00FC1022" w:rsidRPr="00FD10BB" w:rsidRDefault="00FC1022" w:rsidP="003356AE">
      <w:pPr>
        <w:spacing w:line="240" w:lineRule="auto"/>
        <w:rPr>
          <w:b/>
          <w:u w:val="single"/>
        </w:rPr>
      </w:pPr>
    </w:p>
    <w:p w14:paraId="547AF8D8" w14:textId="77777777" w:rsidR="00FC1022" w:rsidRPr="00FD10BB" w:rsidRDefault="00FC1022" w:rsidP="003356AE">
      <w:pPr>
        <w:spacing w:line="240" w:lineRule="auto"/>
        <w:rPr>
          <w:b/>
          <w:u w:val="single"/>
        </w:rPr>
      </w:pPr>
    </w:p>
    <w:p w14:paraId="0CA96464" w14:textId="77777777" w:rsidR="00FC1022" w:rsidRPr="00FD10BB" w:rsidRDefault="00FC1022" w:rsidP="003356AE">
      <w:pPr>
        <w:pStyle w:val="VAHeadingLevel2"/>
        <w:spacing w:line="240" w:lineRule="auto"/>
      </w:pPr>
      <w:r w:rsidRPr="00FD10BB">
        <w:t>What is Governance?</w:t>
      </w:r>
    </w:p>
    <w:p w14:paraId="597D15B6" w14:textId="77777777" w:rsidR="00FC1022" w:rsidRPr="00FD10BB" w:rsidRDefault="00FC1022" w:rsidP="003356AE">
      <w:pPr>
        <w:spacing w:line="240" w:lineRule="auto"/>
      </w:pPr>
      <w:r w:rsidRPr="00FD10BB">
        <w:t>Governance as defined in the 2016 framework is:</w:t>
      </w:r>
    </w:p>
    <w:p w14:paraId="2EB6C89A" w14:textId="77777777" w:rsidR="00FC1022" w:rsidRPr="00FD10BB" w:rsidRDefault="00FC1022" w:rsidP="003356AE">
      <w:pPr>
        <w:spacing w:line="240" w:lineRule="auto"/>
      </w:pPr>
    </w:p>
    <w:p w14:paraId="353A7B7C" w14:textId="77777777" w:rsidR="00FC1022" w:rsidRPr="00FD10BB" w:rsidRDefault="00FC1022" w:rsidP="003356AE">
      <w:pPr>
        <w:pStyle w:val="VAHeadingLevel3"/>
        <w:spacing w:line="240" w:lineRule="auto"/>
      </w:pPr>
      <w:r w:rsidRPr="00FD10BB">
        <w:t>“Governance comprises the arrangements put in place to ensure that the intended outcomes for stakeholders are defined and delivered.”</w:t>
      </w:r>
    </w:p>
    <w:p w14:paraId="1FA01F16" w14:textId="77777777" w:rsidR="00FC1022" w:rsidRPr="00FD10BB" w:rsidRDefault="00FC1022" w:rsidP="003356AE">
      <w:pPr>
        <w:spacing w:line="240" w:lineRule="auto"/>
      </w:pPr>
    </w:p>
    <w:p w14:paraId="5CD55D11" w14:textId="77777777" w:rsidR="00FC1022" w:rsidRPr="00FD10BB" w:rsidRDefault="00FC1022" w:rsidP="003356AE">
      <w:pPr>
        <w:spacing w:line="240" w:lineRule="auto"/>
      </w:pPr>
      <w:r w:rsidRPr="00FD10BB">
        <w:t>Good governance is not only about rules, policies and procedures but should also incorporate a spirit of good governance as an integral part of the culture of the organisation, its values and the expected behaviours.</w:t>
      </w:r>
    </w:p>
    <w:p w14:paraId="0060395C" w14:textId="77777777" w:rsidR="00FC1022" w:rsidRPr="00FD10BB" w:rsidRDefault="00FC1022" w:rsidP="003356AE">
      <w:pPr>
        <w:spacing w:line="240" w:lineRule="auto"/>
      </w:pPr>
    </w:p>
    <w:p w14:paraId="06852C48" w14:textId="77777777" w:rsidR="00FC1022" w:rsidRPr="004C508F" w:rsidRDefault="00FC1022" w:rsidP="003356AE">
      <w:pPr>
        <w:spacing w:line="240" w:lineRule="auto"/>
      </w:pPr>
      <w:r w:rsidRPr="00FD10BB">
        <w:t xml:space="preserve">Senior leaders have a significant responsibility not only to ensure that good governance arrangements are properly codified and documented but also that the proper culture exists so that the concept of good governance, including </w:t>
      </w:r>
      <w:r w:rsidRPr="004C508F">
        <w:t>transparency and openness, is effectively conveyed throughout their organisation.</w:t>
      </w:r>
    </w:p>
    <w:p w14:paraId="34389109" w14:textId="3FB498DA" w:rsidR="00EA47B5" w:rsidRPr="004C508F" w:rsidRDefault="00EA47B5" w:rsidP="003356AE">
      <w:pPr>
        <w:spacing w:line="240" w:lineRule="auto"/>
        <w:jc w:val="left"/>
        <w:rPr>
          <w:rFonts w:asciiTheme="minorHAnsi" w:eastAsia="Times New Roman" w:hAnsiTheme="minorHAnsi" w:cs="Times New Roman"/>
          <w:bCs/>
          <w:color w:val="25316C"/>
          <w:sz w:val="24"/>
        </w:rPr>
      </w:pPr>
    </w:p>
    <w:p w14:paraId="7920C31C" w14:textId="77777777" w:rsidR="00720B59" w:rsidRPr="004C508F" w:rsidRDefault="00720B59" w:rsidP="003356AE">
      <w:pPr>
        <w:spacing w:line="240" w:lineRule="auto"/>
      </w:pPr>
      <w:r w:rsidRPr="004C508F">
        <w:lastRenderedPageBreak/>
        <w:t>This statement explains how the Chief Constable has complied with the CIPFA/SOLACE framework and also meets the requirements of the Accounts and Audit Regulations in relation to the publication of an Annual Governance Statement.</w:t>
      </w:r>
    </w:p>
    <w:p w14:paraId="78E9F5E4" w14:textId="77777777" w:rsidR="00720B59" w:rsidRPr="004C508F" w:rsidRDefault="00720B59" w:rsidP="003356AE">
      <w:pPr>
        <w:spacing w:line="240" w:lineRule="auto"/>
      </w:pPr>
    </w:p>
    <w:p w14:paraId="428B1B3F" w14:textId="77777777" w:rsidR="00720B59" w:rsidRPr="004C508F" w:rsidRDefault="00720B59" w:rsidP="003356AE">
      <w:pPr>
        <w:pStyle w:val="VAHeadingLevel2"/>
        <w:spacing w:line="240" w:lineRule="auto"/>
      </w:pPr>
      <w:r w:rsidRPr="004C508F">
        <w:t>The Annual Governance Statement</w:t>
      </w:r>
    </w:p>
    <w:p w14:paraId="6DA11D9F" w14:textId="77777777" w:rsidR="00720B59" w:rsidRPr="004C508F" w:rsidRDefault="00720B59" w:rsidP="003356AE">
      <w:pPr>
        <w:spacing w:line="240" w:lineRule="auto"/>
      </w:pPr>
      <w:bookmarkStart w:id="257" w:name="_Hlk162270290"/>
      <w:r w:rsidRPr="004C508F">
        <w:t>It is a requirement on each public body to prepare an annual governance statement.  This is intended to provide an assessment of how effectively it has complied with its own governance arrangements and the principles set out in the framework.</w:t>
      </w:r>
    </w:p>
    <w:p w14:paraId="58FA3F84" w14:textId="77777777" w:rsidR="00720B59" w:rsidRPr="004C508F" w:rsidRDefault="00720B59" w:rsidP="003356AE">
      <w:pPr>
        <w:spacing w:line="240" w:lineRule="auto"/>
      </w:pPr>
    </w:p>
    <w:p w14:paraId="13639461" w14:textId="77777777" w:rsidR="00720B59" w:rsidRPr="00133F06" w:rsidRDefault="00720B59" w:rsidP="003356AE">
      <w:pPr>
        <w:spacing w:line="240" w:lineRule="auto"/>
      </w:pPr>
      <w:r w:rsidRPr="004C508F">
        <w:t xml:space="preserve">This governance statement </w:t>
      </w:r>
      <w:r w:rsidRPr="00133F06">
        <w:t>provides a high-level overview.  It comments on the effectiveness of governance arrangements over the past year and makes proposals to improve processes, or mitigate issues or risks identified.</w:t>
      </w:r>
    </w:p>
    <w:p w14:paraId="6E401684" w14:textId="77777777" w:rsidR="00720B59" w:rsidRPr="00133F06" w:rsidRDefault="00720B59" w:rsidP="003356AE">
      <w:pPr>
        <w:spacing w:line="240" w:lineRule="auto"/>
      </w:pPr>
    </w:p>
    <w:bookmarkEnd w:id="257"/>
    <w:p w14:paraId="2BACB885" w14:textId="77777777" w:rsidR="00720B59" w:rsidRPr="00133F06" w:rsidRDefault="00720B59" w:rsidP="003356AE">
      <w:pPr>
        <w:pStyle w:val="VAHeadingLevel2"/>
        <w:spacing w:line="240" w:lineRule="auto"/>
      </w:pPr>
      <w:r w:rsidRPr="00133F06">
        <w:t>The Purpose of the Governance Framework</w:t>
      </w:r>
    </w:p>
    <w:p w14:paraId="1C2F95D1" w14:textId="77777777" w:rsidR="00720B59" w:rsidRPr="00133F06" w:rsidRDefault="00720B59" w:rsidP="003356AE">
      <w:pPr>
        <w:spacing w:line="240" w:lineRule="auto"/>
      </w:pPr>
      <w:r w:rsidRPr="00133F06">
        <w:t>The Corporate Governance Framework comprises the systems and processes, and culture and values, by which the entity is directed and controlled and its activities through which it accounts to, engages with, and leads the community.  It enables the entity to monitor that the achievement of its strategic objectives has led to the delivery of appropriate, value-for-money services.</w:t>
      </w:r>
    </w:p>
    <w:p w14:paraId="6893420C" w14:textId="77777777" w:rsidR="00720B59" w:rsidRPr="00133F06" w:rsidRDefault="00720B59" w:rsidP="003356AE">
      <w:pPr>
        <w:spacing w:line="240" w:lineRule="auto"/>
      </w:pPr>
    </w:p>
    <w:p w14:paraId="7459BF5E" w14:textId="77777777" w:rsidR="00720B59" w:rsidRPr="00133F06" w:rsidRDefault="00720B59" w:rsidP="003356AE">
      <w:pPr>
        <w:spacing w:line="240" w:lineRule="auto"/>
      </w:pPr>
      <w:r w:rsidRPr="00133F06">
        <w:t>The system of internal control is a significant part of that framework and is designed to manage risk to a reasonable level.  It cannot eliminate all risk of failure to achieve policies, aims and objectives and can therefore only provide reasonable and not absolute assurance of effectiveness.  The system of internal control is based on an ongoing process designed to identify and prioritise the risks to the achievement of the entity’s policies, aims and objectives, to evaluate the likelihood of those risks being realised and the impact should they be realised, and to manage them efficiently, effectively and economically.</w:t>
      </w:r>
    </w:p>
    <w:p w14:paraId="320F6067" w14:textId="77777777" w:rsidR="00720B59" w:rsidRPr="00133F06" w:rsidRDefault="00720B59" w:rsidP="003356AE">
      <w:pPr>
        <w:spacing w:line="240" w:lineRule="auto"/>
      </w:pPr>
    </w:p>
    <w:p w14:paraId="2152FC4F" w14:textId="77777777" w:rsidR="004C37C9" w:rsidRPr="00FE6487" w:rsidRDefault="004C37C9" w:rsidP="003356AE">
      <w:pPr>
        <w:spacing w:line="240" w:lineRule="auto"/>
      </w:pPr>
      <w:r w:rsidRPr="00133F06">
        <w:t>The Joint Corporate Governance Framework brings</w:t>
      </w:r>
      <w:r>
        <w:t xml:space="preserve"> together governance arrangements for the </w:t>
      </w:r>
      <w:r w:rsidRPr="00FE6487">
        <w:t xml:space="preserve">PFCC, </w:t>
      </w:r>
      <w:r>
        <w:t xml:space="preserve">Chief Constable </w:t>
      </w:r>
      <w:r w:rsidRPr="00FE6487">
        <w:t>and NCFRA</w:t>
      </w:r>
      <w:r>
        <w:t xml:space="preserve">. </w:t>
      </w:r>
      <w:r w:rsidRPr="00FE6487">
        <w:t xml:space="preserve"> </w:t>
      </w:r>
      <w:r>
        <w:t>The latest</w:t>
      </w:r>
      <w:r w:rsidRPr="00FE6487">
        <w:t xml:space="preserve"> version was published in March 2025, incorporating changes required to ensure compliance with new procurement legislation.</w:t>
      </w:r>
    </w:p>
    <w:p w14:paraId="6B2648B0" w14:textId="77777777" w:rsidR="00720B59" w:rsidRPr="0028226D" w:rsidRDefault="00720B59" w:rsidP="003356AE">
      <w:pPr>
        <w:spacing w:line="240" w:lineRule="auto"/>
        <w:rPr>
          <w:b/>
          <w:u w:val="single"/>
        </w:rPr>
      </w:pPr>
    </w:p>
    <w:p w14:paraId="36BF6A9E" w14:textId="77777777" w:rsidR="00720B59" w:rsidRPr="0028226D" w:rsidRDefault="00720B59" w:rsidP="003356AE">
      <w:pPr>
        <w:pStyle w:val="VAHeadingLevel2"/>
        <w:spacing w:line="240" w:lineRule="auto"/>
      </w:pPr>
      <w:r w:rsidRPr="0028226D">
        <w:t>The Governance Framework</w:t>
      </w:r>
    </w:p>
    <w:p w14:paraId="1CE0E814" w14:textId="77777777" w:rsidR="0052618E" w:rsidRPr="00A01C06" w:rsidRDefault="0052618E" w:rsidP="003356AE">
      <w:pPr>
        <w:spacing w:line="240" w:lineRule="auto"/>
      </w:pPr>
      <w:r w:rsidRPr="0028226D">
        <w:t>Both the PFCC and CC continued to seek confirmation that appropriate management and reporting arrangements</w:t>
      </w:r>
      <w:r w:rsidRPr="00A01C06">
        <w:t xml:space="preserve"> were in place to gain assurance that the approach to corporate governance was both adequate and effective in practice.  These arrangements included:</w:t>
      </w:r>
    </w:p>
    <w:p w14:paraId="7B3407DA" w14:textId="77777777" w:rsidR="0052618E" w:rsidRPr="00A01C06" w:rsidRDefault="0052618E" w:rsidP="003356AE">
      <w:pPr>
        <w:spacing w:line="240" w:lineRule="auto"/>
      </w:pPr>
    </w:p>
    <w:p w14:paraId="161E2611" w14:textId="77777777" w:rsidR="0052618E" w:rsidRPr="00A01C06" w:rsidRDefault="0052618E" w:rsidP="003356AE">
      <w:pPr>
        <w:pStyle w:val="RedBullet"/>
        <w:spacing w:line="240" w:lineRule="auto"/>
      </w:pPr>
      <w:r w:rsidRPr="00A01C06">
        <w:t xml:space="preserve">An Accountability Board forward plan seeking timely updates and assurances at appropriate times during the year. </w:t>
      </w:r>
      <w:r>
        <w:t xml:space="preserve"> </w:t>
      </w:r>
      <w:r w:rsidRPr="00A01C06">
        <w:t>Minutes are publicly available on the PFCC’s website</w:t>
      </w:r>
    </w:p>
    <w:p w14:paraId="1DA714FF" w14:textId="77777777" w:rsidR="0052618E" w:rsidRPr="00A01C06" w:rsidRDefault="0052618E" w:rsidP="003356AE">
      <w:pPr>
        <w:pStyle w:val="RedBullet"/>
        <w:spacing w:line="240" w:lineRule="auto"/>
      </w:pPr>
      <w:r w:rsidRPr="00A01C06">
        <w:t>Regular dialogue between the PFCC and Chief Constable, and meetings held between key officers of the Force and Office of the Police, Fire and Crime Commissioner (OPFCC)</w:t>
      </w:r>
    </w:p>
    <w:p w14:paraId="2DDD44AB" w14:textId="77777777" w:rsidR="0052618E" w:rsidRPr="00A01C06" w:rsidRDefault="0052618E" w:rsidP="003356AE">
      <w:pPr>
        <w:pStyle w:val="RedBullet"/>
        <w:spacing w:line="240" w:lineRule="auto"/>
      </w:pPr>
      <w:r w:rsidRPr="00A01C06">
        <w:t xml:space="preserve">A </w:t>
      </w:r>
      <w:r>
        <w:t>robust r</w:t>
      </w:r>
      <w:r w:rsidRPr="00A01C06">
        <w:t xml:space="preserve">isk </w:t>
      </w:r>
      <w:r>
        <w:t>m</w:t>
      </w:r>
      <w:r w:rsidRPr="00A01C06">
        <w:t xml:space="preserve">anagement </w:t>
      </w:r>
      <w:r>
        <w:t>process</w:t>
      </w:r>
      <w:r w:rsidRPr="00A01C06">
        <w:t>, with regular OPFCC reviews by the Directors and PFCC</w:t>
      </w:r>
    </w:p>
    <w:p w14:paraId="1CA01948" w14:textId="77777777" w:rsidR="0052618E" w:rsidRPr="00A01C06" w:rsidRDefault="0052618E" w:rsidP="003356AE">
      <w:pPr>
        <w:pStyle w:val="RedBullet"/>
        <w:spacing w:line="240" w:lineRule="auto"/>
      </w:pPr>
      <w:r w:rsidRPr="00A01C06">
        <w:t>An Annual Governance Statement produced by both the OPFCC and the OCC</w:t>
      </w:r>
    </w:p>
    <w:p w14:paraId="44F6ABBC" w14:textId="77777777" w:rsidR="0052618E" w:rsidRPr="00A01C06" w:rsidRDefault="0052618E" w:rsidP="003356AE">
      <w:pPr>
        <w:pStyle w:val="RedBullet"/>
        <w:spacing w:line="240" w:lineRule="auto"/>
      </w:pPr>
      <w:r w:rsidRPr="00A01C06">
        <w:t>A CIPFA Value for Money Assessment against the framework completed by the two S151 officers</w:t>
      </w:r>
    </w:p>
    <w:p w14:paraId="46271733" w14:textId="77777777" w:rsidR="0052618E" w:rsidRPr="00A01C06" w:rsidRDefault="0052618E" w:rsidP="003356AE">
      <w:pPr>
        <w:pStyle w:val="RedBullet"/>
        <w:spacing w:line="240" w:lineRule="auto"/>
      </w:pPr>
      <w:r w:rsidRPr="00A01C06">
        <w:t>A Regional Annual Governance Statement for East Midlands Special Operations Unit (EMSOU) activities</w:t>
      </w:r>
    </w:p>
    <w:p w14:paraId="64B1D970" w14:textId="77777777" w:rsidR="0052618E" w:rsidRPr="00A01C06" w:rsidRDefault="0052618E" w:rsidP="003356AE">
      <w:pPr>
        <w:pStyle w:val="RedBullet"/>
        <w:spacing w:line="240" w:lineRule="auto"/>
      </w:pPr>
      <w:r w:rsidRPr="00A01C06">
        <w:t>An effective Joint Independent Audit Committee (JIAC)</w:t>
      </w:r>
    </w:p>
    <w:p w14:paraId="15EF9CB2" w14:textId="77777777" w:rsidR="0052618E" w:rsidRPr="00A01C06" w:rsidRDefault="0052618E" w:rsidP="003356AE">
      <w:pPr>
        <w:pStyle w:val="RedBullet"/>
        <w:spacing w:line="240" w:lineRule="auto"/>
      </w:pPr>
      <w:r w:rsidRPr="00A01C06">
        <w:t>Ensuring that there is an effective Internal Audit function</w:t>
      </w:r>
    </w:p>
    <w:p w14:paraId="245B0792" w14:textId="77777777" w:rsidR="0052618E" w:rsidRPr="00A01C06" w:rsidRDefault="0052618E" w:rsidP="003356AE">
      <w:pPr>
        <w:pStyle w:val="RedBullet"/>
        <w:spacing w:line="240" w:lineRule="auto"/>
      </w:pPr>
      <w:r w:rsidRPr="00A01C06">
        <w:t>Attendance by the OPFCC Directors, JIAC Chair and/or members at key meetings and briefings</w:t>
      </w:r>
    </w:p>
    <w:p w14:paraId="533E3AA3" w14:textId="77777777" w:rsidR="0052618E" w:rsidRPr="00A01C06" w:rsidRDefault="0052618E" w:rsidP="003356AE">
      <w:pPr>
        <w:spacing w:line="240" w:lineRule="auto"/>
      </w:pPr>
    </w:p>
    <w:p w14:paraId="155C6DD0" w14:textId="77777777" w:rsidR="0052618E" w:rsidRPr="00A01C06" w:rsidRDefault="0052618E" w:rsidP="003356AE">
      <w:pPr>
        <w:spacing w:line="240" w:lineRule="auto"/>
      </w:pPr>
      <w:r w:rsidRPr="00A01C06">
        <w:t>In addition to the arrangements above, the system includes:</w:t>
      </w:r>
    </w:p>
    <w:p w14:paraId="15ED7BF0" w14:textId="77777777" w:rsidR="0052618E" w:rsidRPr="00A01C06" w:rsidRDefault="0052618E" w:rsidP="003356AE">
      <w:pPr>
        <w:spacing w:line="240" w:lineRule="auto"/>
      </w:pPr>
    </w:p>
    <w:p w14:paraId="52B86294" w14:textId="77777777" w:rsidR="0052618E" w:rsidRPr="00A01C06" w:rsidRDefault="0052618E" w:rsidP="003356AE">
      <w:pPr>
        <w:pStyle w:val="RedBullet"/>
        <w:spacing w:line="240" w:lineRule="auto"/>
      </w:pPr>
      <w:r w:rsidRPr="00A01C06">
        <w:t>Updates to Police, Fire and Crime Panel meetings on OPFCC strategic plans and delivery</w:t>
      </w:r>
    </w:p>
    <w:p w14:paraId="06AAB10B" w14:textId="77777777" w:rsidR="0052618E" w:rsidRPr="00A01C06" w:rsidRDefault="0052618E" w:rsidP="003356AE">
      <w:pPr>
        <w:pStyle w:val="RedBullet"/>
        <w:spacing w:line="240" w:lineRule="auto"/>
      </w:pPr>
      <w:r w:rsidRPr="00A01C06">
        <w:t>A focus on achieving the objectives set out in the Plan</w:t>
      </w:r>
    </w:p>
    <w:p w14:paraId="5D56AE56" w14:textId="77777777" w:rsidR="0052618E" w:rsidRPr="00A01C06" w:rsidRDefault="0052618E" w:rsidP="003356AE">
      <w:pPr>
        <w:pStyle w:val="RedBullet"/>
        <w:spacing w:line="240" w:lineRule="auto"/>
      </w:pPr>
      <w:r w:rsidRPr="00A01C06">
        <w:t>Regular financial reporting for both the OPFCC and the OCC</w:t>
      </w:r>
    </w:p>
    <w:p w14:paraId="616B140C" w14:textId="77777777" w:rsidR="0052618E" w:rsidRPr="00A01C06" w:rsidRDefault="0052618E" w:rsidP="003356AE">
      <w:pPr>
        <w:pStyle w:val="RedBullet"/>
        <w:spacing w:line="240" w:lineRule="auto"/>
      </w:pPr>
      <w:r w:rsidRPr="00A01C06">
        <w:lastRenderedPageBreak/>
        <w:t>Engagement in Value for Money benchmarking such as is conducted by HMICFRS</w:t>
      </w:r>
    </w:p>
    <w:p w14:paraId="63ED0565" w14:textId="77777777" w:rsidR="0052618E" w:rsidRPr="00A01C06" w:rsidRDefault="0052618E" w:rsidP="003356AE">
      <w:pPr>
        <w:pStyle w:val="RedBullet"/>
        <w:spacing w:line="240" w:lineRule="auto"/>
      </w:pPr>
      <w:r w:rsidRPr="00A01C06">
        <w:t>A Joint Assistant Chief Officer</w:t>
      </w:r>
      <w:r>
        <w:t xml:space="preserve"> in place,</w:t>
      </w:r>
      <w:r w:rsidRPr="00A01C06">
        <w:t xml:space="preserve"> lead</w:t>
      </w:r>
      <w:r>
        <w:t>ing</w:t>
      </w:r>
      <w:r w:rsidRPr="00A01C06">
        <w:t xml:space="preserve"> on Enabling Services and provides strategic leadership of support services across Fire and Policing</w:t>
      </w:r>
    </w:p>
    <w:p w14:paraId="16F4E942" w14:textId="5A2C6C2D" w:rsidR="0052618E" w:rsidRPr="00A01C06" w:rsidRDefault="0052618E" w:rsidP="003356AE">
      <w:pPr>
        <w:pStyle w:val="RedBullet"/>
        <w:spacing w:line="240" w:lineRule="auto"/>
      </w:pPr>
      <w:r w:rsidRPr="00A01C06">
        <w:t>A collaboration agreement is in place in line with the Home Office Financial Management Code of Practice.</w:t>
      </w:r>
      <w:r>
        <w:t xml:space="preserve"> </w:t>
      </w:r>
      <w:r w:rsidRPr="00A01C06">
        <w:t xml:space="preserve"> The agreement was reviewed during the year and an updated version approved in April 2025</w:t>
      </w:r>
    </w:p>
    <w:p w14:paraId="4CA53C3A" w14:textId="77777777" w:rsidR="0052618E" w:rsidRPr="00A01C06" w:rsidRDefault="0052618E" w:rsidP="003356AE">
      <w:pPr>
        <w:pStyle w:val="RedBullet"/>
        <w:spacing w:line="240" w:lineRule="auto"/>
      </w:pPr>
      <w:r w:rsidRPr="00A01C06">
        <w:t xml:space="preserve">A Force meeting governance structure including Force Executive Meeting, Strategic Planning Board, Force Assurance Boards and capital and estates delivery meetings, attended by key officers/staff  </w:t>
      </w:r>
    </w:p>
    <w:p w14:paraId="7A046032" w14:textId="77777777" w:rsidR="0052618E" w:rsidRPr="00A01C06" w:rsidRDefault="0052618E" w:rsidP="003356AE">
      <w:pPr>
        <w:spacing w:line="240" w:lineRule="auto"/>
      </w:pPr>
    </w:p>
    <w:p w14:paraId="14EB6A48" w14:textId="77777777" w:rsidR="0052618E" w:rsidRPr="00A01C06" w:rsidRDefault="0052618E" w:rsidP="003356AE">
      <w:pPr>
        <w:spacing w:line="240" w:lineRule="auto"/>
      </w:pPr>
      <w:r w:rsidRPr="00A01C06">
        <w:t>In the full year to 31 March 202</w:t>
      </w:r>
      <w:r>
        <w:t>6</w:t>
      </w:r>
      <w:r w:rsidRPr="00A01C06">
        <w:t>, the PFCC and CC have sought to ensure that appropriate management and reporting arrangements are in place to enable them to be satisfied that the approach to corporate governance was both adequate and effective in practice.</w:t>
      </w:r>
    </w:p>
    <w:p w14:paraId="26591969" w14:textId="77777777" w:rsidR="0052618E" w:rsidRPr="00A01C06" w:rsidRDefault="0052618E" w:rsidP="003356AE">
      <w:pPr>
        <w:spacing w:line="240" w:lineRule="auto"/>
      </w:pPr>
    </w:p>
    <w:p w14:paraId="43308F09" w14:textId="77777777" w:rsidR="0052618E" w:rsidRPr="00A01C06" w:rsidRDefault="0052618E" w:rsidP="003356AE">
      <w:pPr>
        <w:spacing w:line="240" w:lineRule="auto"/>
      </w:pPr>
      <w:r w:rsidRPr="00A01C06">
        <w:t>The system of internal control is based on a system of financial, contractual, management and administrative controls and is reviewed by both internal and external audit.</w:t>
      </w:r>
    </w:p>
    <w:p w14:paraId="4BF19CF7" w14:textId="77777777" w:rsidR="00E65214" w:rsidRPr="00BB23C6" w:rsidRDefault="00E65214" w:rsidP="003356AE">
      <w:pPr>
        <w:spacing w:line="240" w:lineRule="auto"/>
        <w:rPr>
          <w:highlight w:val="yellow"/>
        </w:rPr>
      </w:pPr>
    </w:p>
    <w:p w14:paraId="0F1F9F9A" w14:textId="77777777" w:rsidR="00E65214" w:rsidRPr="0038573F" w:rsidRDefault="00E65214" w:rsidP="003356AE">
      <w:pPr>
        <w:pStyle w:val="VAHeadingLevel2"/>
        <w:spacing w:line="240" w:lineRule="auto"/>
      </w:pPr>
      <w:r w:rsidRPr="0038573F">
        <w:t>Compliance with the Seven Principles set out in the CIPFA/SOLACE Framework</w:t>
      </w:r>
    </w:p>
    <w:p w14:paraId="4B3A9D27" w14:textId="77777777" w:rsidR="00E65214" w:rsidRPr="0038573F" w:rsidRDefault="00E65214" w:rsidP="003356AE">
      <w:pPr>
        <w:spacing w:line="240" w:lineRule="auto"/>
        <w:rPr>
          <w:b/>
          <w:u w:val="single"/>
        </w:rPr>
      </w:pPr>
    </w:p>
    <w:p w14:paraId="22ABC294" w14:textId="77777777" w:rsidR="00E65214" w:rsidRPr="0038573F" w:rsidRDefault="00E65214" w:rsidP="003356AE">
      <w:pPr>
        <w:pStyle w:val="VAHeadingLevel2"/>
        <w:spacing w:line="240" w:lineRule="auto"/>
      </w:pPr>
      <w:r w:rsidRPr="0038573F">
        <w:rPr>
          <w:b/>
        </w:rPr>
        <w:t xml:space="preserve">Principle A: </w:t>
      </w:r>
      <w:r w:rsidRPr="0038573F">
        <w:t>Behaving with Integrity, Demonstrating Strong Commitment to Ethical Values and Respecting the Rule of Law</w:t>
      </w:r>
    </w:p>
    <w:p w14:paraId="32546056" w14:textId="77777777" w:rsidR="00E65214" w:rsidRPr="00996F3E" w:rsidRDefault="00E65214" w:rsidP="003356AE">
      <w:pPr>
        <w:spacing w:line="240" w:lineRule="auto"/>
      </w:pPr>
      <w:r w:rsidRPr="00996F3E">
        <w:t>The Joint Corporate Governance Framework provides guidance on expected behaviours to ensure integrity, transparency and excellent standards of ethical behaviour.  This includes an agreement to adhere to the College of Policing (CoP) Code of Ethics as the basis for how the organisation and staff behave.  The Force internal and external ethics committee is in place and values have been included as a fundamental element of the Police, Fire and Crime Plan.</w:t>
      </w:r>
    </w:p>
    <w:p w14:paraId="6A00A266" w14:textId="77777777" w:rsidR="00E65214" w:rsidRPr="00996F3E" w:rsidRDefault="00E65214" w:rsidP="003356AE">
      <w:pPr>
        <w:spacing w:line="240" w:lineRule="auto"/>
      </w:pPr>
    </w:p>
    <w:p w14:paraId="3563171F" w14:textId="77777777" w:rsidR="00E65214" w:rsidRPr="00996F3E" w:rsidRDefault="00E65214" w:rsidP="003356AE">
      <w:pPr>
        <w:spacing w:line="240" w:lineRule="auto"/>
      </w:pPr>
      <w:r w:rsidRPr="00996F3E">
        <w:t>The Force Professional Standards Department (PSD) investigates all instances of fraud, corruption and whistleblowing and the Chief Finance Officers for both the CC and the PFCC and the Monitoring Officer have specific responsibility in legislation for ensuring legality, for investigating any suspected instances of failure to comply with legal requirements and for reporting any such instances to the PFCC, CC, JIAC or Police, Fire and Crime Panel.  The OPFCC has its own whistleblowing policy and associated policies in relation to complaints.</w:t>
      </w:r>
    </w:p>
    <w:p w14:paraId="357AC19A" w14:textId="77777777" w:rsidR="00E65214" w:rsidRPr="00996F3E" w:rsidRDefault="00E65214" w:rsidP="003356AE">
      <w:pPr>
        <w:spacing w:line="240" w:lineRule="auto"/>
      </w:pPr>
    </w:p>
    <w:p w14:paraId="4161F368" w14:textId="77777777" w:rsidR="00E65214" w:rsidRPr="00996F3E" w:rsidRDefault="00E65214" w:rsidP="003356AE">
      <w:pPr>
        <w:spacing w:line="240" w:lineRule="auto"/>
      </w:pPr>
      <w:r w:rsidRPr="00996F3E">
        <w:t>The OPFCC has a well-resourced Customer Service Team to deal with complaints and other issues with a remit to identify and report any unethical behaviours.</w:t>
      </w:r>
    </w:p>
    <w:p w14:paraId="65C3BB0A" w14:textId="77777777" w:rsidR="00E65214" w:rsidRPr="00996F3E" w:rsidRDefault="00E65214" w:rsidP="003356AE">
      <w:pPr>
        <w:spacing w:line="240" w:lineRule="auto"/>
      </w:pPr>
    </w:p>
    <w:p w14:paraId="20EB5BCE" w14:textId="77777777" w:rsidR="00E65214" w:rsidRPr="00996F3E" w:rsidRDefault="00E65214" w:rsidP="003356AE">
      <w:pPr>
        <w:spacing w:line="240" w:lineRule="auto"/>
      </w:pPr>
      <w:r w:rsidRPr="00996F3E">
        <w:t>Vetting standards have been reviewed and investment made into ensuring all relevant people are vetted thoroughly to the most appropriate levels, with urgent action taken for any flagged issues.</w:t>
      </w:r>
    </w:p>
    <w:p w14:paraId="002DBA44" w14:textId="77777777" w:rsidR="00E65214" w:rsidRPr="00996F3E" w:rsidRDefault="00E65214" w:rsidP="003356AE">
      <w:pPr>
        <w:spacing w:line="240" w:lineRule="auto"/>
      </w:pPr>
    </w:p>
    <w:p w14:paraId="754F80AA" w14:textId="2F8AA0BF" w:rsidR="00E65214" w:rsidRPr="00996F3E" w:rsidRDefault="00996F3E" w:rsidP="003356AE">
      <w:pPr>
        <w:spacing w:line="240" w:lineRule="auto"/>
      </w:pPr>
      <w:r>
        <w:t>R</w:t>
      </w:r>
      <w:r w:rsidR="00E65214" w:rsidRPr="00996F3E">
        <w:t>elated party disclosures have been undertaken for all key staff in the OPFCC, OCC and JIAC members.  Additionally, the PFCC and all members of OPFCC staff complete a declaration of business interests which were received and reviewed by the two s151 officers and any disclosures required included within the Statement of Accounts.</w:t>
      </w:r>
    </w:p>
    <w:p w14:paraId="06080248" w14:textId="77777777" w:rsidR="00E65214" w:rsidRPr="00996F3E" w:rsidRDefault="00E65214" w:rsidP="003356AE">
      <w:pPr>
        <w:spacing w:line="240" w:lineRule="auto"/>
      </w:pPr>
    </w:p>
    <w:p w14:paraId="7C4C4411" w14:textId="77777777" w:rsidR="00E65214" w:rsidRPr="00BA4A66" w:rsidRDefault="00E65214" w:rsidP="003356AE">
      <w:pPr>
        <w:pStyle w:val="VAHeadingLevel2"/>
        <w:spacing w:line="240" w:lineRule="auto"/>
      </w:pPr>
      <w:r w:rsidRPr="00BA4A66">
        <w:rPr>
          <w:b/>
        </w:rPr>
        <w:t>Principle B:</w:t>
      </w:r>
      <w:r w:rsidRPr="00BA4A66">
        <w:t xml:space="preserve"> Ensuring Openness and Comprehensive Stakeholder Engagement </w:t>
      </w:r>
    </w:p>
    <w:p w14:paraId="14DC3E0F" w14:textId="77777777" w:rsidR="00A27936" w:rsidRPr="00BA4A66" w:rsidRDefault="00E65214" w:rsidP="003356AE">
      <w:pPr>
        <w:spacing w:line="240" w:lineRule="auto"/>
      </w:pPr>
      <w:r w:rsidRPr="00BA4A66">
        <w:t xml:space="preserve">The Commissioner’s purpose is set out in statute.  The vision for Northamptonshire policing is set out in the Police, Fire and Crime Plan, which we call ‘Safe and Sound’ and sets out the strategic direction of the PFCC’s activities.  It was informed by ‘the Big Conversation’, a significant programme of consultation and engagement </w:t>
      </w:r>
      <w:r w:rsidR="00A27936" w:rsidRPr="00BA4A66">
        <w:t>in the heart of communities and strongly supported by partners.  It works in synergy with both police and fire operational plans, and the PFCC provides an update at each Police, Fire and Crime Panel meeting.</w:t>
      </w:r>
    </w:p>
    <w:p w14:paraId="60457EEB" w14:textId="77777777" w:rsidR="00A27936" w:rsidRPr="00BA4A66" w:rsidRDefault="00A27936" w:rsidP="003356AE">
      <w:pPr>
        <w:spacing w:line="240" w:lineRule="auto"/>
      </w:pPr>
    </w:p>
    <w:p w14:paraId="6522E36C" w14:textId="77777777" w:rsidR="00A27936" w:rsidRPr="00BA4A66" w:rsidRDefault="00A27936" w:rsidP="003356AE">
      <w:pPr>
        <w:spacing w:line="240" w:lineRule="auto"/>
      </w:pPr>
      <w:r w:rsidRPr="00BA4A66">
        <w:lastRenderedPageBreak/>
        <w:t>The OPFCC and OCC have both invested in fit-for-purpose communications and engagement resources, with additional capacity built in for the Commissioner from 2025/26.  Newsletters and press releases are produced regularly to ensure the work of the OPFCC and OCC are clearly understood by the public, and to encourage feedback and engagement.</w:t>
      </w:r>
    </w:p>
    <w:p w14:paraId="067B8F36" w14:textId="77777777" w:rsidR="00A27936" w:rsidRPr="00BA4A66" w:rsidRDefault="00A27936" w:rsidP="003356AE">
      <w:pPr>
        <w:spacing w:line="240" w:lineRule="auto"/>
      </w:pPr>
    </w:p>
    <w:p w14:paraId="4D31D073" w14:textId="77777777" w:rsidR="00A27936" w:rsidRPr="00BA4A66" w:rsidRDefault="00A27936" w:rsidP="003356AE">
      <w:pPr>
        <w:spacing w:line="240" w:lineRule="auto"/>
      </w:pPr>
      <w:r w:rsidRPr="00BA4A66">
        <w:t>The OPFCC website is used to publish a wide range of policy and information on the PFCC and the Office, making this easily accessible to the public.  All agendas, unrestricted papers and meetings of the JIAC are open to the public and unrestricted papers are available online.  The minutes of the Accountability Board are also published to transparently demonstrate the PFCC holding the Chief Constable to account in line with the PFCC’s statutory role.</w:t>
      </w:r>
    </w:p>
    <w:p w14:paraId="0B16B0B6" w14:textId="77777777" w:rsidR="00A27936" w:rsidRPr="00BA4A66" w:rsidRDefault="00A27936" w:rsidP="003356AE">
      <w:pPr>
        <w:spacing w:line="240" w:lineRule="auto"/>
      </w:pPr>
    </w:p>
    <w:p w14:paraId="0085DCEF" w14:textId="77777777" w:rsidR="00A27936" w:rsidRPr="00BA4A66" w:rsidRDefault="00A27936" w:rsidP="003356AE">
      <w:pPr>
        <w:spacing w:line="240" w:lineRule="auto"/>
      </w:pPr>
      <w:r w:rsidRPr="00BA4A66">
        <w:t>Decisions made by the PFCC are published on the website, together with consultations and details of future public events and public surveys.  The OPFCC undertakes regular council taxpayer, customer and victim survey activities, ensuring that these can be used to inform council tax levels, service delivery by the Force and services which the PFCC has commissioned.  The PFCC undertakes public consultation to inform setting the Policing precept, with results shared by the Police, Fire and Crime Panel and the full report published on the OPFCC website.</w:t>
      </w:r>
    </w:p>
    <w:p w14:paraId="2A7973C0" w14:textId="77777777" w:rsidR="00A27936" w:rsidRPr="00BA4A66" w:rsidRDefault="00A27936" w:rsidP="003356AE">
      <w:pPr>
        <w:spacing w:line="240" w:lineRule="auto"/>
      </w:pPr>
    </w:p>
    <w:p w14:paraId="105A45B3" w14:textId="77777777" w:rsidR="00A27936" w:rsidRPr="00B02C16" w:rsidRDefault="00A27936" w:rsidP="003356AE">
      <w:pPr>
        <w:pStyle w:val="VAHeadingLevel2"/>
        <w:spacing w:line="240" w:lineRule="auto"/>
      </w:pPr>
      <w:r w:rsidRPr="00B02C16">
        <w:rPr>
          <w:b/>
        </w:rPr>
        <w:t>Principle C:</w:t>
      </w:r>
      <w:r w:rsidRPr="00B02C16">
        <w:t xml:space="preserve"> Defining Outcomes in Terms of Sustainable, Economic, Social and Environmental Outcomes</w:t>
      </w:r>
    </w:p>
    <w:p w14:paraId="7230A4CD" w14:textId="77777777" w:rsidR="00A27936" w:rsidRPr="00B02C16" w:rsidRDefault="00A27936" w:rsidP="003356AE">
      <w:pPr>
        <w:spacing w:line="240" w:lineRule="auto"/>
      </w:pPr>
      <w:r w:rsidRPr="00B02C16">
        <w:t>For the budget and precept, the Police, Fire and Crime Plan was informed by the strategic policing requirement and used to direct the resources for the OPFCC and the Chief Constable through the Revenue and Capital budgets.  It informs where resources are most needed and targets investment to priority areas.</w:t>
      </w:r>
    </w:p>
    <w:p w14:paraId="4F2F3A94" w14:textId="77777777" w:rsidR="00A27936" w:rsidRPr="00B02C16" w:rsidRDefault="00A27936" w:rsidP="003356AE">
      <w:pPr>
        <w:spacing w:line="240" w:lineRule="auto"/>
      </w:pPr>
    </w:p>
    <w:p w14:paraId="61E729CA" w14:textId="77777777" w:rsidR="00A27936" w:rsidRPr="00B02C16" w:rsidRDefault="00A27936" w:rsidP="003356AE">
      <w:pPr>
        <w:spacing w:line="240" w:lineRule="auto"/>
      </w:pPr>
      <w:r w:rsidRPr="00B02C16">
        <w:t xml:space="preserve">As in previous years, budgets were prepared on zero-based budget principles, the Chief Constable was fully involved in the preparation of the budgets.  The budget, council tax levels and </w:t>
      </w:r>
      <w:proofErr w:type="gramStart"/>
      <w:r w:rsidRPr="00B02C16">
        <w:t>Medium Term</w:t>
      </w:r>
      <w:proofErr w:type="gramEnd"/>
      <w:r w:rsidRPr="00B02C16">
        <w:t xml:space="preserve"> Financial Plan (MTFP), alongside the Reserves, Capital and Treasury Management Strategies were considered by the PFCC in proposing and setting the level of precept.</w:t>
      </w:r>
    </w:p>
    <w:p w14:paraId="7C3B050B" w14:textId="77777777" w:rsidR="00A27936" w:rsidRPr="00B02C16" w:rsidRDefault="00A27936" w:rsidP="003356AE">
      <w:pPr>
        <w:spacing w:line="240" w:lineRule="auto"/>
      </w:pPr>
    </w:p>
    <w:p w14:paraId="7F3D6EF4" w14:textId="2A7046AE" w:rsidR="00A27936" w:rsidRPr="00B02C16" w:rsidRDefault="00A27936" w:rsidP="003356AE">
      <w:pPr>
        <w:spacing w:line="240" w:lineRule="auto"/>
      </w:pPr>
      <w:r w:rsidRPr="00B02C16">
        <w:t>Grants for financial support were advertised on the PFCC website and administered via the OPFCC.   Allocations are given in line with the objectives of the Police, Fire and Crime Plan</w:t>
      </w:r>
      <w:r w:rsidR="008B3705">
        <w:t xml:space="preserve"> in the same way as the previous year which was the</w:t>
      </w:r>
      <w:r w:rsidRPr="00B02C16">
        <w:t xml:space="preserve"> focus</w:t>
      </w:r>
      <w:r w:rsidR="008B3705">
        <w:t xml:space="preserve"> of</w:t>
      </w:r>
      <w:r w:rsidRPr="00B02C16">
        <w:t xml:space="preserve"> an</w:t>
      </w:r>
      <w:r w:rsidR="00842E17">
        <w:t xml:space="preserve"> internal audit</w:t>
      </w:r>
      <w:r w:rsidRPr="00B02C16">
        <w:t xml:space="preserve"> provid</w:t>
      </w:r>
      <w:r w:rsidR="00842E17">
        <w:t>ing</w:t>
      </w:r>
      <w:r w:rsidRPr="00B02C16">
        <w:t xml:space="preserve"> a ‘Substantial’ audit assurance opinion.</w:t>
      </w:r>
    </w:p>
    <w:p w14:paraId="72D67F7F" w14:textId="77777777" w:rsidR="00A27936" w:rsidRPr="00B02C16" w:rsidRDefault="00A27936" w:rsidP="003356AE">
      <w:pPr>
        <w:spacing w:line="240" w:lineRule="auto"/>
      </w:pPr>
    </w:p>
    <w:p w14:paraId="29E62AE4" w14:textId="77777777" w:rsidR="00A27936" w:rsidRPr="00B02C16" w:rsidRDefault="00A27936" w:rsidP="003356AE">
      <w:pPr>
        <w:spacing w:line="240" w:lineRule="auto"/>
      </w:pPr>
      <w:r w:rsidRPr="00B02C16">
        <w:t>The Force and PFCC support a number of collaborative arrangements, in the East Midlands, cross-region and nationally, aimed at better delivering positive outcomes.  The PFCC has a statutory responsibility to consider the national strategic policing requirement, and collaborative working enables a response in an efficient and cost-effective manner.  The Regional Governance Team continued to support the Regional Commissioners to drive and develop collaboration.</w:t>
      </w:r>
    </w:p>
    <w:p w14:paraId="7E083B20" w14:textId="77777777" w:rsidR="00A27936" w:rsidRPr="00B02C16" w:rsidRDefault="00A27936" w:rsidP="003356AE">
      <w:pPr>
        <w:spacing w:line="240" w:lineRule="auto"/>
      </w:pPr>
    </w:p>
    <w:p w14:paraId="1CD133B6" w14:textId="77777777" w:rsidR="00A27936" w:rsidRPr="00B02C16" w:rsidRDefault="00A27936" w:rsidP="003356AE">
      <w:pPr>
        <w:spacing w:line="240" w:lineRule="auto"/>
      </w:pPr>
      <w:r w:rsidRPr="00B02C16">
        <w:t>In the context of resource constraints, Regional Commissioners and Chief Constables continue to review the most appropriate balance of local and regional resource delivery.</w:t>
      </w:r>
    </w:p>
    <w:p w14:paraId="20B994FA" w14:textId="77777777" w:rsidR="00A27936" w:rsidRPr="00B02C16" w:rsidRDefault="00A27936" w:rsidP="003356AE">
      <w:pPr>
        <w:spacing w:line="240" w:lineRule="auto"/>
      </w:pPr>
    </w:p>
    <w:p w14:paraId="0A94F5B8" w14:textId="77777777" w:rsidR="00A27936" w:rsidRPr="00B02C16" w:rsidRDefault="00A27936" w:rsidP="003356AE">
      <w:pPr>
        <w:spacing w:line="240" w:lineRule="auto"/>
      </w:pPr>
      <w:r w:rsidRPr="00B02C16">
        <w:t>The General Reserves was maintained at a sustainable level of £5.3m during the year which is in keeping with the Reserves Strategy.</w:t>
      </w:r>
    </w:p>
    <w:p w14:paraId="0FA33E7B" w14:textId="77777777" w:rsidR="00EA47B5" w:rsidRPr="00B02C16" w:rsidRDefault="00EA47B5" w:rsidP="003356AE">
      <w:pPr>
        <w:spacing w:line="240" w:lineRule="auto"/>
        <w:rPr>
          <w:b/>
          <w:color w:val="800000"/>
        </w:rPr>
      </w:pPr>
    </w:p>
    <w:p w14:paraId="04A0B5BA" w14:textId="77777777" w:rsidR="00D11253" w:rsidRPr="00D6486D" w:rsidRDefault="00D11253" w:rsidP="003356AE">
      <w:pPr>
        <w:pStyle w:val="VAHeadingLevel2"/>
        <w:spacing w:line="240" w:lineRule="auto"/>
      </w:pPr>
      <w:bookmarkStart w:id="258" w:name="_Hlk163121790"/>
      <w:r w:rsidRPr="00D6486D">
        <w:rPr>
          <w:b/>
        </w:rPr>
        <w:t>Principle D:</w:t>
      </w:r>
      <w:r w:rsidRPr="00D6486D">
        <w:t xml:space="preserve"> Determining the Interventions Necessary to Optimise the Achievement of Intended Outcomes </w:t>
      </w:r>
    </w:p>
    <w:p w14:paraId="24684729" w14:textId="77777777" w:rsidR="00D11253" w:rsidRPr="00D6486D" w:rsidRDefault="00D11253" w:rsidP="003356AE">
      <w:pPr>
        <w:spacing w:line="240" w:lineRule="auto"/>
      </w:pPr>
      <w:r w:rsidRPr="00D6486D">
        <w:t xml:space="preserve">A detailed Medium Term Financial Plan (MTFP) is regularly reviewed and includes scenarios to reflect the uncertainties we face in terms of funding and the local/national factors.  Budgets are monitored throughout the year to give clear indications of pressures and opportunities, directly feeding decision-making.  Robust internal </w:t>
      </w:r>
      <w:r w:rsidRPr="00D6486D">
        <w:lastRenderedPageBreak/>
        <w:t>controls ensure that data quality is high and there is assurance around the reliability of reporting and forecasting, supported by the internal audit regime.</w:t>
      </w:r>
    </w:p>
    <w:p w14:paraId="4F7EB846" w14:textId="77777777" w:rsidR="00D11253" w:rsidRPr="00D6486D" w:rsidRDefault="00D11253" w:rsidP="003356AE">
      <w:pPr>
        <w:spacing w:line="240" w:lineRule="auto"/>
      </w:pPr>
    </w:p>
    <w:p w14:paraId="4B70411A" w14:textId="53161E5B" w:rsidR="00D11253" w:rsidRPr="00D6486D" w:rsidRDefault="00D11253" w:rsidP="003356AE">
      <w:pPr>
        <w:spacing w:line="240" w:lineRule="auto"/>
      </w:pPr>
      <w:r w:rsidRPr="00D6486D">
        <w:t>Monitoring of the police officer establishment has taken place over the year and the local and national increase of police officers under the national uplift</w:t>
      </w:r>
      <w:r w:rsidR="00214EC5">
        <w:t xml:space="preserve"> and neighbourhood</w:t>
      </w:r>
      <w:r w:rsidRPr="00D6486D">
        <w:t xml:space="preserve"> programme</w:t>
      </w:r>
      <w:r w:rsidR="00214EC5">
        <w:t>s</w:t>
      </w:r>
      <w:r w:rsidRPr="00D6486D">
        <w:t xml:space="preserve"> ha</w:t>
      </w:r>
      <w:r w:rsidR="00DC03E3">
        <w:t>ve</w:t>
      </w:r>
      <w:r w:rsidRPr="00D6486D">
        <w:t xml:space="preserve"> further outlined the importance of accurate and robust staffing information.  A strong focus continued in this area to ensure that local and national staffing recruitment levels were monitored regularly, and that reliance could be placed on the information and decisions made as a consequence.  Whilst this was more challenging than ever, regular monitoring was </w:t>
      </w:r>
      <w:r w:rsidR="0021041D">
        <w:t>e</w:t>
      </w:r>
      <w:r w:rsidRPr="00D6486D">
        <w:t>ffective in determining necessary interventions to optimise delivery against targets.</w:t>
      </w:r>
    </w:p>
    <w:p w14:paraId="2C7E5CF6" w14:textId="77777777" w:rsidR="00D11253" w:rsidRPr="00D6486D" w:rsidRDefault="00D11253" w:rsidP="003356AE">
      <w:pPr>
        <w:spacing w:line="240" w:lineRule="auto"/>
      </w:pPr>
    </w:p>
    <w:p w14:paraId="06C10D08" w14:textId="367CCFDF" w:rsidR="00D11253" w:rsidRPr="00D6486D" w:rsidRDefault="00D11253" w:rsidP="003356AE">
      <w:pPr>
        <w:spacing w:line="240" w:lineRule="auto"/>
      </w:pPr>
      <w:r w:rsidRPr="00D6486D">
        <w:t>Accountability Boards take place with Chief Officers and the Commissioner, focussing on key areas not only to hold the Chief Constable to account but also to recognise good practice and to determine actions intended to address emerging issues.</w:t>
      </w:r>
    </w:p>
    <w:p w14:paraId="371DA035" w14:textId="77777777" w:rsidR="00D11253" w:rsidRPr="00D6486D" w:rsidRDefault="00D11253" w:rsidP="003356AE">
      <w:pPr>
        <w:spacing w:line="240" w:lineRule="auto"/>
        <w:rPr>
          <w:rFonts w:cs="Arial"/>
          <w:b/>
        </w:rPr>
      </w:pPr>
    </w:p>
    <w:p w14:paraId="0697E2DB" w14:textId="77777777" w:rsidR="00D11253" w:rsidRPr="00D6486D" w:rsidRDefault="00D11253" w:rsidP="003356AE">
      <w:pPr>
        <w:spacing w:line="240" w:lineRule="auto"/>
      </w:pPr>
      <w:r w:rsidRPr="00D6486D">
        <w:t>Sufficient resources are made available to ensure effective monitoring and forecasting of demand, so that operational resources are allocated in the best possible way to achieve outcomes and best serve the public.</w:t>
      </w:r>
    </w:p>
    <w:p w14:paraId="0BE6979F" w14:textId="77777777" w:rsidR="00D11253" w:rsidRPr="00D6486D" w:rsidRDefault="00D11253" w:rsidP="003356AE">
      <w:pPr>
        <w:spacing w:line="240" w:lineRule="auto"/>
        <w:rPr>
          <w:rFonts w:cs="Arial"/>
          <w:b/>
        </w:rPr>
      </w:pPr>
    </w:p>
    <w:p w14:paraId="28535ABF" w14:textId="77777777" w:rsidR="00D11253" w:rsidRPr="00D41127" w:rsidRDefault="00D11253" w:rsidP="003356AE">
      <w:pPr>
        <w:pStyle w:val="VAHeadingLevel2"/>
        <w:spacing w:line="240" w:lineRule="auto"/>
      </w:pPr>
      <w:r w:rsidRPr="00D41127">
        <w:rPr>
          <w:b/>
        </w:rPr>
        <w:t>Principle E:</w:t>
      </w:r>
      <w:r w:rsidRPr="00D41127">
        <w:t xml:space="preserve"> Developing Capacity and Capability</w:t>
      </w:r>
    </w:p>
    <w:p w14:paraId="20CD1CC4" w14:textId="77777777" w:rsidR="00D11253" w:rsidRPr="00D41127" w:rsidRDefault="00D11253" w:rsidP="003356AE">
      <w:pPr>
        <w:spacing w:line="240" w:lineRule="auto"/>
      </w:pPr>
      <w:bookmarkStart w:id="259" w:name="_Hlk164344656"/>
      <w:r w:rsidRPr="00D41127">
        <w:t xml:space="preserve">The OPFCC, OCC and Fire are all supported by the Human Resources Department in Enabling Services, ensuring there is consistency and parity across organisations, that effective policies/procedures are in place and that recruitment, training and wellbeing arrangements are optimised.  A People and Culture Board </w:t>
      </w:r>
      <w:proofErr w:type="gramStart"/>
      <w:r w:rsidRPr="00D41127">
        <w:t>provides</w:t>
      </w:r>
      <w:proofErr w:type="gramEnd"/>
      <w:r w:rsidRPr="00D41127">
        <w:t xml:space="preserve"> effective oversight.</w:t>
      </w:r>
    </w:p>
    <w:p w14:paraId="77D55AB3" w14:textId="77777777" w:rsidR="00D11253" w:rsidRPr="00D41127" w:rsidRDefault="00D11253" w:rsidP="003356AE">
      <w:pPr>
        <w:spacing w:line="240" w:lineRule="auto"/>
      </w:pPr>
    </w:p>
    <w:p w14:paraId="4F057A84" w14:textId="33F898BC" w:rsidR="00D11253" w:rsidRPr="00D41127" w:rsidRDefault="00D11253" w:rsidP="003356AE">
      <w:pPr>
        <w:spacing w:line="240" w:lineRule="auto"/>
      </w:pPr>
      <w:r w:rsidRPr="00D41127">
        <w:t>Throughout 202</w:t>
      </w:r>
      <w:r w:rsidR="007F2092">
        <w:t>5</w:t>
      </w:r>
      <w:r w:rsidRPr="00D41127">
        <w:t>/2</w:t>
      </w:r>
      <w:r w:rsidR="007F2092">
        <w:t>6</w:t>
      </w:r>
      <w:r w:rsidRPr="00D41127">
        <w:t xml:space="preserve">, the Monitoring Officer </w:t>
      </w:r>
      <w:r w:rsidR="007F2092">
        <w:t xml:space="preserve">and Chief Finance Officer </w:t>
      </w:r>
      <w:r w:rsidRPr="00D41127">
        <w:t>continued in their role</w:t>
      </w:r>
      <w:r w:rsidR="007F2092">
        <w:t>s</w:t>
      </w:r>
      <w:r w:rsidRPr="00D41127">
        <w:t xml:space="preserve"> in the OPFCC.</w:t>
      </w:r>
    </w:p>
    <w:p w14:paraId="2039EC9A" w14:textId="77777777" w:rsidR="00D11253" w:rsidRPr="00D41127" w:rsidRDefault="00D11253" w:rsidP="003356AE">
      <w:pPr>
        <w:spacing w:line="240" w:lineRule="auto"/>
      </w:pPr>
    </w:p>
    <w:p w14:paraId="693690D5" w14:textId="28FCD71A" w:rsidR="00D11253" w:rsidRPr="00D41127" w:rsidRDefault="00D11253" w:rsidP="003356AE">
      <w:pPr>
        <w:spacing w:line="240" w:lineRule="auto"/>
      </w:pPr>
      <w:r w:rsidRPr="00D41127">
        <w:t xml:space="preserve">Ivan Balhatchet </w:t>
      </w:r>
      <w:r w:rsidR="00AA2A53">
        <w:t>continued as</w:t>
      </w:r>
      <w:r w:rsidRPr="00D41127">
        <w:t xml:space="preserve"> Chief Constable</w:t>
      </w:r>
      <w:r w:rsidR="00AA2A53">
        <w:t xml:space="preserve"> during the year</w:t>
      </w:r>
      <w:r w:rsidR="006578FF">
        <w:t>, supported by a</w:t>
      </w:r>
      <w:r w:rsidRPr="00D41127">
        <w:t xml:space="preserve"> Deputy and Assistant Chief Constables.</w:t>
      </w:r>
    </w:p>
    <w:bookmarkEnd w:id="259"/>
    <w:p w14:paraId="6D5F20C1" w14:textId="77777777" w:rsidR="00D11253" w:rsidRPr="00D41127" w:rsidRDefault="00D11253" w:rsidP="003356AE">
      <w:pPr>
        <w:spacing w:line="240" w:lineRule="auto"/>
      </w:pPr>
    </w:p>
    <w:p w14:paraId="75788319" w14:textId="49473461" w:rsidR="00D11253" w:rsidRPr="00D41127" w:rsidRDefault="00D11253" w:rsidP="003356AE">
      <w:pPr>
        <w:spacing w:line="240" w:lineRule="auto"/>
      </w:pPr>
      <w:r w:rsidRPr="00D41127">
        <w:t>The OPFCC continued with the commitment to Victims, Early Intervention and Youth Work, with investment in additional Domestic Violence and Sexual Abuse support for the County, utilising both base budget and government grants.</w:t>
      </w:r>
    </w:p>
    <w:p w14:paraId="2B4A4102" w14:textId="77777777" w:rsidR="00D11253" w:rsidRPr="00D41127" w:rsidRDefault="00D11253" w:rsidP="003356AE">
      <w:pPr>
        <w:spacing w:line="240" w:lineRule="auto"/>
      </w:pPr>
    </w:p>
    <w:p w14:paraId="5AACA4FE" w14:textId="532F0311" w:rsidR="00D11253" w:rsidRPr="00D41127" w:rsidRDefault="00D11253" w:rsidP="003356AE">
      <w:pPr>
        <w:spacing w:line="240" w:lineRule="auto"/>
      </w:pPr>
      <w:r w:rsidRPr="00D41127">
        <w:t>The commitment to police officer recruitment continued throughout the year.  The establishment along with additionality enabled by the new neighbourhood policing grant for 2025/26 g</w:t>
      </w:r>
      <w:r w:rsidR="00AD63D5">
        <w:t>a</w:t>
      </w:r>
      <w:r w:rsidRPr="00D41127">
        <w:t>ve the OPFCC and the Chief Constable resources needed in neighbourhoods, a key priority set out within the Police, Fire and Crime Plan.</w:t>
      </w:r>
      <w:r w:rsidR="00B171FC">
        <w:t xml:space="preserve">  However, recruitment challenges and staff turnover </w:t>
      </w:r>
      <w:r w:rsidR="00067A9E">
        <w:t xml:space="preserve">meant that overall police officer numbers </w:t>
      </w:r>
      <w:r w:rsidR="00AA3069">
        <w:t>did not reach aspirational levels until later in the financial year.</w:t>
      </w:r>
    </w:p>
    <w:p w14:paraId="2C42981D" w14:textId="77777777" w:rsidR="00D11253" w:rsidRPr="00D41127" w:rsidRDefault="00D11253" w:rsidP="003356AE">
      <w:pPr>
        <w:spacing w:line="240" w:lineRule="auto"/>
      </w:pPr>
    </w:p>
    <w:p w14:paraId="11D26356" w14:textId="7D84EC73" w:rsidR="00D11253" w:rsidRPr="00D41127" w:rsidRDefault="00D11253" w:rsidP="003356AE">
      <w:pPr>
        <w:spacing w:line="240" w:lineRule="auto"/>
      </w:pPr>
      <w:r w:rsidRPr="00D41127">
        <w:t xml:space="preserve">Enhanced training budgets </w:t>
      </w:r>
      <w:r w:rsidR="00BE33E2">
        <w:t>continued to be</w:t>
      </w:r>
      <w:r w:rsidRPr="00D41127">
        <w:t xml:space="preserve"> provided to further increase capability and ensure the workforce is consistently equipped with essential skills.</w:t>
      </w:r>
    </w:p>
    <w:bookmarkEnd w:id="258"/>
    <w:p w14:paraId="4BD2D945" w14:textId="77777777" w:rsidR="00BE33E2" w:rsidRDefault="00BE33E2" w:rsidP="003356AE">
      <w:pPr>
        <w:spacing w:line="240" w:lineRule="auto"/>
      </w:pPr>
    </w:p>
    <w:p w14:paraId="6C581086" w14:textId="4CE6C2FA" w:rsidR="005634EC" w:rsidRPr="005B6C6D" w:rsidRDefault="005634EC" w:rsidP="003356AE">
      <w:pPr>
        <w:spacing w:line="240" w:lineRule="auto"/>
      </w:pPr>
      <w:r w:rsidRPr="005B6C6D">
        <w:t xml:space="preserve">The Joint Commercial Team </w:t>
      </w:r>
      <w:r w:rsidR="00BE33E2" w:rsidRPr="005B6C6D">
        <w:t>works</w:t>
      </w:r>
      <w:r w:rsidRPr="005B6C6D">
        <w:t xml:space="preserve"> across Fire and </w:t>
      </w:r>
      <w:r w:rsidR="00607EEC" w:rsidRPr="005B6C6D">
        <w:t>Police,</w:t>
      </w:r>
      <w:r w:rsidRPr="005B6C6D">
        <w:t xml:space="preserve"> and a commercial strategy is in place which is intended to consider all opportunities available to both services.</w:t>
      </w:r>
    </w:p>
    <w:p w14:paraId="097EDC6B" w14:textId="77777777" w:rsidR="005634EC" w:rsidRPr="005B6C6D" w:rsidRDefault="005634EC" w:rsidP="003356AE">
      <w:pPr>
        <w:spacing w:line="240" w:lineRule="auto"/>
      </w:pPr>
    </w:p>
    <w:p w14:paraId="62DAB289" w14:textId="77777777" w:rsidR="005634EC" w:rsidRPr="005B6C6D" w:rsidRDefault="005634EC" w:rsidP="003356AE">
      <w:pPr>
        <w:pStyle w:val="VAHeadingLevel2"/>
        <w:spacing w:line="240" w:lineRule="auto"/>
      </w:pPr>
      <w:r w:rsidRPr="005B6C6D">
        <w:rPr>
          <w:b/>
        </w:rPr>
        <w:t>Principle F:</w:t>
      </w:r>
      <w:r w:rsidRPr="005B6C6D">
        <w:t xml:space="preserve"> Managing Risk and Monitoring Performance</w:t>
      </w:r>
    </w:p>
    <w:p w14:paraId="7B001E6A" w14:textId="6256FC11" w:rsidR="005634EC" w:rsidRPr="005B6C6D" w:rsidRDefault="005634EC" w:rsidP="003356AE">
      <w:pPr>
        <w:spacing w:line="240" w:lineRule="auto"/>
      </w:pPr>
      <w:bookmarkStart w:id="260" w:name="_Hlk162271728"/>
      <w:r w:rsidRPr="005B6C6D">
        <w:t>During 202</w:t>
      </w:r>
      <w:r w:rsidR="005B6C6D">
        <w:t>5</w:t>
      </w:r>
      <w:r w:rsidRPr="005B6C6D">
        <w:t>/2</w:t>
      </w:r>
      <w:r w:rsidR="005B6C6D">
        <w:t>6</w:t>
      </w:r>
      <w:r w:rsidRPr="005B6C6D">
        <w:t xml:space="preserve">, the OPFCC continued to demonstrate a commitment to transparency, sharing information and briefings with the Force, the Police, Fire and Crime Panel and the JIAC.  The PFCC meets regularly with the CC, the Chair and Vice Chair of the Panel and holds regular briefings for councillors and attends numerous engagement events.  </w:t>
      </w:r>
    </w:p>
    <w:p w14:paraId="4E9BB0E2" w14:textId="77777777" w:rsidR="005634EC" w:rsidRPr="005B6C6D" w:rsidRDefault="005634EC" w:rsidP="003356AE">
      <w:pPr>
        <w:spacing w:line="240" w:lineRule="auto"/>
      </w:pPr>
    </w:p>
    <w:p w14:paraId="45DDA8FD" w14:textId="734644A4" w:rsidR="005634EC" w:rsidRPr="005B6C6D" w:rsidRDefault="005634EC" w:rsidP="003356AE">
      <w:pPr>
        <w:spacing w:line="240" w:lineRule="auto"/>
      </w:pPr>
      <w:r w:rsidRPr="005B6C6D">
        <w:lastRenderedPageBreak/>
        <w:t xml:space="preserve">Performance forms a significant part of the Accountability Board and a representative of the OPFCC attends the regular performance meetings to discuss performance at a more operational level and identify the issues and challenges.  The OPFCC employs an analyst who collates key information for the Senior </w:t>
      </w:r>
      <w:r w:rsidR="007B6B8D">
        <w:t>Management</w:t>
      </w:r>
      <w:r w:rsidRPr="005B6C6D">
        <w:t xml:space="preserve"> Team to consider, and highlights areas for further scrutiny.</w:t>
      </w:r>
    </w:p>
    <w:p w14:paraId="63A8D869" w14:textId="77777777" w:rsidR="005634EC" w:rsidRPr="005B6C6D" w:rsidRDefault="005634EC" w:rsidP="003356AE">
      <w:pPr>
        <w:spacing w:line="240" w:lineRule="auto"/>
      </w:pPr>
    </w:p>
    <w:p w14:paraId="5F832090" w14:textId="77777777" w:rsidR="005634EC" w:rsidRPr="005B6C6D" w:rsidRDefault="005634EC" w:rsidP="003356AE">
      <w:pPr>
        <w:spacing w:line="240" w:lineRule="auto"/>
      </w:pPr>
      <w:r w:rsidRPr="005B6C6D">
        <w:t xml:space="preserve">The OPFCC and OCC have similar risk management policies and manage and record risks in the same manner, through the same system.  </w:t>
      </w:r>
    </w:p>
    <w:p w14:paraId="44852E25" w14:textId="77777777" w:rsidR="005634EC" w:rsidRPr="005B6C6D" w:rsidRDefault="005634EC" w:rsidP="003356AE">
      <w:pPr>
        <w:spacing w:line="240" w:lineRule="auto"/>
      </w:pPr>
    </w:p>
    <w:p w14:paraId="4448289E" w14:textId="77777777" w:rsidR="005634EC" w:rsidRPr="005B6C6D" w:rsidRDefault="005634EC" w:rsidP="003356AE">
      <w:pPr>
        <w:spacing w:line="240" w:lineRule="auto"/>
      </w:pPr>
      <w:bookmarkStart w:id="261" w:name="_Hlk167453360"/>
      <w:r w:rsidRPr="005B6C6D">
        <w:t>The OCC has the Force Assurance Board in place to oversee all risk management and feeds into high level boards to ensure the Chief Constable is fully sighted.  Risks are reviewed regularly as part of this and also considered at JIAC meetings.</w:t>
      </w:r>
    </w:p>
    <w:bookmarkEnd w:id="261"/>
    <w:p w14:paraId="1F4B13CF" w14:textId="77777777" w:rsidR="005634EC" w:rsidRPr="005B6C6D" w:rsidRDefault="005634EC" w:rsidP="003356AE">
      <w:pPr>
        <w:spacing w:line="240" w:lineRule="auto"/>
      </w:pPr>
    </w:p>
    <w:p w14:paraId="1E43C0F2" w14:textId="23C1DC82" w:rsidR="005634EC" w:rsidRPr="005B6C6D" w:rsidRDefault="005634EC" w:rsidP="003356AE">
      <w:pPr>
        <w:spacing w:line="240" w:lineRule="auto"/>
      </w:pPr>
      <w:r w:rsidRPr="005B6C6D">
        <w:t>During 202</w:t>
      </w:r>
      <w:r w:rsidR="007B6B8D">
        <w:t>5</w:t>
      </w:r>
      <w:r w:rsidRPr="005B6C6D">
        <w:t>/2</w:t>
      </w:r>
      <w:r w:rsidR="007B6B8D">
        <w:t>6</w:t>
      </w:r>
      <w:r w:rsidRPr="005B6C6D">
        <w:t xml:space="preserve">, </w:t>
      </w:r>
      <w:proofErr w:type="spellStart"/>
      <w:r w:rsidRPr="005B6C6D">
        <w:t>Forvis</w:t>
      </w:r>
      <w:proofErr w:type="spellEnd"/>
      <w:r w:rsidRPr="005B6C6D">
        <w:t xml:space="preserve"> Mazars continued as internal auditors for the Region.  Regular review and planning meetings took place with Force and OPFCC officers (both locally and regionally) to update on progress.  Mazars attended each JIAC meeting to routinely report and give assurance on the adequacy and effectiveness of internal control.  In addition, they contribute to the JIAC forward plan and agenda setting to inform and highlight national and regional themes, considerations and practices.</w:t>
      </w:r>
    </w:p>
    <w:p w14:paraId="284DC81A" w14:textId="77777777" w:rsidR="005634EC" w:rsidRPr="005B6C6D" w:rsidRDefault="005634EC" w:rsidP="003356AE">
      <w:pPr>
        <w:spacing w:line="240" w:lineRule="auto"/>
      </w:pPr>
    </w:p>
    <w:p w14:paraId="4B024C29" w14:textId="77777777" w:rsidR="005634EC" w:rsidRPr="005B6C6D" w:rsidRDefault="005634EC" w:rsidP="003356AE">
      <w:pPr>
        <w:spacing w:line="240" w:lineRule="auto"/>
      </w:pPr>
      <w:r w:rsidRPr="005B6C6D">
        <w:t>The Joint Independent Audit Committee (JIAC) have responsibility for reviewing the risk, control and governance processes to ensure internal control systems are effective and that policies and practices are appropriate.  The Chair and four members continued in their roles during the year.  JIAC members were offered and some attended CIPFA, Public Sector Audit Appointments (PSAA) or other events.  Additionally, audit and other circulars are shared with JIAC members and senior officers where provided.</w:t>
      </w:r>
    </w:p>
    <w:p w14:paraId="32309C02" w14:textId="77777777" w:rsidR="005634EC" w:rsidRPr="005B6C6D" w:rsidRDefault="005634EC" w:rsidP="003356AE">
      <w:pPr>
        <w:spacing w:line="240" w:lineRule="auto"/>
        <w:rPr>
          <w:rFonts w:cs="Arial"/>
        </w:rPr>
      </w:pPr>
    </w:p>
    <w:bookmarkEnd w:id="260"/>
    <w:p w14:paraId="0DDDCDC6" w14:textId="77777777" w:rsidR="005634EC" w:rsidRPr="00551AB0" w:rsidRDefault="005634EC" w:rsidP="003356AE">
      <w:pPr>
        <w:pStyle w:val="VAHeadingLevel2"/>
        <w:spacing w:line="240" w:lineRule="auto"/>
      </w:pPr>
      <w:r w:rsidRPr="00551AB0">
        <w:rPr>
          <w:b/>
        </w:rPr>
        <w:t>Principle G:</w:t>
      </w:r>
      <w:r w:rsidRPr="00551AB0">
        <w:t xml:space="preserve"> Implementing Good Practices in Transparency, Reporting and Accountability </w:t>
      </w:r>
    </w:p>
    <w:p w14:paraId="112BDEA1" w14:textId="77777777" w:rsidR="005634EC" w:rsidRPr="00551AB0" w:rsidRDefault="005634EC" w:rsidP="003356AE">
      <w:pPr>
        <w:spacing w:line="240" w:lineRule="auto"/>
      </w:pPr>
      <w:r w:rsidRPr="00551AB0">
        <w:t>The Police, Fire and Crime Plan was developed following significant amounts of engagement and thorough consultations with local communities.  OPFCC staff are in place to lead on each area of priority.</w:t>
      </w:r>
    </w:p>
    <w:p w14:paraId="5B0874B8" w14:textId="77777777" w:rsidR="005634EC" w:rsidRPr="00551AB0" w:rsidRDefault="005634EC" w:rsidP="003356AE">
      <w:pPr>
        <w:spacing w:line="240" w:lineRule="auto"/>
      </w:pPr>
    </w:p>
    <w:p w14:paraId="6E729374" w14:textId="77777777" w:rsidR="005634EC" w:rsidRPr="00551AB0" w:rsidRDefault="005634EC" w:rsidP="003356AE">
      <w:pPr>
        <w:spacing w:line="240" w:lineRule="auto"/>
      </w:pPr>
      <w:r w:rsidRPr="00551AB0">
        <w:t>External governance is managed through a system of assurance that relies on appropriate attendance at meetings and forums by OPFCC staff to fully understand activities and associated risks.  There is a robust, formal Accountability Board meeting regularly between the PFCC and CC and this is supported by regular informal meetings between them.  The Commissioner provides regular updates to the Police, Fire and Crime Panel as well as to elected Members, officials and members of the local community.  This includes an annual report by the Joint Independent Audit Committee (JIAC) that sets out their terms of reference, the work completed over the year and their opinion on the controls in place.</w:t>
      </w:r>
    </w:p>
    <w:p w14:paraId="3C8FB676" w14:textId="77777777" w:rsidR="005634EC" w:rsidRPr="00551AB0" w:rsidRDefault="005634EC" w:rsidP="003356AE">
      <w:pPr>
        <w:spacing w:line="240" w:lineRule="auto"/>
      </w:pPr>
    </w:p>
    <w:p w14:paraId="7057A74E" w14:textId="77777777" w:rsidR="005634EC" w:rsidRPr="00551AB0" w:rsidRDefault="005634EC" w:rsidP="003356AE">
      <w:pPr>
        <w:spacing w:line="240" w:lineRule="auto"/>
      </w:pPr>
      <w:r w:rsidRPr="00551AB0">
        <w:t>The OPFCC website contains a substantial amount of information to an appropriate level of transparency for the public to access information about the OPFCC, OCC and its activity.  This includes timely publishing of key decisions, grants issued and papers for the Joint Independent Audit Committee (JIAC).</w:t>
      </w:r>
    </w:p>
    <w:p w14:paraId="6DBA3E64" w14:textId="77777777" w:rsidR="00EA47B5" w:rsidRPr="00551AB0" w:rsidRDefault="00EA47B5" w:rsidP="003356AE">
      <w:pPr>
        <w:spacing w:line="240" w:lineRule="auto"/>
      </w:pPr>
    </w:p>
    <w:p w14:paraId="1CF86144" w14:textId="77777777" w:rsidR="00FA5D8C" w:rsidRPr="00605305" w:rsidRDefault="00FA5D8C" w:rsidP="003356AE">
      <w:pPr>
        <w:spacing w:line="240" w:lineRule="auto"/>
      </w:pPr>
      <w:bookmarkStart w:id="262" w:name="_Hlk162271896"/>
      <w:r w:rsidRPr="00551AB0">
        <w:t xml:space="preserve">In line with the Accounts and Audit Regulations, the Statements of Accounts for the OPFCC, Group and OCC were placed on the OPFCC website by the required deadline.  </w:t>
      </w:r>
      <w:r w:rsidRPr="00551AB0">
        <w:rPr>
          <w:rFonts w:cstheme="minorHAnsi"/>
        </w:rPr>
        <w:t xml:space="preserve">All previously outstanding financial statements were published in line with the </w:t>
      </w:r>
      <w:r w:rsidRPr="00605305">
        <w:rPr>
          <w:rFonts w:cstheme="minorHAnsi"/>
        </w:rPr>
        <w:t>audit backstop with associated external audit reports.</w:t>
      </w:r>
    </w:p>
    <w:p w14:paraId="7FB82692" w14:textId="77777777" w:rsidR="00FA5D8C" w:rsidRPr="00605305" w:rsidRDefault="00FA5D8C" w:rsidP="003356AE">
      <w:pPr>
        <w:spacing w:line="240" w:lineRule="auto"/>
        <w:rPr>
          <w:b/>
        </w:rPr>
      </w:pPr>
    </w:p>
    <w:p w14:paraId="56ACAA12" w14:textId="77777777" w:rsidR="00FA5D8C" w:rsidRPr="00605305" w:rsidRDefault="00FA5D8C" w:rsidP="003356AE">
      <w:pPr>
        <w:pStyle w:val="VAHeadingLevel2"/>
        <w:spacing w:line="240" w:lineRule="auto"/>
      </w:pPr>
      <w:r w:rsidRPr="00605305">
        <w:t>Internal Audit and Internal Audit Review of Effectiveness</w:t>
      </w:r>
    </w:p>
    <w:p w14:paraId="39055845" w14:textId="77777777" w:rsidR="00FA5D8C" w:rsidRPr="00605305" w:rsidRDefault="00FA5D8C" w:rsidP="003356AE">
      <w:pPr>
        <w:spacing w:line="240" w:lineRule="auto"/>
      </w:pPr>
      <w:r w:rsidRPr="00605305">
        <w:t>The OPFCC and OCC have a responsibility for conducting, at least annually, a review of the effectiveness of the governance framework, including the system of internal control.  The review of effectiveness is informed by the work of the JIAC and the senior managers within the OPFCC and OCC who have responsibility for the development and maintenance of the governance environment, the Head of Internal Audit’s annual report and also by comments made by the external auditors and other review agencies and inspectorates.</w:t>
      </w:r>
    </w:p>
    <w:p w14:paraId="1D181FD7" w14:textId="77777777" w:rsidR="00FA5D8C" w:rsidRPr="00605305" w:rsidRDefault="00FA5D8C" w:rsidP="003356AE">
      <w:pPr>
        <w:spacing w:line="240" w:lineRule="auto"/>
      </w:pPr>
    </w:p>
    <w:p w14:paraId="0363FFEB" w14:textId="201C70EF" w:rsidR="00895C5B" w:rsidRPr="00605305" w:rsidRDefault="005E16D0" w:rsidP="003356AE">
      <w:pPr>
        <w:spacing w:line="240" w:lineRule="auto"/>
      </w:pPr>
      <w:r w:rsidRPr="00605305">
        <w:lastRenderedPageBreak/>
        <w:t>The OPFCC and OCC continued to invest in an Internal Audit programme in 202</w:t>
      </w:r>
      <w:r w:rsidR="00605305">
        <w:t>5</w:t>
      </w:r>
      <w:r w:rsidRPr="00605305">
        <w:t>/2</w:t>
      </w:r>
      <w:r w:rsidR="00605305">
        <w:t>6</w:t>
      </w:r>
      <w:r w:rsidRPr="00605305">
        <w:t xml:space="preserve">.  </w:t>
      </w:r>
      <w:r w:rsidR="00895C5B" w:rsidRPr="00605305">
        <w:t xml:space="preserve">Following a thorough procurement exercise, the contract for internal audit was awarded with </w:t>
      </w:r>
      <w:proofErr w:type="spellStart"/>
      <w:r w:rsidR="00895C5B" w:rsidRPr="00605305">
        <w:t>Forvis</w:t>
      </w:r>
      <w:proofErr w:type="spellEnd"/>
      <w:r w:rsidR="00895C5B" w:rsidRPr="00605305">
        <w:t xml:space="preserve"> Mazars in 2023/24 for all ten P(F)CC and CCs within the East Midlands region and Northamptonshire Commissioner Fire and Rescue Authority.  Having the same internal auditors for Fire and Policing enables a comprehensive and holistic internal audit plan to be delivered across all services which will also provide efficiencies for both Fire and Police.</w:t>
      </w:r>
    </w:p>
    <w:p w14:paraId="2458F2B6" w14:textId="77777777" w:rsidR="00895C5B" w:rsidRPr="00605305" w:rsidRDefault="00895C5B" w:rsidP="003356AE">
      <w:pPr>
        <w:spacing w:line="240" w:lineRule="auto"/>
      </w:pPr>
    </w:p>
    <w:p w14:paraId="70D2E6CE" w14:textId="77777777" w:rsidR="00097B71" w:rsidRPr="00605305" w:rsidRDefault="00097B71" w:rsidP="003356AE">
      <w:pPr>
        <w:spacing w:line="240" w:lineRule="auto"/>
      </w:pPr>
      <w:r w:rsidRPr="00605305">
        <w:t>The Chief Constable produces an annual update for the PFCC on the progress of recommendations and the PFCC asks for updates on specific audits as appropriate.</w:t>
      </w:r>
    </w:p>
    <w:p w14:paraId="4BA0BF2C" w14:textId="77777777" w:rsidR="00097B71" w:rsidRPr="00605305" w:rsidRDefault="00097B71" w:rsidP="003356AE">
      <w:pPr>
        <w:spacing w:line="240" w:lineRule="auto"/>
      </w:pPr>
    </w:p>
    <w:p w14:paraId="418A4D9A" w14:textId="1260F95E" w:rsidR="00FA5D8C" w:rsidRPr="00605305" w:rsidRDefault="00FA5D8C" w:rsidP="003356AE">
      <w:pPr>
        <w:spacing w:line="240" w:lineRule="auto"/>
      </w:pPr>
      <w:r w:rsidRPr="00605305">
        <w:t xml:space="preserve">The </w:t>
      </w:r>
      <w:r w:rsidR="00EA47B5" w:rsidRPr="00605305">
        <w:t xml:space="preserve">agreed </w:t>
      </w:r>
      <w:r w:rsidR="005E16D0" w:rsidRPr="00605305">
        <w:t>audit</w:t>
      </w:r>
      <w:r w:rsidRPr="00605305">
        <w:t xml:space="preserve"> plan was approved by the PFCC and considered by the JIAC in March 202</w:t>
      </w:r>
      <w:r w:rsidR="00B5293E">
        <w:t>5</w:t>
      </w:r>
      <w:r w:rsidRPr="00605305">
        <w:t>.  The plan covered areas of risk and internal control</w:t>
      </w:r>
      <w:r w:rsidR="00C0536C">
        <w:t xml:space="preserve">.  </w:t>
      </w:r>
      <w:r w:rsidR="001C2AF4" w:rsidRPr="00426602">
        <w:t xml:space="preserve">At the date of the reviewing the draft annual internal auditor report in June 2026, some audit reports remained in draft form with final versions imminent.  </w:t>
      </w:r>
      <w:r w:rsidRPr="00605305">
        <w:t xml:space="preserve">The assessment of internal controls for these audits and overall </w:t>
      </w:r>
      <w:r w:rsidR="00AF0EA8" w:rsidRPr="00605305">
        <w:t>are</w:t>
      </w:r>
      <w:r w:rsidRPr="00605305">
        <w:t xml:space="preserve"> not </w:t>
      </w:r>
      <w:r w:rsidR="00AF0EA8" w:rsidRPr="00605305">
        <w:t xml:space="preserve">expected to </w:t>
      </w:r>
      <w:r w:rsidRPr="00605305">
        <w:t xml:space="preserve">change when these </w:t>
      </w:r>
      <w:r w:rsidR="00AF0EA8" w:rsidRPr="00605305">
        <w:t>are</w:t>
      </w:r>
      <w:r w:rsidRPr="00605305">
        <w:t xml:space="preserve"> finalised.</w:t>
      </w:r>
    </w:p>
    <w:p w14:paraId="16FAE62D" w14:textId="77777777" w:rsidR="0048226C" w:rsidRPr="00605305" w:rsidRDefault="0048226C" w:rsidP="003356AE">
      <w:pPr>
        <w:spacing w:line="240" w:lineRule="auto"/>
      </w:pPr>
    </w:p>
    <w:p w14:paraId="352E060F" w14:textId="23AD5694" w:rsidR="0048226C" w:rsidRPr="00605305" w:rsidRDefault="00FE11EF" w:rsidP="003356AE">
      <w:pPr>
        <w:spacing w:line="240" w:lineRule="auto"/>
      </w:pPr>
      <w:proofErr w:type="spellStart"/>
      <w:r w:rsidRPr="00605305">
        <w:t>Forvis</w:t>
      </w:r>
      <w:proofErr w:type="spellEnd"/>
      <w:r w:rsidRPr="00605305">
        <w:t xml:space="preserve"> Mazars </w:t>
      </w:r>
      <w:r w:rsidR="009A0A88" w:rsidRPr="00605305">
        <w:t xml:space="preserve">determine </w:t>
      </w:r>
      <w:r w:rsidR="00125502" w:rsidRPr="00605305">
        <w:t>one of the following</w:t>
      </w:r>
      <w:r w:rsidR="009A0A88" w:rsidRPr="00605305">
        <w:t xml:space="preserve"> assurance level</w:t>
      </w:r>
      <w:r w:rsidR="00125502" w:rsidRPr="00605305">
        <w:t>s</w:t>
      </w:r>
      <w:r w:rsidR="009A0A88" w:rsidRPr="00605305">
        <w:t xml:space="preserve"> on conclusion of </w:t>
      </w:r>
      <w:r w:rsidR="00125502" w:rsidRPr="00605305">
        <w:t>each audit</w:t>
      </w:r>
      <w:r w:rsidRPr="00605305">
        <w:t>:</w:t>
      </w:r>
    </w:p>
    <w:p w14:paraId="57DB3AB2" w14:textId="77777777" w:rsidR="00E41962" w:rsidRPr="00605305" w:rsidRDefault="00E41962" w:rsidP="003356AE">
      <w:pPr>
        <w:spacing w:line="240" w:lineRule="auto"/>
      </w:pPr>
    </w:p>
    <w:tbl>
      <w:tblPr>
        <w:tblW w:w="9680" w:type="dxa"/>
        <w:tblLook w:val="04A0" w:firstRow="1" w:lastRow="0" w:firstColumn="1" w:lastColumn="0" w:noHBand="0" w:noVBand="1"/>
      </w:tblPr>
      <w:tblGrid>
        <w:gridCol w:w="2600"/>
        <w:gridCol w:w="7080"/>
      </w:tblGrid>
      <w:tr w:rsidR="00FE11EF" w:rsidRPr="00912216" w14:paraId="27BEDA4F" w14:textId="77777777" w:rsidTr="00FE11EF">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0E58A317" w14:textId="77777777" w:rsidR="00FE11EF" w:rsidRPr="00912216" w:rsidRDefault="00FE11EF" w:rsidP="003356AE">
            <w:pPr>
              <w:spacing w:line="240" w:lineRule="auto"/>
              <w:jc w:val="center"/>
              <w:rPr>
                <w:rFonts w:eastAsia="Times New Roman" w:cs="Calibri"/>
                <w:color w:val="auto"/>
                <w:szCs w:val="20"/>
                <w:lang w:eastAsia="en-GB"/>
              </w:rPr>
            </w:pPr>
            <w:r w:rsidRPr="00912216">
              <w:rPr>
                <w:rFonts w:eastAsia="Times New Roman" w:cs="Calibri"/>
                <w:color w:val="auto"/>
                <w:szCs w:val="20"/>
                <w:lang w:eastAsia="en-GB"/>
              </w:rPr>
              <w:t>Substantial Assurance</w:t>
            </w:r>
          </w:p>
        </w:tc>
        <w:tc>
          <w:tcPr>
            <w:tcW w:w="7080" w:type="dxa"/>
            <w:tcBorders>
              <w:top w:val="single" w:sz="4" w:space="0" w:color="auto"/>
              <w:left w:val="nil"/>
              <w:bottom w:val="single" w:sz="4" w:space="0" w:color="auto"/>
              <w:right w:val="single" w:sz="4" w:space="0" w:color="auto"/>
            </w:tcBorders>
            <w:vAlign w:val="center"/>
            <w:hideMark/>
          </w:tcPr>
          <w:p w14:paraId="7975655F" w14:textId="77777777" w:rsidR="00FE11EF" w:rsidRPr="00912216" w:rsidRDefault="00FE11EF" w:rsidP="003356AE">
            <w:pPr>
              <w:spacing w:line="240" w:lineRule="auto"/>
              <w:jc w:val="left"/>
              <w:rPr>
                <w:rFonts w:eastAsia="Times New Roman" w:cs="Calibri"/>
                <w:color w:val="000000"/>
                <w:szCs w:val="20"/>
                <w:lang w:eastAsia="en-GB"/>
              </w:rPr>
            </w:pPr>
            <w:r w:rsidRPr="00912216">
              <w:rPr>
                <w:rFonts w:eastAsia="Times New Roman" w:cs="Calibri"/>
                <w:color w:val="000000"/>
                <w:szCs w:val="20"/>
                <w:lang w:eastAsia="en-GB"/>
              </w:rPr>
              <w:t>The framework of governance, risk management and control is adequate and effective.</w:t>
            </w:r>
          </w:p>
        </w:tc>
      </w:tr>
      <w:tr w:rsidR="00FE11EF" w:rsidRPr="00912216" w14:paraId="723EB3A8" w14:textId="77777777" w:rsidTr="00FE11EF">
        <w:trPr>
          <w:trHeight w:val="135"/>
        </w:trPr>
        <w:tc>
          <w:tcPr>
            <w:tcW w:w="2600" w:type="dxa"/>
            <w:tcBorders>
              <w:top w:val="nil"/>
              <w:left w:val="nil"/>
              <w:bottom w:val="nil"/>
              <w:right w:val="nil"/>
            </w:tcBorders>
            <w:noWrap/>
            <w:vAlign w:val="bottom"/>
            <w:hideMark/>
          </w:tcPr>
          <w:p w14:paraId="5FC9D8A5" w14:textId="77777777" w:rsidR="00FE11EF" w:rsidRPr="00912216" w:rsidRDefault="00FE11EF" w:rsidP="003356AE">
            <w:pPr>
              <w:spacing w:line="240" w:lineRule="auto"/>
              <w:jc w:val="left"/>
              <w:rPr>
                <w:rFonts w:eastAsia="Times New Roman" w:cs="Calibri"/>
                <w:color w:val="000000"/>
                <w:szCs w:val="20"/>
                <w:lang w:eastAsia="en-GB"/>
              </w:rPr>
            </w:pPr>
          </w:p>
        </w:tc>
        <w:tc>
          <w:tcPr>
            <w:tcW w:w="7080" w:type="dxa"/>
            <w:tcBorders>
              <w:top w:val="nil"/>
              <w:left w:val="nil"/>
              <w:bottom w:val="nil"/>
              <w:right w:val="nil"/>
            </w:tcBorders>
            <w:vAlign w:val="bottom"/>
            <w:hideMark/>
          </w:tcPr>
          <w:p w14:paraId="5D892AE0" w14:textId="77777777" w:rsidR="00FE11EF" w:rsidRPr="00912216" w:rsidRDefault="00FE11EF" w:rsidP="003356AE">
            <w:pPr>
              <w:spacing w:line="240" w:lineRule="auto"/>
              <w:jc w:val="left"/>
              <w:rPr>
                <w:rFonts w:ascii="Times New Roman" w:eastAsia="Times New Roman" w:hAnsi="Times New Roman" w:cs="Times New Roman"/>
                <w:color w:val="auto"/>
                <w:szCs w:val="20"/>
                <w:lang w:eastAsia="en-GB"/>
              </w:rPr>
            </w:pPr>
          </w:p>
        </w:tc>
      </w:tr>
      <w:tr w:rsidR="00FE11EF" w:rsidRPr="00912216" w14:paraId="7CB1871C" w14:textId="77777777" w:rsidTr="00FE11EF">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A7F1D87" w14:textId="77777777" w:rsidR="00FE11EF" w:rsidRPr="00912216" w:rsidRDefault="00FE11EF" w:rsidP="003356AE">
            <w:pPr>
              <w:spacing w:line="240" w:lineRule="auto"/>
              <w:jc w:val="center"/>
              <w:rPr>
                <w:rFonts w:eastAsia="Times New Roman" w:cs="Calibri"/>
                <w:color w:val="000000"/>
                <w:szCs w:val="20"/>
                <w:lang w:eastAsia="en-GB"/>
              </w:rPr>
            </w:pPr>
            <w:r w:rsidRPr="00912216">
              <w:rPr>
                <w:rFonts w:eastAsia="Times New Roman" w:cs="Calibri"/>
                <w:color w:val="000000"/>
                <w:szCs w:val="20"/>
                <w:lang w:eastAsia="en-GB"/>
              </w:rPr>
              <w:t>Moderate Assurance</w:t>
            </w:r>
          </w:p>
        </w:tc>
        <w:tc>
          <w:tcPr>
            <w:tcW w:w="7080" w:type="dxa"/>
            <w:tcBorders>
              <w:top w:val="single" w:sz="4" w:space="0" w:color="auto"/>
              <w:left w:val="nil"/>
              <w:bottom w:val="single" w:sz="4" w:space="0" w:color="auto"/>
              <w:right w:val="single" w:sz="4" w:space="0" w:color="auto"/>
            </w:tcBorders>
            <w:vAlign w:val="center"/>
            <w:hideMark/>
          </w:tcPr>
          <w:p w14:paraId="299CBAA8" w14:textId="77777777" w:rsidR="00FE11EF" w:rsidRPr="00912216" w:rsidRDefault="00FE11EF" w:rsidP="003356AE">
            <w:pPr>
              <w:spacing w:line="240" w:lineRule="auto"/>
              <w:jc w:val="left"/>
              <w:rPr>
                <w:rFonts w:eastAsia="Times New Roman" w:cs="Calibri"/>
                <w:color w:val="000000"/>
                <w:szCs w:val="20"/>
                <w:lang w:eastAsia="en-GB"/>
              </w:rPr>
            </w:pPr>
            <w:r w:rsidRPr="00912216">
              <w:rPr>
                <w:rFonts w:eastAsia="Times New Roman" w:cs="Calibri"/>
                <w:color w:val="000000"/>
                <w:szCs w:val="20"/>
                <w:lang w:eastAsia="en-GB"/>
              </w:rPr>
              <w:t>Some improvements are required to enhance the adequacy and effectiveness of the framework of governance, risk management and control.</w:t>
            </w:r>
          </w:p>
        </w:tc>
      </w:tr>
      <w:tr w:rsidR="00FE11EF" w:rsidRPr="00912216" w14:paraId="6B3D0FC5" w14:textId="77777777" w:rsidTr="00FE11EF">
        <w:trPr>
          <w:trHeight w:val="135"/>
        </w:trPr>
        <w:tc>
          <w:tcPr>
            <w:tcW w:w="2600" w:type="dxa"/>
            <w:tcBorders>
              <w:top w:val="nil"/>
              <w:left w:val="nil"/>
              <w:bottom w:val="nil"/>
              <w:right w:val="nil"/>
            </w:tcBorders>
            <w:noWrap/>
            <w:vAlign w:val="bottom"/>
            <w:hideMark/>
          </w:tcPr>
          <w:p w14:paraId="41993356" w14:textId="77777777" w:rsidR="00FE11EF" w:rsidRPr="00912216" w:rsidRDefault="00FE11EF" w:rsidP="003356AE">
            <w:pPr>
              <w:spacing w:line="240" w:lineRule="auto"/>
              <w:jc w:val="left"/>
              <w:rPr>
                <w:rFonts w:eastAsia="Times New Roman" w:cs="Calibri"/>
                <w:color w:val="000000"/>
                <w:szCs w:val="20"/>
                <w:lang w:eastAsia="en-GB"/>
              </w:rPr>
            </w:pPr>
          </w:p>
        </w:tc>
        <w:tc>
          <w:tcPr>
            <w:tcW w:w="7080" w:type="dxa"/>
            <w:tcBorders>
              <w:top w:val="nil"/>
              <w:left w:val="nil"/>
              <w:bottom w:val="nil"/>
              <w:right w:val="nil"/>
            </w:tcBorders>
            <w:vAlign w:val="bottom"/>
            <w:hideMark/>
          </w:tcPr>
          <w:p w14:paraId="2D532EF4" w14:textId="77777777" w:rsidR="00FE11EF" w:rsidRPr="00912216" w:rsidRDefault="00FE11EF" w:rsidP="003356AE">
            <w:pPr>
              <w:spacing w:line="240" w:lineRule="auto"/>
              <w:jc w:val="left"/>
              <w:rPr>
                <w:rFonts w:ascii="Times New Roman" w:eastAsia="Times New Roman" w:hAnsi="Times New Roman" w:cs="Times New Roman"/>
                <w:color w:val="auto"/>
                <w:szCs w:val="20"/>
                <w:lang w:eastAsia="en-GB"/>
              </w:rPr>
            </w:pPr>
          </w:p>
        </w:tc>
      </w:tr>
      <w:tr w:rsidR="00FE11EF" w:rsidRPr="00912216" w14:paraId="59A8F8A8" w14:textId="77777777" w:rsidTr="00FE11EF">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092DD33" w14:textId="77777777" w:rsidR="00FE11EF" w:rsidRPr="00912216" w:rsidRDefault="00FE11EF" w:rsidP="003356AE">
            <w:pPr>
              <w:spacing w:line="240" w:lineRule="auto"/>
              <w:jc w:val="center"/>
              <w:rPr>
                <w:rFonts w:eastAsia="Times New Roman" w:cs="Calibri"/>
                <w:color w:val="auto"/>
                <w:szCs w:val="20"/>
                <w:lang w:eastAsia="en-GB"/>
              </w:rPr>
            </w:pPr>
            <w:r w:rsidRPr="00912216">
              <w:rPr>
                <w:rFonts w:eastAsia="Times New Roman" w:cs="Calibri"/>
                <w:color w:val="auto"/>
                <w:szCs w:val="20"/>
                <w:lang w:eastAsia="en-GB"/>
              </w:rPr>
              <w:t>Limited Assurance</w:t>
            </w:r>
          </w:p>
        </w:tc>
        <w:tc>
          <w:tcPr>
            <w:tcW w:w="7080" w:type="dxa"/>
            <w:tcBorders>
              <w:top w:val="single" w:sz="4" w:space="0" w:color="auto"/>
              <w:left w:val="nil"/>
              <w:bottom w:val="single" w:sz="4" w:space="0" w:color="auto"/>
              <w:right w:val="single" w:sz="4" w:space="0" w:color="auto"/>
            </w:tcBorders>
            <w:vAlign w:val="center"/>
            <w:hideMark/>
          </w:tcPr>
          <w:p w14:paraId="3D3C9EE8" w14:textId="77777777" w:rsidR="00FE11EF" w:rsidRPr="00912216" w:rsidRDefault="00FE11EF" w:rsidP="003356AE">
            <w:pPr>
              <w:spacing w:line="240" w:lineRule="auto"/>
              <w:jc w:val="left"/>
              <w:rPr>
                <w:rFonts w:eastAsia="Times New Roman" w:cs="Calibri"/>
                <w:color w:val="000000"/>
                <w:szCs w:val="20"/>
                <w:lang w:eastAsia="en-GB"/>
              </w:rPr>
            </w:pPr>
            <w:r w:rsidRPr="00912216">
              <w:rPr>
                <w:rFonts w:eastAsia="Times New Roman" w:cs="Calibri"/>
                <w:color w:val="000000"/>
                <w:szCs w:val="20"/>
                <w:lang w:eastAsia="en-GB"/>
              </w:rPr>
              <w:t>There are significant weaknesses in the framework of governance, risk management and control such that it could be or could become inadequate and ineffective.</w:t>
            </w:r>
          </w:p>
        </w:tc>
      </w:tr>
      <w:tr w:rsidR="00FE11EF" w:rsidRPr="00912216" w14:paraId="02A39930" w14:textId="77777777" w:rsidTr="00FE11EF">
        <w:trPr>
          <w:trHeight w:val="135"/>
        </w:trPr>
        <w:tc>
          <w:tcPr>
            <w:tcW w:w="2600" w:type="dxa"/>
            <w:tcBorders>
              <w:top w:val="nil"/>
              <w:left w:val="nil"/>
              <w:bottom w:val="nil"/>
              <w:right w:val="nil"/>
            </w:tcBorders>
            <w:noWrap/>
            <w:vAlign w:val="bottom"/>
            <w:hideMark/>
          </w:tcPr>
          <w:p w14:paraId="42581EB8" w14:textId="77777777" w:rsidR="00FE11EF" w:rsidRPr="00912216" w:rsidRDefault="00FE11EF" w:rsidP="003356AE">
            <w:pPr>
              <w:spacing w:line="240" w:lineRule="auto"/>
              <w:jc w:val="left"/>
              <w:rPr>
                <w:rFonts w:eastAsia="Times New Roman" w:cs="Calibri"/>
                <w:color w:val="000000"/>
                <w:szCs w:val="20"/>
                <w:lang w:eastAsia="en-GB"/>
              </w:rPr>
            </w:pPr>
          </w:p>
        </w:tc>
        <w:tc>
          <w:tcPr>
            <w:tcW w:w="7080" w:type="dxa"/>
            <w:tcBorders>
              <w:top w:val="nil"/>
              <w:left w:val="nil"/>
              <w:bottom w:val="nil"/>
              <w:right w:val="nil"/>
            </w:tcBorders>
            <w:vAlign w:val="bottom"/>
            <w:hideMark/>
          </w:tcPr>
          <w:p w14:paraId="499F62F1" w14:textId="77777777" w:rsidR="00FE11EF" w:rsidRPr="00912216" w:rsidRDefault="00FE11EF" w:rsidP="003356AE">
            <w:pPr>
              <w:spacing w:line="240" w:lineRule="auto"/>
              <w:jc w:val="left"/>
              <w:rPr>
                <w:rFonts w:ascii="Times New Roman" w:eastAsia="Times New Roman" w:hAnsi="Times New Roman" w:cs="Times New Roman"/>
                <w:color w:val="auto"/>
                <w:szCs w:val="20"/>
                <w:lang w:eastAsia="en-GB"/>
              </w:rPr>
            </w:pPr>
          </w:p>
        </w:tc>
      </w:tr>
      <w:tr w:rsidR="00FE11EF" w:rsidRPr="00912216" w14:paraId="0961DEA6" w14:textId="77777777" w:rsidTr="00FE11EF">
        <w:trPr>
          <w:trHeight w:val="930"/>
        </w:trPr>
        <w:tc>
          <w:tcPr>
            <w:tcW w:w="260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59386D8D" w14:textId="77777777" w:rsidR="00FE11EF" w:rsidRPr="00912216" w:rsidRDefault="00FE11EF" w:rsidP="003356AE">
            <w:pPr>
              <w:spacing w:line="240" w:lineRule="auto"/>
              <w:jc w:val="center"/>
              <w:rPr>
                <w:rFonts w:eastAsia="Times New Roman" w:cs="Calibri"/>
                <w:color w:val="auto"/>
                <w:szCs w:val="20"/>
                <w:lang w:eastAsia="en-GB"/>
              </w:rPr>
            </w:pPr>
            <w:r w:rsidRPr="00912216">
              <w:rPr>
                <w:rFonts w:eastAsia="Times New Roman" w:cs="Calibri"/>
                <w:color w:val="auto"/>
                <w:szCs w:val="20"/>
                <w:lang w:eastAsia="en-GB"/>
              </w:rPr>
              <w:t>Unsatisfactory Assurance</w:t>
            </w:r>
          </w:p>
        </w:tc>
        <w:tc>
          <w:tcPr>
            <w:tcW w:w="7080" w:type="dxa"/>
            <w:tcBorders>
              <w:top w:val="single" w:sz="4" w:space="0" w:color="auto"/>
              <w:left w:val="nil"/>
              <w:bottom w:val="single" w:sz="4" w:space="0" w:color="auto"/>
              <w:right w:val="single" w:sz="4" w:space="0" w:color="auto"/>
            </w:tcBorders>
            <w:vAlign w:val="center"/>
            <w:hideMark/>
          </w:tcPr>
          <w:p w14:paraId="64CF8D05" w14:textId="77777777" w:rsidR="00FE11EF" w:rsidRPr="00912216" w:rsidRDefault="00FE11EF" w:rsidP="003356AE">
            <w:pPr>
              <w:spacing w:line="240" w:lineRule="auto"/>
              <w:jc w:val="left"/>
              <w:rPr>
                <w:rFonts w:eastAsia="Times New Roman" w:cs="Calibri"/>
                <w:color w:val="000000"/>
                <w:szCs w:val="20"/>
                <w:lang w:eastAsia="en-GB"/>
              </w:rPr>
            </w:pPr>
            <w:r w:rsidRPr="00912216">
              <w:rPr>
                <w:rFonts w:eastAsia="Times New Roman" w:cs="Calibri"/>
                <w:color w:val="000000"/>
                <w:szCs w:val="20"/>
                <w:lang w:eastAsia="en-GB"/>
              </w:rPr>
              <w:t>There are fundamental weaknesses in the framework of governance, risk management and control such that it is inadequate and ineffective or is likely to fail.</w:t>
            </w:r>
          </w:p>
        </w:tc>
      </w:tr>
    </w:tbl>
    <w:p w14:paraId="480D3257" w14:textId="77777777" w:rsidR="00FE11EF" w:rsidRPr="00912216" w:rsidRDefault="00FE11EF" w:rsidP="003356AE">
      <w:pPr>
        <w:spacing w:line="240" w:lineRule="auto"/>
      </w:pPr>
    </w:p>
    <w:p w14:paraId="242CCBBF" w14:textId="77777777" w:rsidR="00FD27EE" w:rsidRDefault="00FD27EE">
      <w:pPr>
        <w:spacing w:after="0" w:line="240" w:lineRule="auto"/>
        <w:jc w:val="left"/>
      </w:pPr>
      <w:r>
        <w:br w:type="page"/>
      </w:r>
    </w:p>
    <w:p w14:paraId="53D4603C" w14:textId="7D2C3651" w:rsidR="0024078C" w:rsidRDefault="0024078C" w:rsidP="003356AE">
      <w:pPr>
        <w:spacing w:line="240" w:lineRule="auto"/>
      </w:pPr>
      <w:r w:rsidRPr="00212B14">
        <w:lastRenderedPageBreak/>
        <w:t>The 202</w:t>
      </w:r>
      <w:r w:rsidR="00212B14" w:rsidRPr="00212B14">
        <w:t>5</w:t>
      </w:r>
      <w:r w:rsidRPr="00212B14">
        <w:t>/2</w:t>
      </w:r>
      <w:r w:rsidR="00212B14" w:rsidRPr="00212B14">
        <w:t>6</w:t>
      </w:r>
      <w:r w:rsidRPr="00212B14">
        <w:t xml:space="preserve"> assurance received shows a good internal control environment and ratings for each audit is as follows:</w:t>
      </w:r>
    </w:p>
    <w:tbl>
      <w:tblPr>
        <w:tblW w:w="7080" w:type="dxa"/>
        <w:tblLook w:val="04A0" w:firstRow="1" w:lastRow="0" w:firstColumn="1" w:lastColumn="0" w:noHBand="0" w:noVBand="1"/>
      </w:tblPr>
      <w:tblGrid>
        <w:gridCol w:w="4120"/>
        <w:gridCol w:w="1480"/>
        <w:gridCol w:w="1480"/>
      </w:tblGrid>
      <w:tr w:rsidR="003C5C01" w:rsidRPr="0038594B" w14:paraId="5F0E8E86" w14:textId="77777777" w:rsidTr="00F8508F">
        <w:trPr>
          <w:trHeight w:val="288"/>
        </w:trPr>
        <w:tc>
          <w:tcPr>
            <w:tcW w:w="4120" w:type="dxa"/>
            <w:vMerge w:val="restart"/>
            <w:tcBorders>
              <w:top w:val="single" w:sz="4" w:space="0" w:color="auto"/>
              <w:left w:val="single" w:sz="4" w:space="0" w:color="auto"/>
              <w:bottom w:val="single" w:sz="4" w:space="0" w:color="auto"/>
              <w:right w:val="single" w:sz="4" w:space="0" w:color="auto"/>
            </w:tcBorders>
            <w:shd w:val="clear" w:color="auto" w:fill="000099"/>
            <w:noWrap/>
            <w:vAlign w:val="center"/>
            <w:hideMark/>
          </w:tcPr>
          <w:p w14:paraId="189253D6" w14:textId="77777777" w:rsidR="003C5C01" w:rsidRPr="0038594B" w:rsidRDefault="003C5C01">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Audit Area</w:t>
            </w:r>
          </w:p>
        </w:tc>
        <w:tc>
          <w:tcPr>
            <w:tcW w:w="2960" w:type="dxa"/>
            <w:gridSpan w:val="2"/>
            <w:tcBorders>
              <w:top w:val="single" w:sz="4" w:space="0" w:color="auto"/>
              <w:left w:val="single" w:sz="4" w:space="0" w:color="auto"/>
              <w:bottom w:val="single" w:sz="4" w:space="0" w:color="auto"/>
              <w:right w:val="single" w:sz="4" w:space="0" w:color="000000"/>
            </w:tcBorders>
            <w:shd w:val="clear" w:color="auto" w:fill="000099"/>
            <w:noWrap/>
            <w:vAlign w:val="center"/>
            <w:hideMark/>
          </w:tcPr>
          <w:p w14:paraId="40A6EE3E" w14:textId="77777777" w:rsidR="003C5C01" w:rsidRPr="0038594B" w:rsidRDefault="003C5C01">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Assurance Rating</w:t>
            </w:r>
          </w:p>
        </w:tc>
      </w:tr>
      <w:tr w:rsidR="003C5C01" w:rsidRPr="0038594B" w14:paraId="3636D353" w14:textId="77777777" w:rsidTr="00F8508F">
        <w:trPr>
          <w:trHeight w:val="402"/>
        </w:trPr>
        <w:tc>
          <w:tcPr>
            <w:tcW w:w="4120" w:type="dxa"/>
            <w:vMerge/>
            <w:tcBorders>
              <w:top w:val="single" w:sz="4" w:space="0" w:color="auto"/>
              <w:left w:val="single" w:sz="4" w:space="0" w:color="auto"/>
              <w:bottom w:val="single" w:sz="4" w:space="0" w:color="auto"/>
              <w:right w:val="single" w:sz="4" w:space="0" w:color="auto"/>
            </w:tcBorders>
            <w:vAlign w:val="center"/>
            <w:hideMark/>
          </w:tcPr>
          <w:p w14:paraId="4C7E87E4" w14:textId="77777777" w:rsidR="003C5C01" w:rsidRPr="0038594B" w:rsidRDefault="003C5C01">
            <w:pPr>
              <w:spacing w:after="0" w:line="240" w:lineRule="auto"/>
              <w:jc w:val="left"/>
              <w:rPr>
                <w:rFonts w:eastAsia="Times New Roman" w:cs="Calibri"/>
                <w:b/>
                <w:bCs/>
                <w:color w:val="FFFFFF"/>
                <w:szCs w:val="20"/>
                <w:lang w:eastAsia="en-GB"/>
              </w:rPr>
            </w:pPr>
          </w:p>
        </w:tc>
        <w:tc>
          <w:tcPr>
            <w:tcW w:w="1480" w:type="dxa"/>
            <w:tcBorders>
              <w:top w:val="nil"/>
              <w:left w:val="nil"/>
              <w:bottom w:val="single" w:sz="4" w:space="0" w:color="auto"/>
              <w:right w:val="single" w:sz="4" w:space="0" w:color="auto"/>
            </w:tcBorders>
            <w:shd w:val="clear" w:color="auto" w:fill="000099"/>
            <w:noWrap/>
            <w:vAlign w:val="center"/>
            <w:hideMark/>
          </w:tcPr>
          <w:p w14:paraId="2D300E2C" w14:textId="77777777" w:rsidR="003C5C01" w:rsidRPr="0038594B" w:rsidRDefault="003C5C01">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2024/25</w:t>
            </w:r>
          </w:p>
        </w:tc>
        <w:tc>
          <w:tcPr>
            <w:tcW w:w="1480" w:type="dxa"/>
            <w:tcBorders>
              <w:top w:val="nil"/>
              <w:left w:val="nil"/>
              <w:bottom w:val="single" w:sz="4" w:space="0" w:color="auto"/>
              <w:right w:val="single" w:sz="4" w:space="0" w:color="auto"/>
            </w:tcBorders>
            <w:shd w:val="clear" w:color="auto" w:fill="000099"/>
            <w:noWrap/>
            <w:vAlign w:val="center"/>
            <w:hideMark/>
          </w:tcPr>
          <w:p w14:paraId="279C6762" w14:textId="77777777" w:rsidR="003C5C01" w:rsidRPr="0038594B" w:rsidRDefault="003C5C01">
            <w:pPr>
              <w:spacing w:after="0" w:line="240" w:lineRule="auto"/>
              <w:jc w:val="center"/>
              <w:rPr>
                <w:rFonts w:eastAsia="Times New Roman" w:cs="Calibri"/>
                <w:b/>
                <w:bCs/>
                <w:color w:val="FFFFFF"/>
                <w:szCs w:val="20"/>
                <w:lang w:eastAsia="en-GB"/>
              </w:rPr>
            </w:pPr>
            <w:r w:rsidRPr="0038594B">
              <w:rPr>
                <w:rFonts w:eastAsia="Times New Roman" w:cs="Calibri"/>
                <w:b/>
                <w:bCs/>
                <w:color w:val="FFFFFF"/>
                <w:szCs w:val="20"/>
                <w:lang w:eastAsia="en-GB"/>
              </w:rPr>
              <w:t>2025/26</w:t>
            </w:r>
          </w:p>
        </w:tc>
      </w:tr>
      <w:tr w:rsidR="003C5C01" w:rsidRPr="0038594B" w14:paraId="6C7A5CB9" w14:textId="77777777" w:rsidTr="00C652B1">
        <w:trPr>
          <w:trHeight w:val="330"/>
        </w:trPr>
        <w:tc>
          <w:tcPr>
            <w:tcW w:w="4120" w:type="dxa"/>
            <w:tcBorders>
              <w:top w:val="nil"/>
              <w:left w:val="single" w:sz="4" w:space="0" w:color="auto"/>
              <w:bottom w:val="single" w:sz="4" w:space="0" w:color="auto"/>
              <w:right w:val="single" w:sz="4" w:space="0" w:color="auto"/>
            </w:tcBorders>
            <w:vAlign w:val="center"/>
            <w:hideMark/>
          </w:tcPr>
          <w:p w14:paraId="7055DDE2"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Internal Audit Annual Report</w:t>
            </w:r>
          </w:p>
        </w:tc>
        <w:tc>
          <w:tcPr>
            <w:tcW w:w="1480" w:type="dxa"/>
            <w:tcBorders>
              <w:top w:val="nil"/>
              <w:left w:val="nil"/>
              <w:bottom w:val="single" w:sz="4" w:space="0" w:color="auto"/>
              <w:right w:val="single" w:sz="4" w:space="0" w:color="auto"/>
            </w:tcBorders>
            <w:shd w:val="clear" w:color="000000" w:fill="92D050"/>
            <w:noWrap/>
            <w:vAlign w:val="center"/>
            <w:hideMark/>
          </w:tcPr>
          <w:p w14:paraId="292E12ED"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92D050"/>
            <w:noWrap/>
            <w:vAlign w:val="center"/>
            <w:hideMark/>
          </w:tcPr>
          <w:p w14:paraId="6798D042"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C5C01" w:rsidRPr="0038594B" w14:paraId="356AC1A6"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2D4422DD"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Joint Core Financials*</w:t>
            </w:r>
          </w:p>
        </w:tc>
        <w:tc>
          <w:tcPr>
            <w:tcW w:w="1480" w:type="dxa"/>
            <w:tcBorders>
              <w:top w:val="nil"/>
              <w:left w:val="nil"/>
              <w:bottom w:val="single" w:sz="4" w:space="0" w:color="auto"/>
              <w:right w:val="single" w:sz="4" w:space="0" w:color="auto"/>
            </w:tcBorders>
            <w:shd w:val="clear" w:color="000000" w:fill="92D050"/>
            <w:noWrap/>
            <w:vAlign w:val="center"/>
            <w:hideMark/>
          </w:tcPr>
          <w:p w14:paraId="29FA434A"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92D050"/>
            <w:noWrap/>
            <w:vAlign w:val="center"/>
            <w:hideMark/>
          </w:tcPr>
          <w:p w14:paraId="00F440E8"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C5C01" w:rsidRPr="0038594B" w14:paraId="08A7B810"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5B93CE14"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Procurement</w:t>
            </w:r>
          </w:p>
        </w:tc>
        <w:tc>
          <w:tcPr>
            <w:tcW w:w="1480" w:type="dxa"/>
            <w:tcBorders>
              <w:top w:val="nil"/>
              <w:left w:val="nil"/>
              <w:bottom w:val="single" w:sz="4" w:space="0" w:color="auto"/>
              <w:right w:val="single" w:sz="4" w:space="0" w:color="auto"/>
            </w:tcBorders>
            <w:shd w:val="clear" w:color="000000" w:fill="92D050"/>
            <w:noWrap/>
            <w:vAlign w:val="center"/>
            <w:hideMark/>
          </w:tcPr>
          <w:p w14:paraId="5055B33A"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02C9895F"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419BE58F"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254CFA49"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Workforce Planning</w:t>
            </w:r>
          </w:p>
        </w:tc>
        <w:tc>
          <w:tcPr>
            <w:tcW w:w="1480" w:type="dxa"/>
            <w:tcBorders>
              <w:top w:val="nil"/>
              <w:left w:val="nil"/>
              <w:bottom w:val="single" w:sz="4" w:space="0" w:color="auto"/>
              <w:right w:val="single" w:sz="4" w:space="0" w:color="auto"/>
            </w:tcBorders>
            <w:shd w:val="clear" w:color="000000" w:fill="92D050"/>
            <w:noWrap/>
            <w:vAlign w:val="center"/>
            <w:hideMark/>
          </w:tcPr>
          <w:p w14:paraId="152A7D08"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1A0B612E"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00BEB1F6"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14C277DB"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Governance*</w:t>
            </w:r>
          </w:p>
        </w:tc>
        <w:tc>
          <w:tcPr>
            <w:tcW w:w="1480" w:type="dxa"/>
            <w:tcBorders>
              <w:top w:val="nil"/>
              <w:left w:val="nil"/>
              <w:bottom w:val="single" w:sz="4" w:space="0" w:color="auto"/>
              <w:right w:val="single" w:sz="4" w:space="0" w:color="auto"/>
            </w:tcBorders>
            <w:shd w:val="clear" w:color="000000" w:fill="92D050"/>
            <w:noWrap/>
            <w:vAlign w:val="center"/>
            <w:hideMark/>
          </w:tcPr>
          <w:p w14:paraId="037CC0B6"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63F9C9C7"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252A16B4"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2EBDD59A"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Medium Term Financial Plan</w:t>
            </w:r>
          </w:p>
        </w:tc>
        <w:tc>
          <w:tcPr>
            <w:tcW w:w="1480" w:type="dxa"/>
            <w:tcBorders>
              <w:top w:val="nil"/>
              <w:left w:val="nil"/>
              <w:bottom w:val="single" w:sz="4" w:space="0" w:color="auto"/>
              <w:right w:val="single" w:sz="4" w:space="0" w:color="auto"/>
            </w:tcBorders>
            <w:shd w:val="clear" w:color="000000" w:fill="00B050"/>
            <w:vAlign w:val="center"/>
            <w:hideMark/>
          </w:tcPr>
          <w:p w14:paraId="43B8475E"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c>
          <w:tcPr>
            <w:tcW w:w="1480" w:type="dxa"/>
            <w:tcBorders>
              <w:top w:val="nil"/>
              <w:left w:val="nil"/>
              <w:bottom w:val="single" w:sz="4" w:space="0" w:color="auto"/>
              <w:right w:val="single" w:sz="4" w:space="0" w:color="auto"/>
            </w:tcBorders>
            <w:shd w:val="clear" w:color="000000" w:fill="FFFFFF"/>
            <w:noWrap/>
            <w:vAlign w:val="center"/>
            <w:hideMark/>
          </w:tcPr>
          <w:p w14:paraId="0F96BF00"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76DE4467"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5AB5B79A"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Business Continuity &amp; Emergency Planning**</w:t>
            </w:r>
          </w:p>
        </w:tc>
        <w:tc>
          <w:tcPr>
            <w:tcW w:w="1480" w:type="dxa"/>
            <w:tcBorders>
              <w:top w:val="nil"/>
              <w:left w:val="nil"/>
              <w:bottom w:val="single" w:sz="4" w:space="0" w:color="auto"/>
              <w:right w:val="single" w:sz="4" w:space="0" w:color="auto"/>
            </w:tcBorders>
            <w:shd w:val="clear" w:color="000000" w:fill="FFFFFF"/>
            <w:noWrap/>
            <w:vAlign w:val="center"/>
            <w:hideMark/>
          </w:tcPr>
          <w:p w14:paraId="08518257"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Improved</w:t>
            </w:r>
          </w:p>
        </w:tc>
        <w:tc>
          <w:tcPr>
            <w:tcW w:w="1480" w:type="dxa"/>
            <w:tcBorders>
              <w:top w:val="nil"/>
              <w:left w:val="nil"/>
              <w:bottom w:val="single" w:sz="4" w:space="0" w:color="auto"/>
              <w:right w:val="single" w:sz="4" w:space="0" w:color="auto"/>
            </w:tcBorders>
            <w:shd w:val="clear" w:color="000000" w:fill="FFFFFF"/>
            <w:noWrap/>
            <w:vAlign w:val="center"/>
            <w:hideMark/>
          </w:tcPr>
          <w:p w14:paraId="3A01EC98"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1E40F270"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47F324AB"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OPFCC Grants</w:t>
            </w:r>
          </w:p>
        </w:tc>
        <w:tc>
          <w:tcPr>
            <w:tcW w:w="1480" w:type="dxa"/>
            <w:tcBorders>
              <w:top w:val="nil"/>
              <w:left w:val="nil"/>
              <w:bottom w:val="single" w:sz="4" w:space="0" w:color="auto"/>
              <w:right w:val="single" w:sz="4" w:space="0" w:color="auto"/>
            </w:tcBorders>
            <w:shd w:val="clear" w:color="000000" w:fill="00B050"/>
            <w:vAlign w:val="center"/>
            <w:hideMark/>
          </w:tcPr>
          <w:p w14:paraId="55D29AB2"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c>
          <w:tcPr>
            <w:tcW w:w="1480" w:type="dxa"/>
            <w:tcBorders>
              <w:top w:val="nil"/>
              <w:left w:val="nil"/>
              <w:bottom w:val="single" w:sz="4" w:space="0" w:color="auto"/>
              <w:right w:val="single" w:sz="4" w:space="0" w:color="auto"/>
            </w:tcBorders>
            <w:shd w:val="clear" w:color="000000" w:fill="FFFFFF"/>
            <w:noWrap/>
            <w:vAlign w:val="center"/>
            <w:hideMark/>
          </w:tcPr>
          <w:p w14:paraId="0B85920F"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25505F87"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3CA173E0"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Asset Management*</w:t>
            </w:r>
          </w:p>
        </w:tc>
        <w:tc>
          <w:tcPr>
            <w:tcW w:w="1480" w:type="dxa"/>
            <w:tcBorders>
              <w:top w:val="nil"/>
              <w:left w:val="nil"/>
              <w:bottom w:val="single" w:sz="4" w:space="0" w:color="auto"/>
              <w:right w:val="single" w:sz="4" w:space="0" w:color="auto"/>
            </w:tcBorders>
            <w:shd w:val="clear" w:color="000000" w:fill="92D050"/>
            <w:noWrap/>
            <w:vAlign w:val="center"/>
            <w:hideMark/>
          </w:tcPr>
          <w:p w14:paraId="18E73344"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78A677D7"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1C3571FC"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176D9197"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Estates Management*</w:t>
            </w:r>
          </w:p>
        </w:tc>
        <w:tc>
          <w:tcPr>
            <w:tcW w:w="1480" w:type="dxa"/>
            <w:tcBorders>
              <w:top w:val="nil"/>
              <w:left w:val="nil"/>
              <w:bottom w:val="single" w:sz="4" w:space="0" w:color="auto"/>
              <w:right w:val="single" w:sz="4" w:space="0" w:color="auto"/>
            </w:tcBorders>
            <w:shd w:val="clear" w:color="000000" w:fill="92D050"/>
            <w:noWrap/>
            <w:vAlign w:val="center"/>
            <w:hideMark/>
          </w:tcPr>
          <w:p w14:paraId="617715A3"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3085E881"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19A7A368"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49629136"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IT Governance*</w:t>
            </w:r>
          </w:p>
        </w:tc>
        <w:tc>
          <w:tcPr>
            <w:tcW w:w="1480" w:type="dxa"/>
            <w:tcBorders>
              <w:top w:val="nil"/>
              <w:left w:val="nil"/>
              <w:bottom w:val="single" w:sz="4" w:space="0" w:color="auto"/>
              <w:right w:val="single" w:sz="4" w:space="0" w:color="auto"/>
            </w:tcBorders>
            <w:shd w:val="clear" w:color="000000" w:fill="92D050"/>
            <w:noWrap/>
            <w:vAlign w:val="center"/>
            <w:hideMark/>
          </w:tcPr>
          <w:p w14:paraId="65699517"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c>
          <w:tcPr>
            <w:tcW w:w="1480" w:type="dxa"/>
            <w:tcBorders>
              <w:top w:val="nil"/>
              <w:left w:val="nil"/>
              <w:bottom w:val="single" w:sz="4" w:space="0" w:color="auto"/>
              <w:right w:val="single" w:sz="4" w:space="0" w:color="auto"/>
            </w:tcBorders>
            <w:shd w:val="clear" w:color="000000" w:fill="FFFFFF"/>
            <w:noWrap/>
            <w:vAlign w:val="center"/>
            <w:hideMark/>
          </w:tcPr>
          <w:p w14:paraId="1E897058"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r>
      <w:tr w:rsidR="003C5C01" w:rsidRPr="0038594B" w14:paraId="5989BE5D"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4F34928A"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Seized Property</w:t>
            </w:r>
          </w:p>
        </w:tc>
        <w:tc>
          <w:tcPr>
            <w:tcW w:w="1480" w:type="dxa"/>
            <w:tcBorders>
              <w:top w:val="nil"/>
              <w:left w:val="nil"/>
              <w:bottom w:val="single" w:sz="4" w:space="0" w:color="auto"/>
              <w:right w:val="single" w:sz="4" w:space="0" w:color="auto"/>
            </w:tcBorders>
            <w:shd w:val="clear" w:color="000000" w:fill="FFFFFF"/>
            <w:noWrap/>
            <w:vAlign w:val="center"/>
            <w:hideMark/>
          </w:tcPr>
          <w:p w14:paraId="2EE69618"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00B050"/>
            <w:vAlign w:val="center"/>
            <w:hideMark/>
          </w:tcPr>
          <w:p w14:paraId="5F18E804"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r>
      <w:tr w:rsidR="003C5C01" w:rsidRPr="0038594B" w14:paraId="4AC3E20F"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1458D89E"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Control Room / First Contact</w:t>
            </w:r>
          </w:p>
        </w:tc>
        <w:tc>
          <w:tcPr>
            <w:tcW w:w="1480" w:type="dxa"/>
            <w:tcBorders>
              <w:top w:val="nil"/>
              <w:left w:val="nil"/>
              <w:bottom w:val="single" w:sz="4" w:space="0" w:color="auto"/>
              <w:right w:val="single" w:sz="4" w:space="0" w:color="auto"/>
            </w:tcBorders>
            <w:shd w:val="clear" w:color="000000" w:fill="FFFFFF"/>
            <w:noWrap/>
            <w:vAlign w:val="center"/>
            <w:hideMark/>
          </w:tcPr>
          <w:p w14:paraId="2F7AEF47"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00B050"/>
            <w:vAlign w:val="center"/>
            <w:hideMark/>
          </w:tcPr>
          <w:p w14:paraId="1A3A5462"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 xml:space="preserve">Substantial </w:t>
            </w:r>
          </w:p>
        </w:tc>
      </w:tr>
      <w:tr w:rsidR="003C5C01" w:rsidRPr="0038594B" w14:paraId="0CA4A44F"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57C4249A"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Joint Fleet Management*</w:t>
            </w:r>
          </w:p>
        </w:tc>
        <w:tc>
          <w:tcPr>
            <w:tcW w:w="1480" w:type="dxa"/>
            <w:tcBorders>
              <w:top w:val="nil"/>
              <w:left w:val="nil"/>
              <w:bottom w:val="single" w:sz="4" w:space="0" w:color="auto"/>
              <w:right w:val="single" w:sz="4" w:space="0" w:color="auto"/>
            </w:tcBorders>
            <w:shd w:val="clear" w:color="000000" w:fill="FFFFFF"/>
            <w:noWrap/>
            <w:vAlign w:val="center"/>
            <w:hideMark/>
          </w:tcPr>
          <w:p w14:paraId="1ABD08E8"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610B6167"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C5C01" w:rsidRPr="0038594B" w14:paraId="1FDBD3A0"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23400FCA"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Digital Forensics</w:t>
            </w:r>
          </w:p>
        </w:tc>
        <w:tc>
          <w:tcPr>
            <w:tcW w:w="1480" w:type="dxa"/>
            <w:tcBorders>
              <w:top w:val="nil"/>
              <w:left w:val="nil"/>
              <w:bottom w:val="single" w:sz="4" w:space="0" w:color="auto"/>
              <w:right w:val="single" w:sz="4" w:space="0" w:color="auto"/>
            </w:tcBorders>
            <w:shd w:val="clear" w:color="000000" w:fill="FFFFFF"/>
            <w:noWrap/>
            <w:vAlign w:val="center"/>
            <w:hideMark/>
          </w:tcPr>
          <w:p w14:paraId="6BAA8ED9"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09370C34"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C5C01" w:rsidRPr="0038594B" w14:paraId="0DE1B03C"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4F526576"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IT Legacy Systems</w:t>
            </w:r>
          </w:p>
        </w:tc>
        <w:tc>
          <w:tcPr>
            <w:tcW w:w="1480" w:type="dxa"/>
            <w:tcBorders>
              <w:top w:val="nil"/>
              <w:left w:val="nil"/>
              <w:bottom w:val="single" w:sz="4" w:space="0" w:color="auto"/>
              <w:right w:val="single" w:sz="4" w:space="0" w:color="auto"/>
            </w:tcBorders>
            <w:shd w:val="clear" w:color="000000" w:fill="FFFFFF"/>
            <w:noWrap/>
            <w:vAlign w:val="center"/>
            <w:hideMark/>
          </w:tcPr>
          <w:p w14:paraId="270B2C85"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72B7BD2F"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C5C01" w:rsidRPr="0038594B" w14:paraId="36DFF004"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2632A086"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Misconduct Hearings</w:t>
            </w:r>
          </w:p>
        </w:tc>
        <w:tc>
          <w:tcPr>
            <w:tcW w:w="1480" w:type="dxa"/>
            <w:tcBorders>
              <w:top w:val="nil"/>
              <w:left w:val="nil"/>
              <w:bottom w:val="single" w:sz="4" w:space="0" w:color="auto"/>
              <w:right w:val="single" w:sz="4" w:space="0" w:color="auto"/>
            </w:tcBorders>
            <w:shd w:val="clear" w:color="000000" w:fill="FFFFFF"/>
            <w:noWrap/>
            <w:vAlign w:val="center"/>
            <w:hideMark/>
          </w:tcPr>
          <w:p w14:paraId="7F450D64"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92D050"/>
            <w:noWrap/>
            <w:vAlign w:val="center"/>
            <w:hideMark/>
          </w:tcPr>
          <w:p w14:paraId="171FB7EE"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Moderate</w:t>
            </w:r>
          </w:p>
        </w:tc>
      </w:tr>
      <w:tr w:rsidR="003C5C01" w:rsidRPr="0038594B" w14:paraId="0CE0184A"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48079907"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Accreditation Management</w:t>
            </w:r>
          </w:p>
        </w:tc>
        <w:tc>
          <w:tcPr>
            <w:tcW w:w="1480" w:type="dxa"/>
            <w:tcBorders>
              <w:top w:val="nil"/>
              <w:left w:val="nil"/>
              <w:bottom w:val="single" w:sz="4" w:space="0" w:color="auto"/>
              <w:right w:val="single" w:sz="4" w:space="0" w:color="auto"/>
            </w:tcBorders>
            <w:shd w:val="clear" w:color="000000" w:fill="FFFFFF"/>
            <w:noWrap/>
            <w:vAlign w:val="center"/>
            <w:hideMark/>
          </w:tcPr>
          <w:p w14:paraId="668677A2"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FFC000"/>
            <w:noWrap/>
            <w:vAlign w:val="center"/>
            <w:hideMark/>
          </w:tcPr>
          <w:p w14:paraId="4FA876BD"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Limited</w:t>
            </w:r>
          </w:p>
        </w:tc>
      </w:tr>
      <w:tr w:rsidR="003C5C01" w:rsidRPr="0038594B" w14:paraId="1B112D18"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0C108A61"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Freedom of Information / Subject Access</w:t>
            </w:r>
          </w:p>
        </w:tc>
        <w:tc>
          <w:tcPr>
            <w:tcW w:w="1480" w:type="dxa"/>
            <w:tcBorders>
              <w:top w:val="nil"/>
              <w:left w:val="nil"/>
              <w:bottom w:val="single" w:sz="4" w:space="0" w:color="auto"/>
              <w:right w:val="single" w:sz="4" w:space="0" w:color="auto"/>
            </w:tcBorders>
            <w:shd w:val="clear" w:color="000000" w:fill="FFFFFF"/>
            <w:noWrap/>
            <w:vAlign w:val="center"/>
            <w:hideMark/>
          </w:tcPr>
          <w:p w14:paraId="71996741"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FFC000"/>
            <w:noWrap/>
            <w:vAlign w:val="center"/>
            <w:hideMark/>
          </w:tcPr>
          <w:p w14:paraId="251B1569"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Limited</w:t>
            </w:r>
          </w:p>
        </w:tc>
      </w:tr>
      <w:tr w:rsidR="003C5C01" w:rsidRPr="0038594B" w14:paraId="39156999" w14:textId="77777777" w:rsidTr="00C652B1">
        <w:trPr>
          <w:trHeight w:val="330"/>
        </w:trPr>
        <w:tc>
          <w:tcPr>
            <w:tcW w:w="4120" w:type="dxa"/>
            <w:tcBorders>
              <w:top w:val="nil"/>
              <w:left w:val="single" w:sz="4" w:space="0" w:color="auto"/>
              <w:bottom w:val="single" w:sz="4" w:space="0" w:color="auto"/>
              <w:right w:val="single" w:sz="4" w:space="0" w:color="auto"/>
            </w:tcBorders>
            <w:noWrap/>
            <w:vAlign w:val="center"/>
            <w:hideMark/>
          </w:tcPr>
          <w:p w14:paraId="7CFBC449" w14:textId="77777777" w:rsidR="003C5C01" w:rsidRPr="0038594B" w:rsidRDefault="003C5C01">
            <w:pPr>
              <w:spacing w:after="0" w:line="240" w:lineRule="auto"/>
              <w:jc w:val="left"/>
              <w:rPr>
                <w:rFonts w:eastAsia="Times New Roman" w:cs="Calibri"/>
                <w:color w:val="000000"/>
                <w:szCs w:val="20"/>
                <w:lang w:eastAsia="en-GB"/>
              </w:rPr>
            </w:pPr>
            <w:r w:rsidRPr="0038594B">
              <w:rPr>
                <w:rFonts w:eastAsia="Times New Roman" w:cs="Calibri"/>
                <w:color w:val="000000"/>
                <w:szCs w:val="20"/>
                <w:lang w:eastAsia="en-GB"/>
              </w:rPr>
              <w:t>Joint Cyber Security*</w:t>
            </w:r>
          </w:p>
        </w:tc>
        <w:tc>
          <w:tcPr>
            <w:tcW w:w="1480" w:type="dxa"/>
            <w:tcBorders>
              <w:top w:val="nil"/>
              <w:left w:val="nil"/>
              <w:bottom w:val="single" w:sz="4" w:space="0" w:color="auto"/>
              <w:right w:val="single" w:sz="4" w:space="0" w:color="auto"/>
            </w:tcBorders>
            <w:shd w:val="clear" w:color="000000" w:fill="FFFFFF"/>
            <w:noWrap/>
            <w:vAlign w:val="center"/>
            <w:hideMark/>
          </w:tcPr>
          <w:p w14:paraId="61A62B2A" w14:textId="77777777" w:rsidR="003C5C01" w:rsidRPr="0038594B" w:rsidRDefault="003C5C01">
            <w:pPr>
              <w:spacing w:after="0" w:line="240" w:lineRule="auto"/>
              <w:jc w:val="center"/>
              <w:rPr>
                <w:rFonts w:eastAsia="Times New Roman" w:cs="Calibri"/>
                <w:color w:val="000000"/>
                <w:szCs w:val="20"/>
                <w:lang w:eastAsia="en-GB"/>
              </w:rPr>
            </w:pPr>
            <w:r w:rsidRPr="0038594B">
              <w:rPr>
                <w:rFonts w:eastAsia="Times New Roman" w:cs="Calibri"/>
                <w:color w:val="000000"/>
                <w:szCs w:val="20"/>
                <w:lang w:eastAsia="en-GB"/>
              </w:rPr>
              <w:t> </w:t>
            </w:r>
          </w:p>
        </w:tc>
        <w:tc>
          <w:tcPr>
            <w:tcW w:w="1480" w:type="dxa"/>
            <w:tcBorders>
              <w:top w:val="nil"/>
              <w:left w:val="nil"/>
              <w:bottom w:val="single" w:sz="4" w:space="0" w:color="auto"/>
              <w:right w:val="single" w:sz="4" w:space="0" w:color="auto"/>
            </w:tcBorders>
            <w:shd w:val="clear" w:color="000000" w:fill="FFC000"/>
            <w:noWrap/>
            <w:vAlign w:val="center"/>
            <w:hideMark/>
          </w:tcPr>
          <w:p w14:paraId="3ED2D3D5" w14:textId="77777777" w:rsidR="003C5C01" w:rsidRPr="0038594B" w:rsidRDefault="003C5C01">
            <w:pPr>
              <w:spacing w:after="0" w:line="240" w:lineRule="auto"/>
              <w:jc w:val="center"/>
              <w:rPr>
                <w:rFonts w:eastAsia="Times New Roman" w:cs="Calibri"/>
                <w:color w:val="auto"/>
                <w:szCs w:val="20"/>
                <w:lang w:eastAsia="en-GB"/>
              </w:rPr>
            </w:pPr>
            <w:r w:rsidRPr="0038594B">
              <w:rPr>
                <w:rFonts w:eastAsia="Times New Roman" w:cs="Calibri"/>
                <w:color w:val="auto"/>
                <w:szCs w:val="20"/>
                <w:lang w:eastAsia="en-GB"/>
              </w:rPr>
              <w:t>Limited</w:t>
            </w:r>
          </w:p>
        </w:tc>
      </w:tr>
    </w:tbl>
    <w:p w14:paraId="732970EA" w14:textId="77777777" w:rsidR="003C5C01" w:rsidRPr="00212B14" w:rsidRDefault="003C5C01" w:rsidP="003356AE">
      <w:pPr>
        <w:spacing w:line="240" w:lineRule="auto"/>
      </w:pPr>
    </w:p>
    <w:p w14:paraId="341B24D3" w14:textId="77777777" w:rsidR="00EA47B5" w:rsidRPr="00F8508F" w:rsidRDefault="00EA47B5" w:rsidP="003356AE">
      <w:pPr>
        <w:spacing w:line="240" w:lineRule="auto"/>
      </w:pPr>
      <w:bookmarkStart w:id="263" w:name="_Hlk162272062"/>
      <w:bookmarkEnd w:id="262"/>
      <w:r w:rsidRPr="00F8508F">
        <w:t>* Denote joint audits with NCFRA (Fire)</w:t>
      </w:r>
    </w:p>
    <w:p w14:paraId="10607B43" w14:textId="77777777" w:rsidR="00EA47B5" w:rsidRPr="00F8508F" w:rsidRDefault="00EA47B5" w:rsidP="003356AE">
      <w:pPr>
        <w:spacing w:line="240" w:lineRule="auto"/>
      </w:pPr>
      <w:r w:rsidRPr="00F8508F">
        <w:t xml:space="preserve">** A ‘follow up’ audit was undertaken to review progress on previous recommendation and noted a </w:t>
      </w:r>
      <w:proofErr w:type="gramStart"/>
      <w:r w:rsidRPr="00F8508F">
        <w:t>much improved</w:t>
      </w:r>
      <w:proofErr w:type="gramEnd"/>
      <w:r w:rsidRPr="00F8508F">
        <w:t xml:space="preserve"> position for Business Continuity &amp; Emergency Planning.</w:t>
      </w:r>
    </w:p>
    <w:p w14:paraId="60656D30" w14:textId="77777777" w:rsidR="00EA47B5" w:rsidRPr="00F8508F" w:rsidRDefault="00EA47B5" w:rsidP="003356AE">
      <w:pPr>
        <w:spacing w:line="240" w:lineRule="auto"/>
      </w:pPr>
    </w:p>
    <w:bookmarkEnd w:id="263"/>
    <w:p w14:paraId="69E3C177" w14:textId="77777777" w:rsidR="00D21712" w:rsidRPr="0038594B" w:rsidRDefault="00D21712" w:rsidP="00D21712">
      <w:pPr>
        <w:spacing w:line="240" w:lineRule="auto"/>
      </w:pPr>
      <w:r w:rsidRPr="0038594B">
        <w:t>The draft Internal Audit Annual Report for 2025/26 was produced and will be considered by the JIAC at their meeting in July 2026.  The results of the report are summarised as follows:</w:t>
      </w:r>
    </w:p>
    <w:p w14:paraId="6181E039" w14:textId="77777777" w:rsidR="00D21712" w:rsidRPr="0038594B" w:rsidRDefault="00D21712" w:rsidP="00D21712">
      <w:pPr>
        <w:spacing w:line="240" w:lineRule="auto"/>
        <w:rPr>
          <w:i/>
          <w:iCs/>
        </w:rPr>
      </w:pPr>
    </w:p>
    <w:p w14:paraId="4E83DD6C" w14:textId="77777777" w:rsidR="00D21712" w:rsidRPr="003561BC" w:rsidRDefault="00D21712" w:rsidP="00D21712">
      <w:pPr>
        <w:spacing w:line="240" w:lineRule="auto"/>
        <w:ind w:left="567"/>
        <w:rPr>
          <w:rFonts w:eastAsia="Times New Roman" w:cs="Times New Roman"/>
          <w:bCs/>
          <w:i/>
          <w:iCs/>
          <w:color w:val="000099"/>
        </w:rPr>
      </w:pPr>
      <w:r w:rsidRPr="003561BC">
        <w:rPr>
          <w:rFonts w:eastAsia="Times New Roman" w:cs="Times New Roman"/>
          <w:bCs/>
          <w:i/>
          <w:iCs/>
          <w:color w:val="000099"/>
        </w:rPr>
        <w:t>“On the basis of our audit work, our conclusion on the framework of governance, risk management, and control is Moderate in its overall adequacy and effectiveness.</w:t>
      </w:r>
    </w:p>
    <w:p w14:paraId="33D25599" w14:textId="77777777" w:rsidR="00D21712" w:rsidRPr="003561BC" w:rsidRDefault="00D21712" w:rsidP="00D21712">
      <w:pPr>
        <w:spacing w:line="240" w:lineRule="auto"/>
        <w:ind w:left="567"/>
        <w:rPr>
          <w:rFonts w:eastAsia="Times New Roman" w:cs="Times New Roman"/>
          <w:bCs/>
          <w:i/>
          <w:iCs/>
          <w:color w:val="000099"/>
        </w:rPr>
      </w:pPr>
      <w:r w:rsidRPr="003561BC">
        <w:rPr>
          <w:rFonts w:eastAsia="Times New Roman" w:cs="Times New Roman"/>
          <w:bCs/>
          <w:i/>
          <w:iCs/>
          <w:color w:val="000099"/>
        </w:rPr>
        <w:t>This conclusion is provided on the basis that some improvements are required to enhance the adequacy and effectiveness of the framework of governance, risk management and control.  Certain weaknesses and exceptions were highlighted by our internal audit work and detailed in our individual reports.</w:t>
      </w:r>
    </w:p>
    <w:p w14:paraId="272A8E7F" w14:textId="77777777" w:rsidR="00D21712" w:rsidRPr="003561BC" w:rsidRDefault="00D21712" w:rsidP="00D21712">
      <w:pPr>
        <w:spacing w:line="240" w:lineRule="auto"/>
        <w:ind w:left="567"/>
        <w:rPr>
          <w:rFonts w:eastAsia="Times New Roman" w:cs="Times New Roman"/>
          <w:bCs/>
          <w:i/>
          <w:iCs/>
          <w:color w:val="000099"/>
        </w:rPr>
      </w:pPr>
      <w:r w:rsidRPr="003561BC">
        <w:rPr>
          <w:rFonts w:eastAsia="Times New Roman" w:cs="Times New Roman"/>
          <w:bCs/>
          <w:i/>
          <w:iCs/>
          <w:color w:val="000099"/>
        </w:rPr>
        <w:t>These matters have been discussed with management, to whom we have made recommendations, four of which are categorised as ‘High’.  All of these have been, or are in the process of being addressed, as detailed in our individual reports.</w:t>
      </w:r>
    </w:p>
    <w:p w14:paraId="26A975A8" w14:textId="77777777" w:rsidR="00D21712" w:rsidRPr="003561BC" w:rsidRDefault="00D21712" w:rsidP="00D21712">
      <w:pPr>
        <w:spacing w:line="240" w:lineRule="auto"/>
        <w:ind w:left="567"/>
        <w:rPr>
          <w:rFonts w:eastAsia="Times New Roman" w:cs="Times New Roman"/>
          <w:bCs/>
          <w:i/>
          <w:iCs/>
          <w:color w:val="000099"/>
        </w:rPr>
      </w:pPr>
      <w:r w:rsidRPr="003561BC">
        <w:rPr>
          <w:rFonts w:eastAsia="Times New Roman" w:cs="Times New Roman"/>
          <w:bCs/>
          <w:i/>
          <w:iCs/>
          <w:color w:val="000099"/>
        </w:rPr>
        <w:t>A ‘Substantial’ assurance level was provided for two internal audits; a ‘Moderate’ assurance level for five audits, and a ‘Limited’ assurance for three audits.”</w:t>
      </w:r>
    </w:p>
    <w:p w14:paraId="159D298F" w14:textId="77777777" w:rsidR="003561BC" w:rsidRPr="00F8508F" w:rsidRDefault="003561BC" w:rsidP="003356AE">
      <w:pPr>
        <w:spacing w:line="240" w:lineRule="auto"/>
      </w:pPr>
    </w:p>
    <w:p w14:paraId="6B8B7EE6" w14:textId="77777777" w:rsidR="003561BC" w:rsidRDefault="003561BC">
      <w:pPr>
        <w:spacing w:after="0" w:line="240" w:lineRule="auto"/>
        <w:jc w:val="left"/>
        <w:rPr>
          <w:rFonts w:asciiTheme="minorHAnsi" w:eastAsia="Times New Roman" w:hAnsiTheme="minorHAnsi" w:cs="Times New Roman"/>
          <w:bCs/>
          <w:color w:val="25316C"/>
          <w:sz w:val="24"/>
        </w:rPr>
      </w:pPr>
      <w:r>
        <w:br w:type="page"/>
      </w:r>
    </w:p>
    <w:p w14:paraId="668532D1" w14:textId="1F967ECF" w:rsidR="00FE5B09" w:rsidRPr="0061540F" w:rsidRDefault="00FE5B09" w:rsidP="003356AE">
      <w:pPr>
        <w:pStyle w:val="VAHeadingLevel2"/>
        <w:spacing w:line="240" w:lineRule="auto"/>
      </w:pPr>
      <w:r w:rsidRPr="0061540F">
        <w:lastRenderedPageBreak/>
        <w:t xml:space="preserve">CIPFA Financial Management Code </w:t>
      </w:r>
    </w:p>
    <w:p w14:paraId="43AD1123" w14:textId="4C3FC61C" w:rsidR="0061540F" w:rsidRPr="0061540F" w:rsidRDefault="00FE5B09" w:rsidP="003356AE">
      <w:pPr>
        <w:spacing w:line="240" w:lineRule="auto"/>
      </w:pPr>
      <w:r w:rsidRPr="0061540F">
        <w:t xml:space="preserve">The CIPFA Financial Management Code translates the principles of good financial management into a series of financial standards that </w:t>
      </w:r>
      <w:r w:rsidR="0061540F" w:rsidRPr="0061540F">
        <w:t>comprise</w:t>
      </w:r>
      <w:r w:rsidRPr="0061540F">
        <w:t xml:space="preserve"> leadership and accountability, governance and financial management, medium term financial planning to inform and ensure financial </w:t>
      </w:r>
      <w:r w:rsidR="004A250D" w:rsidRPr="0061540F">
        <w:t>resilience and</w:t>
      </w:r>
      <w:r w:rsidRPr="0061540F">
        <w:t xml:space="preserve"> monitoring financial performance to address emerging issues through to financial reporting.  Taken together, these financial management standards underpin the effective governance of the use and control of resources utilised by the OPFCC and OCC in pursuance of their stated objectives.</w:t>
      </w:r>
    </w:p>
    <w:p w14:paraId="1C39F4D5" w14:textId="33E8F4B4" w:rsidR="00FE5B09" w:rsidRPr="0061540F" w:rsidRDefault="00FE5B09" w:rsidP="003356AE">
      <w:pPr>
        <w:spacing w:line="240" w:lineRule="auto"/>
      </w:pPr>
      <w:bookmarkStart w:id="264" w:name="_Hlk166677164"/>
      <w:r w:rsidRPr="0061540F">
        <w:t xml:space="preserve">The s151 Officers, together with the Joint Finance Team and Joint Assistant Chief Officer for Enabling Services have considered a self-assessment against this framework.  This review highlighted that compliance has mainly been achieved in all significant areas of the </w:t>
      </w:r>
      <w:r w:rsidR="00447850" w:rsidRPr="0061540F">
        <w:t>framework,</w:t>
      </w:r>
      <w:r w:rsidRPr="0061540F">
        <w:t xml:space="preserve"> and a small number of areas have been highlighted for further consideration in 202</w:t>
      </w:r>
      <w:r w:rsidR="0061540F">
        <w:t>6</w:t>
      </w:r>
      <w:r w:rsidRPr="0061540F">
        <w:t>/2</w:t>
      </w:r>
      <w:r w:rsidR="0061540F">
        <w:t>7</w:t>
      </w:r>
      <w:r w:rsidRPr="0061540F">
        <w:t xml:space="preserve">, and this is captured in the </w:t>
      </w:r>
      <w:bookmarkStart w:id="265" w:name="_Hlk164346559"/>
      <w:r w:rsidRPr="0061540F">
        <w:t xml:space="preserve">Annual Governance Statement (AGS) </w:t>
      </w:r>
      <w:bookmarkEnd w:id="265"/>
      <w:r w:rsidRPr="0061540F">
        <w:t xml:space="preserve">action plan as a recommendation. </w:t>
      </w:r>
    </w:p>
    <w:bookmarkEnd w:id="264"/>
    <w:p w14:paraId="76725CB4" w14:textId="77777777" w:rsidR="00FE5B09" w:rsidRPr="0061540F" w:rsidRDefault="00FE5B09" w:rsidP="003356AE">
      <w:pPr>
        <w:spacing w:line="240" w:lineRule="auto"/>
        <w:rPr>
          <w:rFonts w:cstheme="minorHAnsi"/>
          <w:bCs/>
        </w:rPr>
      </w:pPr>
    </w:p>
    <w:p w14:paraId="1C5B509E" w14:textId="77777777" w:rsidR="00FE5B09" w:rsidRPr="0061540F" w:rsidRDefault="00FE5B09" w:rsidP="003356AE">
      <w:pPr>
        <w:pStyle w:val="VAHeadingLevel2"/>
        <w:spacing w:line="240" w:lineRule="auto"/>
      </w:pPr>
      <w:r w:rsidRPr="0061540F">
        <w:t xml:space="preserve">Review of Effectiveness </w:t>
      </w:r>
    </w:p>
    <w:p w14:paraId="09F835FE" w14:textId="77777777" w:rsidR="00771849" w:rsidRPr="002D0CAF" w:rsidRDefault="00771849" w:rsidP="003356AE">
      <w:pPr>
        <w:spacing w:line="240" w:lineRule="auto"/>
      </w:pPr>
      <w:r w:rsidRPr="0061540F">
        <w:t>There were four JIAC meetings during the year, and workshops on Governance, Estates and to go through all the draft 2024/25 Statement of Accounts in detail.  The four public meetings considered the following across Fire</w:t>
      </w:r>
      <w:r w:rsidRPr="002D0CAF">
        <w:t xml:space="preserve"> and Police:</w:t>
      </w:r>
    </w:p>
    <w:tbl>
      <w:tblPr>
        <w:tblW w:w="8560" w:type="dxa"/>
        <w:tblLook w:val="04A0" w:firstRow="1" w:lastRow="0" w:firstColumn="1" w:lastColumn="0" w:noHBand="0" w:noVBand="1"/>
      </w:tblPr>
      <w:tblGrid>
        <w:gridCol w:w="1325"/>
        <w:gridCol w:w="5584"/>
        <w:gridCol w:w="710"/>
        <w:gridCol w:w="719"/>
        <w:gridCol w:w="222"/>
      </w:tblGrid>
      <w:tr w:rsidR="00A27932" w:rsidRPr="00665D31" w14:paraId="7DB3CC7B" w14:textId="77777777" w:rsidTr="008D6D83">
        <w:trPr>
          <w:gridAfter w:val="1"/>
          <w:wAfter w:w="36" w:type="dxa"/>
          <w:trHeight w:val="408"/>
        </w:trPr>
        <w:tc>
          <w:tcPr>
            <w:tcW w:w="1337" w:type="dxa"/>
            <w:vMerge w:val="restart"/>
            <w:tcBorders>
              <w:top w:val="single" w:sz="4" w:space="0" w:color="auto"/>
              <w:left w:val="single" w:sz="4" w:space="0" w:color="auto"/>
              <w:bottom w:val="single" w:sz="4" w:space="0" w:color="000000"/>
              <w:right w:val="single" w:sz="4" w:space="0" w:color="auto"/>
            </w:tcBorders>
            <w:shd w:val="clear" w:color="auto" w:fill="000099"/>
            <w:vAlign w:val="center"/>
            <w:hideMark/>
          </w:tcPr>
          <w:p w14:paraId="36FDCA53" w14:textId="77777777" w:rsidR="00DA61EB" w:rsidRPr="00665D31" w:rsidRDefault="00DA61EB" w:rsidP="003356AE">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JIAC Meeting</w:t>
            </w:r>
          </w:p>
        </w:tc>
        <w:tc>
          <w:tcPr>
            <w:tcW w:w="5750" w:type="dxa"/>
            <w:vMerge w:val="restart"/>
            <w:tcBorders>
              <w:top w:val="single" w:sz="4" w:space="0" w:color="auto"/>
              <w:left w:val="single" w:sz="4" w:space="0" w:color="auto"/>
              <w:bottom w:val="single" w:sz="4" w:space="0" w:color="000000"/>
              <w:right w:val="single" w:sz="4" w:space="0" w:color="auto"/>
            </w:tcBorders>
            <w:shd w:val="clear" w:color="auto" w:fill="000099"/>
            <w:vAlign w:val="center"/>
            <w:hideMark/>
          </w:tcPr>
          <w:p w14:paraId="41479031" w14:textId="77777777" w:rsidR="00DA61EB" w:rsidRPr="00665D31" w:rsidRDefault="00DA61EB" w:rsidP="003356AE">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Areas Covered</w:t>
            </w:r>
          </w:p>
        </w:tc>
        <w:tc>
          <w:tcPr>
            <w:tcW w:w="718" w:type="dxa"/>
            <w:vMerge w:val="restart"/>
            <w:tcBorders>
              <w:top w:val="single" w:sz="4" w:space="0" w:color="auto"/>
              <w:left w:val="single" w:sz="4" w:space="0" w:color="auto"/>
              <w:bottom w:val="single" w:sz="4" w:space="0" w:color="000000"/>
              <w:right w:val="single" w:sz="4" w:space="0" w:color="auto"/>
            </w:tcBorders>
            <w:shd w:val="clear" w:color="auto" w:fill="000099"/>
            <w:vAlign w:val="center"/>
            <w:hideMark/>
          </w:tcPr>
          <w:p w14:paraId="717390EC" w14:textId="77777777" w:rsidR="00DA61EB" w:rsidRPr="00665D31" w:rsidRDefault="00DA61EB" w:rsidP="003356AE">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Fire</w:t>
            </w:r>
          </w:p>
        </w:tc>
        <w:tc>
          <w:tcPr>
            <w:tcW w:w="719" w:type="dxa"/>
            <w:vMerge w:val="restart"/>
            <w:tcBorders>
              <w:top w:val="single" w:sz="4" w:space="0" w:color="auto"/>
              <w:left w:val="single" w:sz="4" w:space="0" w:color="auto"/>
              <w:bottom w:val="single" w:sz="4" w:space="0" w:color="000000"/>
              <w:right w:val="single" w:sz="4" w:space="0" w:color="auto"/>
            </w:tcBorders>
            <w:shd w:val="clear" w:color="auto" w:fill="000099"/>
            <w:vAlign w:val="center"/>
            <w:hideMark/>
          </w:tcPr>
          <w:p w14:paraId="798BA7DD" w14:textId="77777777" w:rsidR="00DA61EB" w:rsidRPr="00665D31" w:rsidRDefault="00DA61EB" w:rsidP="003356AE">
            <w:pPr>
              <w:spacing w:line="240" w:lineRule="auto"/>
              <w:jc w:val="center"/>
              <w:rPr>
                <w:rFonts w:eastAsia="Times New Roman" w:cs="Calibri"/>
                <w:b/>
                <w:bCs/>
                <w:color w:val="FFFFFF"/>
                <w:lang w:eastAsia="en-GB"/>
              </w:rPr>
            </w:pPr>
            <w:r w:rsidRPr="00665D31">
              <w:rPr>
                <w:rFonts w:eastAsia="Times New Roman" w:cs="Calibri"/>
                <w:b/>
                <w:bCs/>
                <w:color w:val="FFFFFF" w:themeColor="background1"/>
                <w:lang w:eastAsia="en-GB"/>
              </w:rPr>
              <w:t>Police</w:t>
            </w:r>
          </w:p>
        </w:tc>
      </w:tr>
      <w:tr w:rsidR="00DA61EB" w:rsidRPr="00665D31" w14:paraId="5D99B61C" w14:textId="77777777" w:rsidTr="000A6090">
        <w:trPr>
          <w:trHeight w:val="288"/>
        </w:trPr>
        <w:tc>
          <w:tcPr>
            <w:tcW w:w="1337" w:type="dxa"/>
            <w:vMerge/>
            <w:tcBorders>
              <w:top w:val="single" w:sz="4" w:space="0" w:color="auto"/>
              <w:left w:val="single" w:sz="4" w:space="0" w:color="auto"/>
              <w:bottom w:val="single" w:sz="4" w:space="0" w:color="000000"/>
              <w:right w:val="single" w:sz="4" w:space="0" w:color="auto"/>
            </w:tcBorders>
            <w:vAlign w:val="center"/>
            <w:hideMark/>
          </w:tcPr>
          <w:p w14:paraId="75B88CFB" w14:textId="77777777" w:rsidR="00DA61EB" w:rsidRPr="00665D31" w:rsidRDefault="00DA61EB" w:rsidP="003356AE">
            <w:pPr>
              <w:spacing w:line="240" w:lineRule="auto"/>
              <w:jc w:val="left"/>
              <w:rPr>
                <w:rFonts w:eastAsia="Times New Roman" w:cs="Calibri"/>
                <w:b/>
                <w:bCs/>
                <w:color w:val="FFFFFF"/>
                <w:lang w:eastAsia="en-GB"/>
              </w:rPr>
            </w:pPr>
          </w:p>
        </w:tc>
        <w:tc>
          <w:tcPr>
            <w:tcW w:w="5750" w:type="dxa"/>
            <w:vMerge/>
            <w:tcBorders>
              <w:top w:val="single" w:sz="4" w:space="0" w:color="auto"/>
              <w:left w:val="single" w:sz="4" w:space="0" w:color="auto"/>
              <w:bottom w:val="single" w:sz="4" w:space="0" w:color="000000"/>
              <w:right w:val="single" w:sz="4" w:space="0" w:color="auto"/>
            </w:tcBorders>
            <w:vAlign w:val="center"/>
            <w:hideMark/>
          </w:tcPr>
          <w:p w14:paraId="44057497" w14:textId="77777777" w:rsidR="00DA61EB" w:rsidRPr="00665D31" w:rsidRDefault="00DA61EB" w:rsidP="003356AE">
            <w:pPr>
              <w:spacing w:line="240" w:lineRule="auto"/>
              <w:jc w:val="left"/>
              <w:rPr>
                <w:rFonts w:eastAsia="Times New Roman" w:cs="Calibri"/>
                <w:b/>
                <w:bCs/>
                <w:color w:val="FFFFFF"/>
                <w:lang w:eastAsia="en-GB"/>
              </w:rPr>
            </w:pPr>
          </w:p>
        </w:tc>
        <w:tc>
          <w:tcPr>
            <w:tcW w:w="718" w:type="dxa"/>
            <w:vMerge/>
            <w:tcBorders>
              <w:top w:val="single" w:sz="4" w:space="0" w:color="auto"/>
              <w:left w:val="single" w:sz="4" w:space="0" w:color="auto"/>
              <w:bottom w:val="single" w:sz="4" w:space="0" w:color="000000"/>
              <w:right w:val="single" w:sz="4" w:space="0" w:color="auto"/>
            </w:tcBorders>
            <w:vAlign w:val="center"/>
            <w:hideMark/>
          </w:tcPr>
          <w:p w14:paraId="2056A4FE" w14:textId="77777777" w:rsidR="00DA61EB" w:rsidRPr="00665D31" w:rsidRDefault="00DA61EB" w:rsidP="003356AE">
            <w:pPr>
              <w:spacing w:line="240" w:lineRule="auto"/>
              <w:jc w:val="left"/>
              <w:rPr>
                <w:rFonts w:eastAsia="Times New Roman" w:cs="Calibri"/>
                <w:b/>
                <w:bCs/>
                <w:color w:val="FFFFFF"/>
                <w:lang w:eastAsia="en-GB"/>
              </w:rPr>
            </w:pPr>
          </w:p>
        </w:tc>
        <w:tc>
          <w:tcPr>
            <w:tcW w:w="719" w:type="dxa"/>
            <w:vMerge/>
            <w:tcBorders>
              <w:top w:val="single" w:sz="4" w:space="0" w:color="auto"/>
              <w:left w:val="single" w:sz="4" w:space="0" w:color="auto"/>
              <w:bottom w:val="single" w:sz="4" w:space="0" w:color="000000"/>
              <w:right w:val="single" w:sz="4" w:space="0" w:color="auto"/>
            </w:tcBorders>
            <w:vAlign w:val="center"/>
            <w:hideMark/>
          </w:tcPr>
          <w:p w14:paraId="37045979" w14:textId="77777777" w:rsidR="00DA61EB" w:rsidRPr="00665D31" w:rsidRDefault="00DA61EB" w:rsidP="003356AE">
            <w:pPr>
              <w:spacing w:line="240" w:lineRule="auto"/>
              <w:jc w:val="left"/>
              <w:rPr>
                <w:rFonts w:eastAsia="Times New Roman" w:cs="Calibri"/>
                <w:b/>
                <w:bCs/>
                <w:color w:val="FFFFFF"/>
                <w:lang w:eastAsia="en-GB"/>
              </w:rPr>
            </w:pPr>
          </w:p>
        </w:tc>
        <w:tc>
          <w:tcPr>
            <w:tcW w:w="36" w:type="dxa"/>
            <w:tcBorders>
              <w:top w:val="nil"/>
              <w:left w:val="nil"/>
              <w:bottom w:val="nil"/>
              <w:right w:val="nil"/>
            </w:tcBorders>
            <w:noWrap/>
            <w:vAlign w:val="bottom"/>
            <w:hideMark/>
          </w:tcPr>
          <w:p w14:paraId="3CE94F73" w14:textId="77777777" w:rsidR="00DA61EB" w:rsidRPr="00665D31" w:rsidRDefault="00DA61EB" w:rsidP="003356AE">
            <w:pPr>
              <w:spacing w:line="240" w:lineRule="auto"/>
              <w:jc w:val="center"/>
              <w:rPr>
                <w:rFonts w:eastAsia="Times New Roman" w:cs="Calibri"/>
                <w:b/>
                <w:bCs/>
                <w:color w:val="FFFFFF"/>
                <w:lang w:eastAsia="en-GB"/>
              </w:rPr>
            </w:pPr>
          </w:p>
        </w:tc>
      </w:tr>
      <w:tr w:rsidR="00DA61EB" w:rsidRPr="00665D31" w14:paraId="2A8139EE"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6CEC2703"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July</w:t>
            </w:r>
          </w:p>
        </w:tc>
        <w:tc>
          <w:tcPr>
            <w:tcW w:w="5750" w:type="dxa"/>
            <w:tcBorders>
              <w:top w:val="nil"/>
              <w:left w:val="nil"/>
              <w:bottom w:val="nil"/>
              <w:right w:val="single" w:sz="4" w:space="0" w:color="auto"/>
            </w:tcBorders>
            <w:shd w:val="clear" w:color="000000" w:fill="FFFFFF"/>
            <w:vAlign w:val="center"/>
            <w:hideMark/>
          </w:tcPr>
          <w:p w14:paraId="3AA18BEF"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 xml:space="preserve">Annual Report of the JIAC and Terms of Reference Review </w:t>
            </w:r>
          </w:p>
        </w:tc>
        <w:tc>
          <w:tcPr>
            <w:tcW w:w="718" w:type="dxa"/>
            <w:tcBorders>
              <w:top w:val="nil"/>
              <w:left w:val="nil"/>
              <w:bottom w:val="nil"/>
              <w:right w:val="single" w:sz="4" w:space="0" w:color="auto"/>
            </w:tcBorders>
            <w:shd w:val="clear" w:color="000000" w:fill="FFFFFF"/>
            <w:vAlign w:val="center"/>
            <w:hideMark/>
          </w:tcPr>
          <w:p w14:paraId="628234C0"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382E9D4A"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F54FD2A"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1D903CF0"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3A983B19"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2025</w:t>
            </w:r>
          </w:p>
        </w:tc>
        <w:tc>
          <w:tcPr>
            <w:tcW w:w="5750" w:type="dxa"/>
            <w:tcBorders>
              <w:top w:val="nil"/>
              <w:left w:val="nil"/>
              <w:bottom w:val="nil"/>
              <w:right w:val="single" w:sz="4" w:space="0" w:color="auto"/>
            </w:tcBorders>
            <w:shd w:val="clear" w:color="000000" w:fill="FFFFFF"/>
            <w:vAlign w:val="center"/>
            <w:hideMark/>
          </w:tcPr>
          <w:p w14:paraId="7D200D8A"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External Audit Update</w:t>
            </w:r>
          </w:p>
        </w:tc>
        <w:tc>
          <w:tcPr>
            <w:tcW w:w="718" w:type="dxa"/>
            <w:tcBorders>
              <w:top w:val="nil"/>
              <w:left w:val="nil"/>
              <w:bottom w:val="nil"/>
              <w:right w:val="single" w:sz="4" w:space="0" w:color="auto"/>
            </w:tcBorders>
            <w:shd w:val="clear" w:color="000000" w:fill="FFFFFF"/>
            <w:vAlign w:val="center"/>
            <w:hideMark/>
          </w:tcPr>
          <w:p w14:paraId="51B450B5"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D89070C"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5CE02249"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12D387E5"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417E84AD"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2DB4B13F"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Plan and Year-end Report 2024/25</w:t>
            </w:r>
          </w:p>
        </w:tc>
        <w:tc>
          <w:tcPr>
            <w:tcW w:w="718" w:type="dxa"/>
            <w:tcBorders>
              <w:top w:val="nil"/>
              <w:left w:val="nil"/>
              <w:bottom w:val="nil"/>
              <w:right w:val="single" w:sz="4" w:space="0" w:color="auto"/>
            </w:tcBorders>
            <w:shd w:val="clear" w:color="000000" w:fill="FFFFFF"/>
            <w:vAlign w:val="center"/>
            <w:hideMark/>
          </w:tcPr>
          <w:p w14:paraId="080093E8"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1936F2D7"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C0EE77D"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4E996128"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58111BCE"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23648FD8"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63EF1B6C"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66FBE2C9"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8383014"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3ED5ADDF"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6D3118F7"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0F97A8FB"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483A525D"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076A7EF"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63152FBF"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08F9A82A" w14:textId="77777777" w:rsidTr="00CB25F9">
        <w:trPr>
          <w:trHeight w:val="227"/>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267C1024"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0083FD8A"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 xml:space="preserve">HMICFRS Update </w:t>
            </w:r>
          </w:p>
        </w:tc>
        <w:tc>
          <w:tcPr>
            <w:tcW w:w="718" w:type="dxa"/>
            <w:tcBorders>
              <w:top w:val="nil"/>
              <w:left w:val="nil"/>
              <w:bottom w:val="single" w:sz="4" w:space="0" w:color="auto"/>
              <w:right w:val="single" w:sz="4" w:space="0" w:color="auto"/>
            </w:tcBorders>
            <w:shd w:val="clear" w:color="000000" w:fill="FFFFFF"/>
            <w:vAlign w:val="center"/>
            <w:hideMark/>
          </w:tcPr>
          <w:p w14:paraId="62A23D0B"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single" w:sz="4" w:space="0" w:color="auto"/>
              <w:right w:val="single" w:sz="4" w:space="0" w:color="auto"/>
            </w:tcBorders>
            <w:shd w:val="clear" w:color="000000" w:fill="FFFFFF"/>
            <w:vAlign w:val="center"/>
            <w:hideMark/>
          </w:tcPr>
          <w:p w14:paraId="050CCBC2"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56F17A9C"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10333456"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6CB4FF8A"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 xml:space="preserve">October </w:t>
            </w:r>
          </w:p>
        </w:tc>
        <w:tc>
          <w:tcPr>
            <w:tcW w:w="5750" w:type="dxa"/>
            <w:tcBorders>
              <w:top w:val="nil"/>
              <w:left w:val="nil"/>
              <w:bottom w:val="nil"/>
              <w:right w:val="single" w:sz="4" w:space="0" w:color="auto"/>
            </w:tcBorders>
            <w:shd w:val="clear" w:color="000000" w:fill="FFFFFF"/>
            <w:vAlign w:val="center"/>
            <w:hideMark/>
          </w:tcPr>
          <w:p w14:paraId="76BC3862"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External Audit Update</w:t>
            </w:r>
          </w:p>
        </w:tc>
        <w:tc>
          <w:tcPr>
            <w:tcW w:w="718" w:type="dxa"/>
            <w:tcBorders>
              <w:top w:val="nil"/>
              <w:left w:val="nil"/>
              <w:bottom w:val="nil"/>
              <w:right w:val="single" w:sz="4" w:space="0" w:color="auto"/>
            </w:tcBorders>
            <w:shd w:val="clear" w:color="000000" w:fill="FFFFFF"/>
            <w:vAlign w:val="center"/>
            <w:hideMark/>
          </w:tcPr>
          <w:p w14:paraId="2DCBED2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354E9A0"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B936269"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4B113D17"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176B77B9"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2025</w:t>
            </w:r>
          </w:p>
        </w:tc>
        <w:tc>
          <w:tcPr>
            <w:tcW w:w="5750" w:type="dxa"/>
            <w:tcBorders>
              <w:top w:val="nil"/>
              <w:left w:val="nil"/>
              <w:bottom w:val="nil"/>
              <w:right w:val="single" w:sz="4" w:space="0" w:color="auto"/>
            </w:tcBorders>
            <w:shd w:val="clear" w:color="000000" w:fill="FFFFFF"/>
            <w:vAlign w:val="center"/>
            <w:hideMark/>
          </w:tcPr>
          <w:p w14:paraId="10DCBBB1"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7F1933B6"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4E1D916"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751E028"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45CAC2FF"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6F617E09"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0A2D0194"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7BA24A3A"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1C068D8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426F6036"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09F4AEDD"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0EA78024"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4AEB8DD7"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HMICFRS Update</w:t>
            </w:r>
          </w:p>
        </w:tc>
        <w:tc>
          <w:tcPr>
            <w:tcW w:w="718" w:type="dxa"/>
            <w:tcBorders>
              <w:top w:val="nil"/>
              <w:left w:val="nil"/>
              <w:bottom w:val="nil"/>
              <w:right w:val="single" w:sz="4" w:space="0" w:color="auto"/>
            </w:tcBorders>
            <w:shd w:val="clear" w:color="000000" w:fill="FFFFFF"/>
            <w:vAlign w:val="center"/>
            <w:hideMark/>
          </w:tcPr>
          <w:p w14:paraId="49AD43C0"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170D040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95F5960"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69B4EF46"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0AE518D9"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11F6F807"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Anti-Fraud and Corruption Processes</w:t>
            </w:r>
          </w:p>
        </w:tc>
        <w:tc>
          <w:tcPr>
            <w:tcW w:w="718" w:type="dxa"/>
            <w:tcBorders>
              <w:top w:val="nil"/>
              <w:left w:val="nil"/>
              <w:bottom w:val="nil"/>
              <w:right w:val="single" w:sz="4" w:space="0" w:color="auto"/>
            </w:tcBorders>
            <w:shd w:val="clear" w:color="000000" w:fill="FFFFFF"/>
            <w:vAlign w:val="center"/>
            <w:hideMark/>
          </w:tcPr>
          <w:p w14:paraId="4A95EB0D"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746728A3"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348EEA07"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09AC6808"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5D4C3D60"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50DB69C2"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2026/27 Budget and MTFP Processes, Plan and Timetable</w:t>
            </w:r>
          </w:p>
        </w:tc>
        <w:tc>
          <w:tcPr>
            <w:tcW w:w="718" w:type="dxa"/>
            <w:tcBorders>
              <w:top w:val="nil"/>
              <w:left w:val="nil"/>
              <w:bottom w:val="nil"/>
              <w:right w:val="single" w:sz="4" w:space="0" w:color="auto"/>
            </w:tcBorders>
            <w:shd w:val="clear" w:color="000000" w:fill="FFFFFF"/>
            <w:vAlign w:val="center"/>
            <w:hideMark/>
          </w:tcPr>
          <w:p w14:paraId="0C75282C"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592DAA8"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DDB1B1F"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79562B05"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361FA072"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765B0F53"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OPFCC Risk Register Update</w:t>
            </w:r>
          </w:p>
        </w:tc>
        <w:tc>
          <w:tcPr>
            <w:tcW w:w="718" w:type="dxa"/>
            <w:tcBorders>
              <w:top w:val="nil"/>
              <w:left w:val="nil"/>
              <w:bottom w:val="nil"/>
              <w:right w:val="single" w:sz="4" w:space="0" w:color="auto"/>
            </w:tcBorders>
            <w:shd w:val="clear" w:color="000000" w:fill="FFFFFF"/>
            <w:vAlign w:val="center"/>
            <w:hideMark/>
          </w:tcPr>
          <w:p w14:paraId="1E67E228"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125BEDE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BC17FF1"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5D3952AB" w14:textId="77777777" w:rsidTr="00CB25F9">
        <w:trPr>
          <w:trHeight w:val="227"/>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79BD635D"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7199CD0F"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Climate Change and Sustainability</w:t>
            </w:r>
          </w:p>
        </w:tc>
        <w:tc>
          <w:tcPr>
            <w:tcW w:w="718" w:type="dxa"/>
            <w:tcBorders>
              <w:top w:val="nil"/>
              <w:left w:val="nil"/>
              <w:bottom w:val="single" w:sz="4" w:space="0" w:color="auto"/>
              <w:right w:val="single" w:sz="4" w:space="0" w:color="auto"/>
            </w:tcBorders>
            <w:shd w:val="clear" w:color="000000" w:fill="FFFFFF"/>
            <w:vAlign w:val="center"/>
            <w:hideMark/>
          </w:tcPr>
          <w:p w14:paraId="345CB668"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single" w:sz="4" w:space="0" w:color="auto"/>
              <w:right w:val="single" w:sz="4" w:space="0" w:color="auto"/>
            </w:tcBorders>
            <w:shd w:val="clear" w:color="000000" w:fill="FFFFFF"/>
            <w:vAlign w:val="center"/>
            <w:hideMark/>
          </w:tcPr>
          <w:p w14:paraId="63CE744B"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2504A26"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3FF1E780"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7B25532B"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 xml:space="preserve">December </w:t>
            </w:r>
          </w:p>
        </w:tc>
        <w:tc>
          <w:tcPr>
            <w:tcW w:w="5750" w:type="dxa"/>
            <w:tcBorders>
              <w:top w:val="nil"/>
              <w:left w:val="nil"/>
              <w:bottom w:val="nil"/>
              <w:right w:val="single" w:sz="4" w:space="0" w:color="auto"/>
            </w:tcBorders>
            <w:shd w:val="clear" w:color="000000" w:fill="FFFFFF"/>
            <w:vAlign w:val="center"/>
            <w:hideMark/>
          </w:tcPr>
          <w:p w14:paraId="61F4A2CA"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External Audit Update - Annual Reports</w:t>
            </w:r>
          </w:p>
        </w:tc>
        <w:tc>
          <w:tcPr>
            <w:tcW w:w="718" w:type="dxa"/>
            <w:tcBorders>
              <w:top w:val="nil"/>
              <w:left w:val="nil"/>
              <w:bottom w:val="nil"/>
              <w:right w:val="single" w:sz="4" w:space="0" w:color="auto"/>
            </w:tcBorders>
            <w:shd w:val="clear" w:color="000000" w:fill="FFFFFF"/>
            <w:vAlign w:val="center"/>
            <w:hideMark/>
          </w:tcPr>
          <w:p w14:paraId="0115F72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42B65500"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7E7BAB0"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366257D4"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3E4AF31D"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2025</w:t>
            </w:r>
          </w:p>
        </w:tc>
        <w:tc>
          <w:tcPr>
            <w:tcW w:w="5750" w:type="dxa"/>
            <w:tcBorders>
              <w:top w:val="nil"/>
              <w:left w:val="nil"/>
              <w:bottom w:val="nil"/>
              <w:right w:val="single" w:sz="4" w:space="0" w:color="auto"/>
            </w:tcBorders>
            <w:shd w:val="clear" w:color="000000" w:fill="FFFFFF"/>
            <w:vAlign w:val="center"/>
            <w:hideMark/>
          </w:tcPr>
          <w:p w14:paraId="5C5D82AA"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0A6A9984"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369003B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4DEA739E"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2A5BA02E"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75D03B46"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507EF5C6"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31A784D2"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29F489B"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33B10D65"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4E7692C9"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181CCFF1"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2462121D"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HMICFRS Update</w:t>
            </w:r>
          </w:p>
        </w:tc>
        <w:tc>
          <w:tcPr>
            <w:tcW w:w="718" w:type="dxa"/>
            <w:tcBorders>
              <w:top w:val="nil"/>
              <w:left w:val="nil"/>
              <w:bottom w:val="nil"/>
              <w:right w:val="single" w:sz="4" w:space="0" w:color="auto"/>
            </w:tcBorders>
            <w:shd w:val="clear" w:color="000000" w:fill="FFFFFF"/>
            <w:vAlign w:val="center"/>
            <w:hideMark/>
          </w:tcPr>
          <w:p w14:paraId="615DB9E6"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63B1A4D0"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310CADDC"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0186F3DE"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35E9F5E6"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6B8B39F7"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Anti-Fraud and Corruption Processes</w:t>
            </w:r>
          </w:p>
        </w:tc>
        <w:tc>
          <w:tcPr>
            <w:tcW w:w="718" w:type="dxa"/>
            <w:tcBorders>
              <w:top w:val="nil"/>
              <w:left w:val="nil"/>
              <w:bottom w:val="nil"/>
              <w:right w:val="single" w:sz="4" w:space="0" w:color="auto"/>
            </w:tcBorders>
            <w:shd w:val="clear" w:color="000000" w:fill="FFFFFF"/>
            <w:vAlign w:val="center"/>
            <w:hideMark/>
          </w:tcPr>
          <w:p w14:paraId="573BA886"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26BCF6D2"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3A559D79"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5CFAC946" w14:textId="77777777" w:rsidTr="00CB25F9">
        <w:trPr>
          <w:trHeight w:val="227"/>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31463503" w14:textId="77777777" w:rsidR="00DA61EB" w:rsidRPr="00665D31" w:rsidRDefault="00DA61EB" w:rsidP="003356AE">
            <w:pPr>
              <w:spacing w:line="240" w:lineRule="auto"/>
              <w:jc w:val="left"/>
              <w:rPr>
                <w:rFonts w:ascii="Aptos Narrow" w:eastAsia="Times New Roman" w:hAnsi="Aptos Narrow" w:cs="Times New Roman"/>
                <w:color w:val="000000"/>
                <w:lang w:eastAsia="en-GB"/>
              </w:rPr>
            </w:pPr>
            <w:r w:rsidRPr="00665D31">
              <w:rPr>
                <w:rFonts w:ascii="Aptos Narrow" w:eastAsia="Times New Roman" w:hAnsi="Aptos Narrow" w:cs="Times New Roman"/>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6D6C71C1"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Risk Register Update</w:t>
            </w:r>
          </w:p>
        </w:tc>
        <w:tc>
          <w:tcPr>
            <w:tcW w:w="718" w:type="dxa"/>
            <w:tcBorders>
              <w:top w:val="nil"/>
              <w:left w:val="nil"/>
              <w:bottom w:val="single" w:sz="4" w:space="0" w:color="auto"/>
              <w:right w:val="single" w:sz="4" w:space="0" w:color="auto"/>
            </w:tcBorders>
            <w:shd w:val="clear" w:color="000000" w:fill="FFFFFF"/>
            <w:vAlign w:val="center"/>
            <w:hideMark/>
          </w:tcPr>
          <w:p w14:paraId="7454F142"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single" w:sz="4" w:space="0" w:color="auto"/>
              <w:right w:val="single" w:sz="4" w:space="0" w:color="auto"/>
            </w:tcBorders>
            <w:shd w:val="clear" w:color="000000" w:fill="FFFFFF"/>
            <w:vAlign w:val="center"/>
            <w:hideMark/>
          </w:tcPr>
          <w:p w14:paraId="79B86809"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327C133D"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2F65AC19"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1C087286" w14:textId="77777777" w:rsidR="00DA61EB" w:rsidRPr="00665D31" w:rsidRDefault="00DA61EB" w:rsidP="003356AE">
            <w:pPr>
              <w:spacing w:line="240" w:lineRule="auto"/>
              <w:jc w:val="left"/>
              <w:rPr>
                <w:rFonts w:eastAsia="Times New Roman" w:cs="Calibri"/>
                <w:color w:val="000000"/>
                <w:lang w:eastAsia="en-GB"/>
              </w:rPr>
            </w:pPr>
            <w:r w:rsidRPr="00665D31">
              <w:rPr>
                <w:rFonts w:eastAsia="Times New Roman" w:cs="Calibri"/>
                <w:color w:val="000000"/>
                <w:lang w:eastAsia="en-GB"/>
              </w:rPr>
              <w:t>March</w:t>
            </w:r>
          </w:p>
        </w:tc>
        <w:tc>
          <w:tcPr>
            <w:tcW w:w="5750" w:type="dxa"/>
            <w:tcBorders>
              <w:top w:val="nil"/>
              <w:left w:val="nil"/>
              <w:bottom w:val="nil"/>
              <w:right w:val="single" w:sz="4" w:space="0" w:color="auto"/>
            </w:tcBorders>
            <w:shd w:val="clear" w:color="000000" w:fill="FFFFFF"/>
            <w:vAlign w:val="center"/>
            <w:hideMark/>
          </w:tcPr>
          <w:p w14:paraId="0B1E4E55"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External Audit Update</w:t>
            </w:r>
          </w:p>
        </w:tc>
        <w:tc>
          <w:tcPr>
            <w:tcW w:w="718" w:type="dxa"/>
            <w:tcBorders>
              <w:top w:val="nil"/>
              <w:left w:val="nil"/>
              <w:bottom w:val="nil"/>
              <w:right w:val="single" w:sz="4" w:space="0" w:color="auto"/>
            </w:tcBorders>
            <w:shd w:val="clear" w:color="000000" w:fill="FFFFFF"/>
            <w:vAlign w:val="center"/>
            <w:hideMark/>
          </w:tcPr>
          <w:p w14:paraId="24AFC994"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06D4FD2C"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3401429F"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08CC8FB5"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6A8808DB"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2026</w:t>
            </w:r>
          </w:p>
        </w:tc>
        <w:tc>
          <w:tcPr>
            <w:tcW w:w="5750" w:type="dxa"/>
            <w:tcBorders>
              <w:top w:val="nil"/>
              <w:left w:val="nil"/>
              <w:bottom w:val="nil"/>
              <w:right w:val="single" w:sz="4" w:space="0" w:color="auto"/>
            </w:tcBorders>
            <w:shd w:val="clear" w:color="000000" w:fill="FFFFFF"/>
            <w:vAlign w:val="center"/>
            <w:hideMark/>
          </w:tcPr>
          <w:p w14:paraId="7FC8A839"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Report</w:t>
            </w:r>
          </w:p>
        </w:tc>
        <w:tc>
          <w:tcPr>
            <w:tcW w:w="718" w:type="dxa"/>
            <w:tcBorders>
              <w:top w:val="nil"/>
              <w:left w:val="nil"/>
              <w:bottom w:val="nil"/>
              <w:right w:val="single" w:sz="4" w:space="0" w:color="auto"/>
            </w:tcBorders>
            <w:shd w:val="clear" w:color="000000" w:fill="FFFFFF"/>
            <w:vAlign w:val="center"/>
            <w:hideMark/>
          </w:tcPr>
          <w:p w14:paraId="4FEA9DC6"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76B39390"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6230E4F6"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204DB9B1"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2AB1BA2B" w14:textId="77777777" w:rsidR="00DA61EB" w:rsidRPr="00665D31" w:rsidRDefault="00DA61EB" w:rsidP="003356AE">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7F3FCBEC"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Plans 2026/27</w:t>
            </w:r>
          </w:p>
        </w:tc>
        <w:tc>
          <w:tcPr>
            <w:tcW w:w="718" w:type="dxa"/>
            <w:tcBorders>
              <w:top w:val="nil"/>
              <w:left w:val="nil"/>
              <w:bottom w:val="nil"/>
              <w:right w:val="single" w:sz="4" w:space="0" w:color="auto"/>
            </w:tcBorders>
            <w:shd w:val="clear" w:color="000000" w:fill="FFFFFF"/>
            <w:vAlign w:val="center"/>
            <w:hideMark/>
          </w:tcPr>
          <w:p w14:paraId="4D7F27CD"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2226C21C"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43F16F75"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302CC6CD"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60D97B23" w14:textId="77777777" w:rsidR="00DA61EB" w:rsidRPr="00665D31" w:rsidRDefault="00DA61EB" w:rsidP="003356AE">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1255E4A1"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Internal Audit progress against recommendations update</w:t>
            </w:r>
          </w:p>
        </w:tc>
        <w:tc>
          <w:tcPr>
            <w:tcW w:w="718" w:type="dxa"/>
            <w:tcBorders>
              <w:top w:val="nil"/>
              <w:left w:val="nil"/>
              <w:bottom w:val="nil"/>
              <w:right w:val="single" w:sz="4" w:space="0" w:color="auto"/>
            </w:tcBorders>
            <w:shd w:val="clear" w:color="000000" w:fill="FFFFFF"/>
            <w:vAlign w:val="center"/>
            <w:hideMark/>
          </w:tcPr>
          <w:p w14:paraId="0430B215"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5B2C8EF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5774A00C"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3660D476"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40D3632A" w14:textId="77777777" w:rsidR="00DA61EB" w:rsidRPr="00665D31" w:rsidRDefault="00DA61EB" w:rsidP="003356AE">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0890210C"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HMICFRS Update</w:t>
            </w:r>
          </w:p>
        </w:tc>
        <w:tc>
          <w:tcPr>
            <w:tcW w:w="718" w:type="dxa"/>
            <w:tcBorders>
              <w:top w:val="nil"/>
              <w:left w:val="nil"/>
              <w:bottom w:val="nil"/>
              <w:right w:val="single" w:sz="4" w:space="0" w:color="auto"/>
            </w:tcBorders>
            <w:shd w:val="clear" w:color="000000" w:fill="FFFFFF"/>
            <w:vAlign w:val="center"/>
            <w:hideMark/>
          </w:tcPr>
          <w:p w14:paraId="1C507439"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719" w:type="dxa"/>
            <w:tcBorders>
              <w:top w:val="nil"/>
              <w:left w:val="nil"/>
              <w:bottom w:val="nil"/>
              <w:right w:val="single" w:sz="4" w:space="0" w:color="auto"/>
            </w:tcBorders>
            <w:shd w:val="clear" w:color="000000" w:fill="FFFFFF"/>
            <w:vAlign w:val="center"/>
            <w:hideMark/>
          </w:tcPr>
          <w:p w14:paraId="55875E49"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4538FD79"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53825E71"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3BC393FA" w14:textId="77777777" w:rsidR="00DA61EB" w:rsidRPr="00665D31" w:rsidRDefault="00DA61EB" w:rsidP="003356AE">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5910A0E1"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Treasury Management Strategies 2026/27 Review</w:t>
            </w:r>
          </w:p>
        </w:tc>
        <w:tc>
          <w:tcPr>
            <w:tcW w:w="718" w:type="dxa"/>
            <w:tcBorders>
              <w:top w:val="nil"/>
              <w:left w:val="nil"/>
              <w:bottom w:val="nil"/>
              <w:right w:val="single" w:sz="4" w:space="0" w:color="auto"/>
            </w:tcBorders>
            <w:shd w:val="clear" w:color="000000" w:fill="FFFFFF"/>
            <w:vAlign w:val="center"/>
            <w:hideMark/>
          </w:tcPr>
          <w:p w14:paraId="6DF8C761"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7C05C6CD"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4A89C57"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5756C55D" w14:textId="77777777" w:rsidTr="00CB25F9">
        <w:trPr>
          <w:trHeight w:val="227"/>
        </w:trPr>
        <w:tc>
          <w:tcPr>
            <w:tcW w:w="1337" w:type="dxa"/>
            <w:tcBorders>
              <w:top w:val="nil"/>
              <w:left w:val="single" w:sz="4" w:space="0" w:color="auto"/>
              <w:bottom w:val="nil"/>
              <w:right w:val="single" w:sz="4" w:space="0" w:color="auto"/>
            </w:tcBorders>
            <w:shd w:val="clear" w:color="000000" w:fill="FFFFFF"/>
            <w:vAlign w:val="center"/>
            <w:hideMark/>
          </w:tcPr>
          <w:p w14:paraId="4B6DEEAA" w14:textId="77777777" w:rsidR="00DA61EB" w:rsidRPr="00665D31" w:rsidRDefault="00DA61EB" w:rsidP="003356AE">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nil"/>
              <w:right w:val="single" w:sz="4" w:space="0" w:color="auto"/>
            </w:tcBorders>
            <w:shd w:val="clear" w:color="000000" w:fill="FFFFFF"/>
            <w:vAlign w:val="center"/>
            <w:hideMark/>
          </w:tcPr>
          <w:p w14:paraId="5369D2E3"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PCC 2028 Updates</w:t>
            </w:r>
          </w:p>
        </w:tc>
        <w:tc>
          <w:tcPr>
            <w:tcW w:w="718" w:type="dxa"/>
            <w:tcBorders>
              <w:top w:val="nil"/>
              <w:left w:val="nil"/>
              <w:bottom w:val="nil"/>
              <w:right w:val="single" w:sz="4" w:space="0" w:color="auto"/>
            </w:tcBorders>
            <w:shd w:val="clear" w:color="000000" w:fill="FFFFFF"/>
            <w:vAlign w:val="center"/>
            <w:hideMark/>
          </w:tcPr>
          <w:p w14:paraId="1DCC3438"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nil"/>
              <w:right w:val="single" w:sz="4" w:space="0" w:color="auto"/>
            </w:tcBorders>
            <w:shd w:val="clear" w:color="000000" w:fill="FFFFFF"/>
            <w:vAlign w:val="center"/>
            <w:hideMark/>
          </w:tcPr>
          <w:p w14:paraId="3DFC1572"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36" w:type="dxa"/>
            <w:vAlign w:val="center"/>
            <w:hideMark/>
          </w:tcPr>
          <w:p w14:paraId="0ACF8CBC"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r w:rsidR="00DA61EB" w:rsidRPr="00665D31" w14:paraId="0C1D323A" w14:textId="77777777" w:rsidTr="00CB25F9">
        <w:trPr>
          <w:trHeight w:val="227"/>
        </w:trPr>
        <w:tc>
          <w:tcPr>
            <w:tcW w:w="1337" w:type="dxa"/>
            <w:tcBorders>
              <w:top w:val="nil"/>
              <w:left w:val="single" w:sz="4" w:space="0" w:color="auto"/>
              <w:bottom w:val="single" w:sz="4" w:space="0" w:color="auto"/>
              <w:right w:val="single" w:sz="4" w:space="0" w:color="auto"/>
            </w:tcBorders>
            <w:shd w:val="clear" w:color="000000" w:fill="FFFFFF"/>
            <w:vAlign w:val="center"/>
            <w:hideMark/>
          </w:tcPr>
          <w:p w14:paraId="36DE5C0C" w14:textId="77777777" w:rsidR="00DA61EB" w:rsidRPr="00665D31" w:rsidRDefault="00DA61EB" w:rsidP="003356AE">
            <w:pPr>
              <w:spacing w:line="240" w:lineRule="auto"/>
              <w:jc w:val="left"/>
              <w:rPr>
                <w:rFonts w:eastAsia="Times New Roman" w:cs="Calibri"/>
                <w:color w:val="000000"/>
                <w:lang w:eastAsia="en-GB"/>
              </w:rPr>
            </w:pPr>
            <w:r w:rsidRPr="00665D31">
              <w:rPr>
                <w:rFonts w:eastAsia="Times New Roman" w:cs="Calibri"/>
                <w:color w:val="000000"/>
                <w:lang w:eastAsia="en-GB"/>
              </w:rPr>
              <w:t> </w:t>
            </w:r>
          </w:p>
        </w:tc>
        <w:tc>
          <w:tcPr>
            <w:tcW w:w="5750" w:type="dxa"/>
            <w:tcBorders>
              <w:top w:val="nil"/>
              <w:left w:val="nil"/>
              <w:bottom w:val="single" w:sz="4" w:space="0" w:color="auto"/>
              <w:right w:val="single" w:sz="4" w:space="0" w:color="auto"/>
            </w:tcBorders>
            <w:shd w:val="clear" w:color="000000" w:fill="FFFFFF"/>
            <w:vAlign w:val="center"/>
            <w:hideMark/>
          </w:tcPr>
          <w:p w14:paraId="0B7E1B58" w14:textId="77777777" w:rsidR="00DA61EB" w:rsidRPr="00665D31" w:rsidRDefault="00DA61EB" w:rsidP="003356AE">
            <w:pPr>
              <w:spacing w:line="240" w:lineRule="auto"/>
              <w:rPr>
                <w:rFonts w:eastAsia="Times New Roman" w:cs="Calibri"/>
                <w:color w:val="000000"/>
                <w:lang w:eastAsia="en-GB"/>
              </w:rPr>
            </w:pPr>
            <w:r w:rsidRPr="00665D31">
              <w:rPr>
                <w:rFonts w:eastAsia="Times New Roman" w:cs="Calibri"/>
                <w:color w:val="000000"/>
                <w:lang w:eastAsia="en-GB"/>
              </w:rPr>
              <w:t>Risk Register Update</w:t>
            </w:r>
          </w:p>
        </w:tc>
        <w:tc>
          <w:tcPr>
            <w:tcW w:w="718" w:type="dxa"/>
            <w:tcBorders>
              <w:top w:val="nil"/>
              <w:left w:val="nil"/>
              <w:bottom w:val="single" w:sz="4" w:space="0" w:color="auto"/>
              <w:right w:val="single" w:sz="4" w:space="0" w:color="auto"/>
            </w:tcBorders>
            <w:shd w:val="clear" w:color="000000" w:fill="FFFFFF"/>
            <w:vAlign w:val="center"/>
            <w:hideMark/>
          </w:tcPr>
          <w:p w14:paraId="7FEBB06B"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Y</w:t>
            </w:r>
          </w:p>
        </w:tc>
        <w:tc>
          <w:tcPr>
            <w:tcW w:w="719" w:type="dxa"/>
            <w:tcBorders>
              <w:top w:val="nil"/>
              <w:left w:val="nil"/>
              <w:bottom w:val="single" w:sz="4" w:space="0" w:color="auto"/>
              <w:right w:val="single" w:sz="4" w:space="0" w:color="auto"/>
            </w:tcBorders>
            <w:shd w:val="clear" w:color="000000" w:fill="FFFFFF"/>
            <w:vAlign w:val="center"/>
            <w:hideMark/>
          </w:tcPr>
          <w:p w14:paraId="0FDBF495" w14:textId="77777777" w:rsidR="00DA61EB" w:rsidRPr="00665D31" w:rsidRDefault="00DA61EB" w:rsidP="003356AE">
            <w:pPr>
              <w:spacing w:line="240" w:lineRule="auto"/>
              <w:jc w:val="center"/>
              <w:rPr>
                <w:rFonts w:eastAsia="Times New Roman" w:cs="Calibri"/>
                <w:color w:val="000000"/>
                <w:lang w:eastAsia="en-GB"/>
              </w:rPr>
            </w:pPr>
            <w:r w:rsidRPr="00665D31">
              <w:rPr>
                <w:rFonts w:eastAsia="Times New Roman" w:cs="Calibri"/>
                <w:color w:val="000000"/>
                <w:lang w:eastAsia="en-GB"/>
              </w:rPr>
              <w:t>-</w:t>
            </w:r>
          </w:p>
        </w:tc>
        <w:tc>
          <w:tcPr>
            <w:tcW w:w="36" w:type="dxa"/>
            <w:vAlign w:val="center"/>
            <w:hideMark/>
          </w:tcPr>
          <w:p w14:paraId="0442A76A" w14:textId="77777777" w:rsidR="00DA61EB" w:rsidRPr="00665D31" w:rsidRDefault="00DA61EB" w:rsidP="003356AE">
            <w:pPr>
              <w:spacing w:line="240" w:lineRule="auto"/>
              <w:jc w:val="left"/>
              <w:rPr>
                <w:rFonts w:ascii="Times New Roman" w:eastAsia="Times New Roman" w:hAnsi="Times New Roman" w:cs="Times New Roman"/>
                <w:szCs w:val="20"/>
                <w:lang w:eastAsia="en-GB"/>
              </w:rPr>
            </w:pPr>
          </w:p>
        </w:tc>
      </w:tr>
    </w:tbl>
    <w:p w14:paraId="00158C68" w14:textId="77777777" w:rsidR="00EA47B5" w:rsidRPr="00BB23C6" w:rsidRDefault="00EA47B5" w:rsidP="003356AE">
      <w:pPr>
        <w:spacing w:line="240" w:lineRule="auto"/>
        <w:rPr>
          <w:rFonts w:cs="Arial"/>
          <w:highlight w:val="yellow"/>
        </w:rPr>
      </w:pPr>
    </w:p>
    <w:p w14:paraId="569591DF" w14:textId="77777777" w:rsidR="00034FA4" w:rsidRPr="0006656A" w:rsidRDefault="00034FA4" w:rsidP="00034FA4">
      <w:pPr>
        <w:spacing w:line="240" w:lineRule="auto"/>
      </w:pPr>
      <w:r w:rsidRPr="0006656A">
        <w:t>During 2025/26 Northamptonshire Police were subject to a Police Effectiveness, Legitimacy and Efficiency (PEEL) Inspection.  The inspection results were published in June 2026, as summarised in the narrative statement earlier in these accounts.</w:t>
      </w:r>
    </w:p>
    <w:p w14:paraId="4309EAA8" w14:textId="77777777" w:rsidR="00034FA4" w:rsidRPr="0006656A" w:rsidRDefault="00034FA4" w:rsidP="00034FA4">
      <w:pPr>
        <w:spacing w:line="240" w:lineRule="auto"/>
      </w:pPr>
    </w:p>
    <w:p w14:paraId="6E7C1648" w14:textId="77777777" w:rsidR="00034FA4" w:rsidRPr="0006656A" w:rsidRDefault="00034FA4" w:rsidP="00034FA4">
      <w:pPr>
        <w:spacing w:line="240" w:lineRule="auto"/>
      </w:pPr>
      <w:r w:rsidRPr="0006656A">
        <w:t>The CC put in place an action plan and the PFCC has been holding the CC to account for progress by requiring regular monitoring reports to the Accountability Board.  An update on HMICFRS improvement action is also considered by JIAC during the year.</w:t>
      </w:r>
    </w:p>
    <w:p w14:paraId="4E1770CE" w14:textId="77777777" w:rsidR="00837375" w:rsidRPr="006571C5" w:rsidRDefault="00837375" w:rsidP="003356AE">
      <w:pPr>
        <w:spacing w:line="240" w:lineRule="auto"/>
        <w:rPr>
          <w:rFonts w:cs="Arial"/>
        </w:rPr>
      </w:pPr>
    </w:p>
    <w:p w14:paraId="6727F58E" w14:textId="4F5A897C" w:rsidR="003572A3" w:rsidRPr="006571C5" w:rsidRDefault="00837375" w:rsidP="003356AE">
      <w:pPr>
        <w:pStyle w:val="VAHeadingLevel2"/>
        <w:spacing w:line="240" w:lineRule="auto"/>
      </w:pPr>
      <w:r w:rsidRPr="006571C5">
        <w:t xml:space="preserve">Significant Governance Issues </w:t>
      </w:r>
    </w:p>
    <w:p w14:paraId="5E430609" w14:textId="418C75AF" w:rsidR="003572A3" w:rsidRPr="006571C5" w:rsidRDefault="006571C5" w:rsidP="003356AE">
      <w:pPr>
        <w:spacing w:line="240" w:lineRule="auto"/>
      </w:pPr>
      <w:r>
        <w:t>During 2025/26</w:t>
      </w:r>
      <w:r w:rsidR="003572A3" w:rsidRPr="006571C5">
        <w:t>, a governance concern arose following a Court of Appeal finding that the Chief Constable of Northamptonshire Police was in contempt of court.  The contempt judgment stemmed from the Force’s failure to disclose critical body-worn video footage relating to the 2021 arrest of Nadine Buzzard-Quashie.  The Court found that statements made on behalf of the force were false, and the Chief Constable was subsequently held accountable in law.  In imposing a £50,000 fine, the Court emphasised the gravity of systemic governance and transparency failures, with sanctioning explicitly justified by the seriousness and duration of the non</w:t>
      </w:r>
      <w:r w:rsidR="003572A3" w:rsidRPr="006571C5">
        <w:rPr>
          <w:rFonts w:ascii="Cambria Math" w:hAnsi="Cambria Math" w:cs="Cambria Math"/>
        </w:rPr>
        <w:t>‑</w:t>
      </w:r>
      <w:r w:rsidR="003572A3" w:rsidRPr="006571C5">
        <w:t>compliance.</w:t>
      </w:r>
    </w:p>
    <w:p w14:paraId="4C4B8200" w14:textId="77777777" w:rsidR="003572A3" w:rsidRPr="006571C5" w:rsidRDefault="003572A3" w:rsidP="003356AE">
      <w:pPr>
        <w:spacing w:line="240" w:lineRule="auto"/>
      </w:pPr>
    </w:p>
    <w:p w14:paraId="07C72813" w14:textId="77777777" w:rsidR="003572A3" w:rsidRPr="006571C5" w:rsidRDefault="003572A3" w:rsidP="003356AE">
      <w:pPr>
        <w:spacing w:line="240" w:lineRule="auto"/>
      </w:pPr>
      <w:r w:rsidRPr="006571C5">
        <w:t>These events have triggered an immediate and comprehensive review by the Police, Fire and Crime Commissioner’s office to reinforce our compliance frameworks, ensure full transparency in judicial and regulatory engagements, and confirm that governance structures – particularly oversight of legal and disclosure obligations – are both robust and consistently enforced.  The organisation remains fully committed to upholding the highest standards of accountability, and these measures will ensure similar failures are prevented in future.</w:t>
      </w:r>
    </w:p>
    <w:p w14:paraId="7E590DDB" w14:textId="77777777" w:rsidR="003572A3" w:rsidRPr="006571C5" w:rsidRDefault="003572A3" w:rsidP="003356AE">
      <w:pPr>
        <w:spacing w:line="240" w:lineRule="auto"/>
      </w:pPr>
    </w:p>
    <w:p w14:paraId="39758A2A" w14:textId="536C2EDE" w:rsidR="003572A3" w:rsidRPr="006571C5" w:rsidRDefault="003572A3" w:rsidP="003356AE">
      <w:pPr>
        <w:spacing w:line="240" w:lineRule="auto"/>
      </w:pPr>
      <w:r w:rsidRPr="006571C5">
        <w:t>The Police, Fire and Crime Panel called an extraordinary meeting to gain transparent oversight of the matter and have been appraised of the terms of reference for the review.  They will continue to be engaged and informed.</w:t>
      </w:r>
    </w:p>
    <w:p w14:paraId="6D422D9E" w14:textId="77777777" w:rsidR="003572A3" w:rsidRDefault="003572A3" w:rsidP="003356AE">
      <w:pPr>
        <w:spacing w:line="240" w:lineRule="auto"/>
      </w:pPr>
    </w:p>
    <w:p w14:paraId="179000CB" w14:textId="685BE3BD" w:rsidR="0024701B" w:rsidRDefault="0024701B" w:rsidP="003356AE">
      <w:pPr>
        <w:spacing w:line="240" w:lineRule="auto"/>
      </w:pPr>
      <w:r>
        <w:t xml:space="preserve">Grant Thornton </w:t>
      </w:r>
      <w:r w:rsidR="00B8158C">
        <w:t>highlighted this issue in their 2024/25 report on Value for Money along with a number of recommendations</w:t>
      </w:r>
      <w:r w:rsidR="00085256">
        <w:t xml:space="preserve">, many of which were </w:t>
      </w:r>
      <w:r w:rsidR="0033438C">
        <w:t xml:space="preserve">already being actioned.  The key review </w:t>
      </w:r>
      <w:r w:rsidR="00B17390">
        <w:t>undertakings are still in progress at the date of the draft accounts (and therefore this AGS).</w:t>
      </w:r>
    </w:p>
    <w:p w14:paraId="3B28025A" w14:textId="77777777" w:rsidR="00B17390" w:rsidRPr="006571C5" w:rsidRDefault="00B17390" w:rsidP="003356AE">
      <w:pPr>
        <w:spacing w:line="240" w:lineRule="auto"/>
      </w:pPr>
    </w:p>
    <w:p w14:paraId="1EDD07BA" w14:textId="77777777" w:rsidR="003572A3" w:rsidRPr="006571C5" w:rsidRDefault="003572A3" w:rsidP="003356AE">
      <w:pPr>
        <w:spacing w:line="240" w:lineRule="auto"/>
      </w:pPr>
      <w:r w:rsidRPr="006571C5">
        <w:t>Other than the matter arising above, there were no other formal reports issued by the Chief Finance Officer or Monitoring Officer during the year, outcomes of Monitoring Officer Investigations, objections from local electors or ombudsman referrals.</w:t>
      </w:r>
    </w:p>
    <w:p w14:paraId="207E31D4" w14:textId="77777777" w:rsidR="003572A3" w:rsidRPr="006571C5" w:rsidRDefault="003572A3" w:rsidP="003356AE">
      <w:pPr>
        <w:spacing w:line="240" w:lineRule="auto"/>
      </w:pPr>
    </w:p>
    <w:p w14:paraId="244A61E4" w14:textId="4EE16671" w:rsidR="003572A3" w:rsidRPr="006571C5" w:rsidRDefault="003572A3" w:rsidP="003356AE">
      <w:pPr>
        <w:spacing w:line="240" w:lineRule="auto"/>
      </w:pPr>
      <w:r w:rsidRPr="006571C5">
        <w:t>The financial settlement for 202</w:t>
      </w:r>
      <w:r w:rsidR="00B17390">
        <w:t>6</w:t>
      </w:r>
      <w:r w:rsidRPr="006571C5">
        <w:t>/2</w:t>
      </w:r>
      <w:r w:rsidR="00B17390">
        <w:t>7</w:t>
      </w:r>
      <w:r w:rsidRPr="006571C5">
        <w:t xml:space="preserve"> enabled the PFCC to set a balanced budget with an agreed realistic efficiency plan which will be kept under close review.</w:t>
      </w:r>
    </w:p>
    <w:p w14:paraId="1253CCDD" w14:textId="77777777" w:rsidR="00837375" w:rsidRPr="006571C5" w:rsidRDefault="00837375" w:rsidP="003356AE">
      <w:pPr>
        <w:tabs>
          <w:tab w:val="left" w:pos="2616"/>
        </w:tabs>
        <w:spacing w:line="240" w:lineRule="auto"/>
        <w:rPr>
          <w:rFonts w:cstheme="minorHAnsi"/>
        </w:rPr>
      </w:pPr>
    </w:p>
    <w:p w14:paraId="33E7061D" w14:textId="5239D786" w:rsidR="00837375" w:rsidRPr="006571C5" w:rsidRDefault="00837375" w:rsidP="003356AE">
      <w:pPr>
        <w:tabs>
          <w:tab w:val="left" w:pos="2616"/>
        </w:tabs>
        <w:spacing w:line="240" w:lineRule="auto"/>
        <w:rPr>
          <w:rFonts w:cstheme="minorHAnsi"/>
          <w:b/>
          <w:u w:val="single"/>
        </w:rPr>
      </w:pPr>
      <w:r w:rsidRPr="006571C5">
        <w:rPr>
          <w:rFonts w:cstheme="minorHAnsi"/>
        </w:rPr>
        <w:t xml:space="preserve">Asset Strategies, Reserves, Treasury Management Strategies and a Capital Programme are in place, and the Capital Programme is regularly reviewed to ensure deliverability and affordability.  It remains essential that opportunities to build resilience and capacity and maximise efficiencies continue to be taken forward.  The internal control framework continues to develop, and it is important that this momentum is maintained. </w:t>
      </w:r>
    </w:p>
    <w:p w14:paraId="5DDC8DD0" w14:textId="77777777" w:rsidR="00837375" w:rsidRPr="006571C5" w:rsidRDefault="00837375" w:rsidP="003356AE">
      <w:pPr>
        <w:spacing w:line="240" w:lineRule="auto"/>
        <w:rPr>
          <w:rFonts w:cs="Arial"/>
        </w:rPr>
      </w:pPr>
    </w:p>
    <w:p w14:paraId="40E2597B" w14:textId="77777777" w:rsidR="00EA47B5" w:rsidRPr="006571C5" w:rsidRDefault="00EA47B5" w:rsidP="003356AE">
      <w:pPr>
        <w:spacing w:line="240" w:lineRule="auto"/>
        <w:rPr>
          <w:rFonts w:cs="Arial"/>
        </w:rPr>
      </w:pPr>
    </w:p>
    <w:p w14:paraId="468FA072" w14:textId="77777777" w:rsidR="00EA47B5" w:rsidRPr="006571C5" w:rsidRDefault="00EA47B5" w:rsidP="003356AE">
      <w:pPr>
        <w:spacing w:line="240" w:lineRule="auto"/>
        <w:rPr>
          <w:rFonts w:cs="Arial"/>
        </w:rPr>
      </w:pPr>
    </w:p>
    <w:p w14:paraId="0F0B0A50" w14:textId="77777777" w:rsidR="00EA47B5" w:rsidRPr="006571C5" w:rsidRDefault="00EA47B5" w:rsidP="003356AE">
      <w:pPr>
        <w:spacing w:line="240" w:lineRule="auto"/>
        <w:jc w:val="left"/>
        <w:rPr>
          <w:rFonts w:cs="Arial"/>
        </w:rPr>
      </w:pPr>
      <w:r w:rsidRPr="006571C5">
        <w:rPr>
          <w:rFonts w:cs="Arial"/>
        </w:rPr>
        <w:br w:type="page"/>
      </w:r>
    </w:p>
    <w:p w14:paraId="35974AD2" w14:textId="77777777" w:rsidR="00EA47B5" w:rsidRPr="00C05BF3" w:rsidRDefault="00EA47B5" w:rsidP="003356AE">
      <w:pPr>
        <w:pStyle w:val="VAHeadingLevel2"/>
        <w:spacing w:line="240" w:lineRule="auto"/>
      </w:pPr>
      <w:r w:rsidRPr="00C05BF3">
        <w:lastRenderedPageBreak/>
        <w:t>Actions</w:t>
      </w:r>
    </w:p>
    <w:p w14:paraId="081E3721" w14:textId="77777777" w:rsidR="00EA47B5" w:rsidRPr="00C05BF3" w:rsidRDefault="00EA47B5" w:rsidP="003356AE">
      <w:pPr>
        <w:spacing w:line="240" w:lineRule="auto"/>
        <w:rPr>
          <w:rFonts w:cs="Arial"/>
        </w:rPr>
      </w:pPr>
      <w:r w:rsidRPr="00C05BF3">
        <w:rPr>
          <w:rFonts w:cs="Arial"/>
        </w:rPr>
        <w:t>Good progress has been made on implementing the recommendations to date identified in the governance statements for previous years as follows:</w:t>
      </w:r>
    </w:p>
    <w:p w14:paraId="0A35A27E" w14:textId="77777777" w:rsidR="00EA47B5" w:rsidRPr="00C05BF3" w:rsidRDefault="00EA47B5" w:rsidP="003356AE">
      <w:pPr>
        <w:spacing w:line="240" w:lineRule="auto"/>
        <w:rPr>
          <w:rFonts w:cs="Arial"/>
        </w:rPr>
      </w:pPr>
    </w:p>
    <w:tbl>
      <w:tblPr>
        <w:tblStyle w:val="TableGrid"/>
        <w:tblW w:w="9356" w:type="dxa"/>
        <w:tblInd w:w="-5" w:type="dxa"/>
        <w:tblLayout w:type="fixed"/>
        <w:tblLook w:val="04A0" w:firstRow="1" w:lastRow="0" w:firstColumn="1" w:lastColumn="0" w:noHBand="0" w:noVBand="1"/>
      </w:tblPr>
      <w:tblGrid>
        <w:gridCol w:w="2694"/>
        <w:gridCol w:w="3331"/>
        <w:gridCol w:w="3331"/>
      </w:tblGrid>
      <w:tr w:rsidR="00E37D69" w:rsidRPr="00BB23C6" w14:paraId="44D64F3F" w14:textId="77777777">
        <w:tc>
          <w:tcPr>
            <w:tcW w:w="9356" w:type="dxa"/>
            <w:gridSpan w:val="3"/>
            <w:shd w:val="clear" w:color="auto" w:fill="25316C"/>
          </w:tcPr>
          <w:p w14:paraId="73F19A31" w14:textId="62892CF2" w:rsidR="00E37D69" w:rsidRPr="00BB23C6" w:rsidRDefault="00E37D69" w:rsidP="003356AE">
            <w:pPr>
              <w:spacing w:line="240" w:lineRule="auto"/>
              <w:jc w:val="center"/>
              <w:rPr>
                <w:rFonts w:asciiTheme="minorHAnsi" w:hAnsiTheme="minorHAnsi" w:cstheme="minorHAnsi"/>
                <w:b/>
                <w:color w:val="FFFFFF" w:themeColor="background1"/>
                <w:szCs w:val="22"/>
              </w:rPr>
            </w:pPr>
            <w:r w:rsidRPr="00BB23C6">
              <w:rPr>
                <w:rFonts w:asciiTheme="minorHAnsi" w:hAnsiTheme="minorHAnsi" w:cstheme="minorHAnsi"/>
                <w:b/>
                <w:color w:val="FFFFFF" w:themeColor="background1"/>
                <w:szCs w:val="22"/>
              </w:rPr>
              <w:t>Progress on 202</w:t>
            </w:r>
            <w:r w:rsidR="00BB23C6">
              <w:rPr>
                <w:rFonts w:asciiTheme="minorHAnsi" w:hAnsiTheme="minorHAnsi" w:cstheme="minorHAnsi"/>
                <w:b/>
                <w:color w:val="FFFFFF" w:themeColor="background1"/>
                <w:szCs w:val="22"/>
              </w:rPr>
              <w:t>5</w:t>
            </w:r>
            <w:r w:rsidRPr="00BB23C6">
              <w:rPr>
                <w:rFonts w:asciiTheme="minorHAnsi" w:hAnsiTheme="minorHAnsi" w:cstheme="minorHAnsi"/>
                <w:b/>
                <w:color w:val="FFFFFF" w:themeColor="background1"/>
                <w:szCs w:val="22"/>
              </w:rPr>
              <w:t>/2</w:t>
            </w:r>
            <w:r w:rsidR="00BB23C6">
              <w:rPr>
                <w:rFonts w:asciiTheme="minorHAnsi" w:hAnsiTheme="minorHAnsi" w:cstheme="minorHAnsi"/>
                <w:b/>
                <w:color w:val="FFFFFF" w:themeColor="background1"/>
                <w:szCs w:val="22"/>
              </w:rPr>
              <w:t>6</w:t>
            </w:r>
            <w:r w:rsidRPr="00BB23C6">
              <w:rPr>
                <w:rFonts w:asciiTheme="minorHAnsi" w:hAnsiTheme="minorHAnsi" w:cstheme="minorHAnsi"/>
                <w:b/>
                <w:color w:val="FFFFFF" w:themeColor="background1"/>
                <w:szCs w:val="22"/>
              </w:rPr>
              <w:t xml:space="preserve"> Internal Control Action Plan</w:t>
            </w:r>
          </w:p>
          <w:p w14:paraId="16B5504D" w14:textId="77777777" w:rsidR="00E37D69" w:rsidRPr="00BB23C6" w:rsidRDefault="00E37D69" w:rsidP="003356AE">
            <w:pPr>
              <w:spacing w:line="240" w:lineRule="auto"/>
              <w:jc w:val="center"/>
              <w:rPr>
                <w:rFonts w:asciiTheme="minorHAnsi" w:hAnsiTheme="minorHAnsi" w:cstheme="minorHAnsi"/>
                <w:b/>
                <w:color w:val="FFFFFF" w:themeColor="background1"/>
              </w:rPr>
            </w:pPr>
          </w:p>
        </w:tc>
      </w:tr>
      <w:tr w:rsidR="007956DB" w:rsidRPr="007956DB" w14:paraId="07ABABFD" w14:textId="77777777">
        <w:trPr>
          <w:trHeight w:val="1285"/>
        </w:trPr>
        <w:tc>
          <w:tcPr>
            <w:tcW w:w="2694" w:type="dxa"/>
          </w:tcPr>
          <w:p w14:paraId="6CAB0358" w14:textId="23E0CA70" w:rsidR="007956DB" w:rsidRPr="007956DB" w:rsidRDefault="007956DB" w:rsidP="007956DB">
            <w:pPr>
              <w:pStyle w:val="ListParagraph"/>
              <w:tabs>
                <w:tab w:val="left" w:pos="2616"/>
              </w:tabs>
              <w:spacing w:line="240" w:lineRule="auto"/>
              <w:ind w:left="28"/>
              <w:jc w:val="left"/>
              <w:rPr>
                <w:rFonts w:asciiTheme="minorHAnsi" w:hAnsiTheme="minorHAnsi" w:cstheme="minorHAnsi"/>
                <w:b/>
                <w:sz w:val="20"/>
                <w:szCs w:val="20"/>
              </w:rPr>
            </w:pPr>
            <w:r w:rsidRPr="007956DB">
              <w:rPr>
                <w:rFonts w:asciiTheme="minorHAnsi" w:hAnsiTheme="minorHAnsi" w:cstheme="minorHAnsi"/>
                <w:b/>
                <w:bCs/>
                <w:sz w:val="20"/>
                <w:szCs w:val="20"/>
              </w:rPr>
              <w:t>Principle G:</w:t>
            </w:r>
            <w:r w:rsidRPr="007956DB">
              <w:rPr>
                <w:rFonts w:asciiTheme="minorHAnsi" w:hAnsiTheme="minorHAnsi" w:cstheme="minorHAnsi"/>
                <w:sz w:val="20"/>
                <w:szCs w:val="20"/>
              </w:rPr>
              <w:t xml:space="preserve"> Implementing good practices in transparency, reporting and accountability.</w:t>
            </w:r>
          </w:p>
        </w:tc>
        <w:tc>
          <w:tcPr>
            <w:tcW w:w="3331" w:type="dxa"/>
          </w:tcPr>
          <w:p w14:paraId="77AC308A" w14:textId="01C2F2D9"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
                <w:szCs w:val="20"/>
              </w:rPr>
              <w:t>Recommendation 1:</w:t>
            </w:r>
            <w:r w:rsidRPr="007956DB">
              <w:rPr>
                <w:rFonts w:asciiTheme="minorHAnsi" w:hAnsiTheme="minorHAnsi" w:cstheme="minorHAnsi"/>
                <w:szCs w:val="20"/>
              </w:rPr>
              <w:t xml:space="preserve"> To improve the consistent application of governance principles to option appraisals and investment decisions, ensuring business cases are robust and go through all the appropriate channels for well-informed decision-making.</w:t>
            </w:r>
          </w:p>
        </w:tc>
        <w:tc>
          <w:tcPr>
            <w:tcW w:w="3331" w:type="dxa"/>
          </w:tcPr>
          <w:p w14:paraId="1D097899" w14:textId="77777777"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
                <w:szCs w:val="20"/>
              </w:rPr>
              <w:t>Ongoing.</w:t>
            </w:r>
          </w:p>
          <w:p w14:paraId="5B69DF62" w14:textId="0F643E3B"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Cs/>
                <w:szCs w:val="20"/>
              </w:rPr>
              <w:t>Whilst processes are in place provide a more consistent approach, the governance structure has been reviewed for full implementation in 2026/27 which will further solidify these improvements.</w:t>
            </w:r>
          </w:p>
        </w:tc>
      </w:tr>
      <w:tr w:rsidR="007956DB" w:rsidRPr="007956DB" w14:paraId="2849FD3B" w14:textId="77777777">
        <w:trPr>
          <w:trHeight w:val="991"/>
        </w:trPr>
        <w:tc>
          <w:tcPr>
            <w:tcW w:w="2694" w:type="dxa"/>
          </w:tcPr>
          <w:p w14:paraId="5FF1C646" w14:textId="2EEB1F3D" w:rsidR="007956DB" w:rsidRPr="007956DB" w:rsidRDefault="007956DB" w:rsidP="007956DB">
            <w:pPr>
              <w:pStyle w:val="ListParagraph"/>
              <w:tabs>
                <w:tab w:val="left" w:pos="2616"/>
              </w:tabs>
              <w:spacing w:line="240" w:lineRule="auto"/>
              <w:ind w:left="28"/>
              <w:jc w:val="left"/>
              <w:rPr>
                <w:rFonts w:asciiTheme="minorHAnsi" w:hAnsiTheme="minorHAnsi" w:cstheme="minorHAnsi"/>
                <w:b/>
                <w:sz w:val="20"/>
                <w:szCs w:val="20"/>
              </w:rPr>
            </w:pPr>
            <w:r w:rsidRPr="007956DB">
              <w:rPr>
                <w:rFonts w:asciiTheme="minorHAnsi" w:hAnsiTheme="minorHAnsi" w:cstheme="minorHAnsi"/>
                <w:b/>
                <w:sz w:val="20"/>
                <w:szCs w:val="20"/>
              </w:rPr>
              <w:t xml:space="preserve">Principle G: </w:t>
            </w:r>
            <w:r w:rsidRPr="007956DB">
              <w:rPr>
                <w:rFonts w:asciiTheme="minorHAnsi" w:hAnsiTheme="minorHAnsi" w:cstheme="minorHAnsi"/>
                <w:bCs/>
                <w:sz w:val="20"/>
                <w:szCs w:val="20"/>
              </w:rPr>
              <w:t>Implementing good practices in transparency, reporting and accountability</w:t>
            </w:r>
          </w:p>
        </w:tc>
        <w:tc>
          <w:tcPr>
            <w:tcW w:w="3331" w:type="dxa"/>
          </w:tcPr>
          <w:p w14:paraId="59506290" w14:textId="0D1A27AE"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
                <w:szCs w:val="20"/>
              </w:rPr>
              <w:t xml:space="preserve">Recommendation 2: </w:t>
            </w:r>
            <w:r w:rsidRPr="007956DB">
              <w:rPr>
                <w:rFonts w:asciiTheme="minorHAnsi" w:hAnsiTheme="minorHAnsi" w:cstheme="minorHAnsi"/>
                <w:bCs/>
                <w:szCs w:val="20"/>
              </w:rPr>
              <w:t>The Commercial Team are embedded and have Value-for-Money at the core of all activities.  However, there are improvements to be made with regard to ICT contracts and ensuring full and timely involvement of commercial specialists.</w:t>
            </w:r>
          </w:p>
        </w:tc>
        <w:tc>
          <w:tcPr>
            <w:tcW w:w="3331" w:type="dxa"/>
          </w:tcPr>
          <w:p w14:paraId="13B41D33" w14:textId="77777777"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
                <w:szCs w:val="20"/>
              </w:rPr>
              <w:t>Completed.</w:t>
            </w:r>
          </w:p>
          <w:p w14:paraId="2E059C4D" w14:textId="7FD0F71A"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Cs/>
                <w:szCs w:val="20"/>
              </w:rPr>
              <w:t>DDaT and Commercial specialists are now better aligned with clearer pipelines and improved communication.  Full engagement by Commercial has already delivered cashable contractual savings.</w:t>
            </w:r>
          </w:p>
        </w:tc>
      </w:tr>
      <w:tr w:rsidR="007956DB" w:rsidRPr="007956DB" w14:paraId="79D887C4" w14:textId="77777777">
        <w:trPr>
          <w:trHeight w:val="1099"/>
        </w:trPr>
        <w:tc>
          <w:tcPr>
            <w:tcW w:w="2694" w:type="dxa"/>
          </w:tcPr>
          <w:p w14:paraId="3F70F163" w14:textId="77777777" w:rsidR="007956DB" w:rsidRPr="007956DB" w:rsidRDefault="007956DB" w:rsidP="007956DB">
            <w:pPr>
              <w:tabs>
                <w:tab w:val="left" w:pos="2616"/>
              </w:tabs>
              <w:spacing w:line="240" w:lineRule="auto"/>
              <w:jc w:val="left"/>
              <w:rPr>
                <w:rFonts w:asciiTheme="minorHAnsi" w:hAnsiTheme="minorHAnsi" w:cstheme="minorHAnsi"/>
                <w:bCs/>
                <w:szCs w:val="20"/>
              </w:rPr>
            </w:pPr>
            <w:r w:rsidRPr="007956DB">
              <w:rPr>
                <w:rFonts w:asciiTheme="minorHAnsi" w:hAnsiTheme="minorHAnsi" w:cstheme="minorHAnsi"/>
                <w:b/>
                <w:szCs w:val="20"/>
              </w:rPr>
              <w:t xml:space="preserve">Principle G: </w:t>
            </w:r>
            <w:r w:rsidRPr="007956DB">
              <w:rPr>
                <w:rFonts w:asciiTheme="minorHAnsi" w:hAnsiTheme="minorHAnsi" w:cstheme="minorHAnsi"/>
                <w:bCs/>
                <w:szCs w:val="20"/>
              </w:rPr>
              <w:t>Implementing good practices in transparency, reporting and accountability</w:t>
            </w:r>
          </w:p>
          <w:p w14:paraId="3984904F" w14:textId="49FAF18C" w:rsidR="007956DB" w:rsidRPr="007956DB" w:rsidRDefault="007956DB" w:rsidP="007956DB">
            <w:pPr>
              <w:tabs>
                <w:tab w:val="left" w:pos="2616"/>
              </w:tabs>
              <w:spacing w:line="240" w:lineRule="auto"/>
              <w:ind w:left="28"/>
              <w:jc w:val="left"/>
              <w:rPr>
                <w:rFonts w:asciiTheme="minorHAnsi" w:hAnsiTheme="minorHAnsi" w:cstheme="minorHAnsi"/>
                <w:b/>
                <w:szCs w:val="20"/>
              </w:rPr>
            </w:pPr>
          </w:p>
        </w:tc>
        <w:tc>
          <w:tcPr>
            <w:tcW w:w="3331" w:type="dxa"/>
          </w:tcPr>
          <w:p w14:paraId="2DA0F24E" w14:textId="6AE93F20"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
                <w:bCs/>
                <w:szCs w:val="20"/>
              </w:rPr>
              <w:t>Recommendation 3:</w:t>
            </w:r>
            <w:r w:rsidRPr="007956DB">
              <w:rPr>
                <w:rFonts w:asciiTheme="minorHAnsi" w:hAnsiTheme="minorHAnsi" w:cstheme="minorHAnsi"/>
                <w:szCs w:val="20"/>
              </w:rPr>
              <w:t xml:space="preserve"> Take forward the actions Identified from the self-assessment of the CIPFA Financial Management Code.</w:t>
            </w:r>
          </w:p>
        </w:tc>
        <w:tc>
          <w:tcPr>
            <w:tcW w:w="3331" w:type="dxa"/>
          </w:tcPr>
          <w:p w14:paraId="0EA4AEE3" w14:textId="77777777" w:rsidR="007956DB" w:rsidRPr="007956DB" w:rsidRDefault="007956DB" w:rsidP="007956DB">
            <w:pPr>
              <w:spacing w:line="240" w:lineRule="auto"/>
              <w:jc w:val="left"/>
              <w:rPr>
                <w:b/>
                <w:szCs w:val="20"/>
              </w:rPr>
            </w:pPr>
            <w:r w:rsidRPr="007956DB">
              <w:rPr>
                <w:rFonts w:asciiTheme="minorHAnsi" w:hAnsiTheme="minorHAnsi" w:cstheme="minorHAnsi"/>
                <w:b/>
                <w:szCs w:val="20"/>
              </w:rPr>
              <w:t>Ongoing</w:t>
            </w:r>
            <w:r w:rsidRPr="007956DB">
              <w:rPr>
                <w:b/>
                <w:szCs w:val="20"/>
              </w:rPr>
              <w:t>.</w:t>
            </w:r>
          </w:p>
          <w:p w14:paraId="47574400" w14:textId="5ED5F97A" w:rsidR="007956DB" w:rsidRPr="007956DB" w:rsidRDefault="007956DB" w:rsidP="007956DB">
            <w:pPr>
              <w:spacing w:line="240" w:lineRule="auto"/>
              <w:jc w:val="left"/>
              <w:rPr>
                <w:rFonts w:asciiTheme="minorHAnsi" w:hAnsiTheme="minorHAnsi" w:cstheme="minorHAnsi"/>
                <w:b/>
                <w:szCs w:val="20"/>
              </w:rPr>
            </w:pPr>
            <w:r w:rsidRPr="007956DB">
              <w:t>Improvements continue.  No new issues of concern have been raised during the year.</w:t>
            </w:r>
          </w:p>
        </w:tc>
      </w:tr>
      <w:tr w:rsidR="007956DB" w:rsidRPr="00BB23C6" w14:paraId="4FA1B858" w14:textId="77777777">
        <w:trPr>
          <w:trHeight w:val="1099"/>
        </w:trPr>
        <w:tc>
          <w:tcPr>
            <w:tcW w:w="2694" w:type="dxa"/>
          </w:tcPr>
          <w:p w14:paraId="03B5249E" w14:textId="11279880" w:rsidR="007956DB" w:rsidRPr="007956DB" w:rsidRDefault="007956DB" w:rsidP="007956DB">
            <w:pPr>
              <w:tabs>
                <w:tab w:val="left" w:pos="2616"/>
              </w:tabs>
              <w:spacing w:line="240" w:lineRule="auto"/>
              <w:ind w:left="28"/>
              <w:jc w:val="left"/>
              <w:rPr>
                <w:rFonts w:asciiTheme="minorHAnsi" w:hAnsiTheme="minorHAnsi" w:cstheme="minorHAnsi"/>
                <w:b/>
                <w:szCs w:val="20"/>
              </w:rPr>
            </w:pPr>
            <w:r w:rsidRPr="007956DB">
              <w:rPr>
                <w:b/>
                <w:bCs/>
              </w:rPr>
              <w:t>Principle E:</w:t>
            </w:r>
            <w:r w:rsidRPr="007956DB">
              <w:t xml:space="preserve"> Developing Capacity and Capability</w:t>
            </w:r>
            <w:r w:rsidRPr="007956DB">
              <w:rPr>
                <w:rFonts w:asciiTheme="minorHAnsi" w:hAnsiTheme="minorHAnsi" w:cstheme="minorHAnsi"/>
                <w:b/>
                <w:szCs w:val="20"/>
              </w:rPr>
              <w:t xml:space="preserve"> </w:t>
            </w:r>
          </w:p>
        </w:tc>
        <w:tc>
          <w:tcPr>
            <w:tcW w:w="3331" w:type="dxa"/>
          </w:tcPr>
          <w:p w14:paraId="3712334D" w14:textId="77777777" w:rsidR="007956DB" w:rsidRPr="007956DB" w:rsidRDefault="007956DB" w:rsidP="007956DB">
            <w:pPr>
              <w:spacing w:line="240" w:lineRule="auto"/>
              <w:jc w:val="left"/>
              <w:rPr>
                <w:rFonts w:asciiTheme="minorHAnsi" w:hAnsiTheme="minorHAnsi" w:cstheme="minorHAnsi"/>
                <w:b/>
                <w:bCs/>
                <w:szCs w:val="20"/>
              </w:rPr>
            </w:pPr>
            <w:r w:rsidRPr="007956DB">
              <w:rPr>
                <w:rFonts w:asciiTheme="minorHAnsi" w:hAnsiTheme="minorHAnsi" w:cstheme="minorHAnsi"/>
                <w:b/>
                <w:bCs/>
                <w:szCs w:val="20"/>
              </w:rPr>
              <w:t xml:space="preserve">Recommendation 4: </w:t>
            </w:r>
            <w:r w:rsidRPr="007956DB">
              <w:rPr>
                <w:rFonts w:asciiTheme="minorHAnsi" w:hAnsiTheme="minorHAnsi" w:cstheme="minorHAnsi"/>
                <w:szCs w:val="20"/>
              </w:rPr>
              <w:t>Following a review into vetting arrangements, the Force should ensure vetting standards are upheld and the team has sufficient capacity to manage their workload.</w:t>
            </w:r>
          </w:p>
          <w:p w14:paraId="574A783F" w14:textId="3E8278D1" w:rsidR="007956DB" w:rsidRPr="007956DB" w:rsidRDefault="007956DB" w:rsidP="007956DB">
            <w:pPr>
              <w:spacing w:line="240" w:lineRule="auto"/>
              <w:jc w:val="left"/>
              <w:rPr>
                <w:rFonts w:asciiTheme="minorHAnsi" w:hAnsiTheme="minorHAnsi" w:cstheme="minorHAnsi"/>
                <w:b/>
                <w:bCs/>
                <w:szCs w:val="20"/>
              </w:rPr>
            </w:pPr>
          </w:p>
        </w:tc>
        <w:tc>
          <w:tcPr>
            <w:tcW w:w="3331" w:type="dxa"/>
          </w:tcPr>
          <w:p w14:paraId="51D0B44E" w14:textId="77777777"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
                <w:szCs w:val="20"/>
              </w:rPr>
              <w:t>Completed.</w:t>
            </w:r>
          </w:p>
          <w:p w14:paraId="50866A1D" w14:textId="4EA1FF42" w:rsidR="007956DB" w:rsidRPr="007956DB" w:rsidRDefault="007956DB" w:rsidP="007956DB">
            <w:pPr>
              <w:spacing w:line="240" w:lineRule="auto"/>
              <w:jc w:val="left"/>
              <w:rPr>
                <w:rFonts w:asciiTheme="minorHAnsi" w:hAnsiTheme="minorHAnsi" w:cstheme="minorHAnsi"/>
                <w:b/>
                <w:szCs w:val="20"/>
              </w:rPr>
            </w:pPr>
            <w:r w:rsidRPr="007956DB">
              <w:rPr>
                <w:rFonts w:asciiTheme="minorHAnsi" w:hAnsiTheme="minorHAnsi" w:cstheme="minorHAnsi"/>
                <w:bCs/>
                <w:szCs w:val="20"/>
              </w:rPr>
              <w:t>Capacity has been increased, and standards are being upheld.  Volume and backlogs are still an issue but are being addressed separately.</w:t>
            </w:r>
          </w:p>
        </w:tc>
      </w:tr>
    </w:tbl>
    <w:p w14:paraId="5EB483CF" w14:textId="77777777" w:rsidR="00EA47B5" w:rsidRPr="00BB23C6" w:rsidRDefault="00EA47B5" w:rsidP="003356AE">
      <w:pPr>
        <w:spacing w:line="240" w:lineRule="auto"/>
        <w:rPr>
          <w:rFonts w:cs="Arial"/>
          <w:highlight w:val="yellow"/>
        </w:rPr>
      </w:pPr>
    </w:p>
    <w:p w14:paraId="4E317750" w14:textId="77777777" w:rsidR="00EA47B5" w:rsidRPr="00BB23C6" w:rsidRDefault="00EA47B5" w:rsidP="003356AE">
      <w:pPr>
        <w:spacing w:line="240" w:lineRule="auto"/>
        <w:rPr>
          <w:rFonts w:cs="Arial"/>
          <w:highlight w:val="yellow"/>
        </w:rPr>
      </w:pPr>
    </w:p>
    <w:p w14:paraId="5ABB0D1B" w14:textId="77777777" w:rsidR="00EA47B5" w:rsidRPr="00BB23C6" w:rsidRDefault="00EA47B5" w:rsidP="003356AE">
      <w:pPr>
        <w:spacing w:line="240" w:lineRule="auto"/>
        <w:rPr>
          <w:rFonts w:cs="Arial"/>
          <w:highlight w:val="yellow"/>
        </w:rPr>
      </w:pPr>
    </w:p>
    <w:p w14:paraId="54F2A4DE" w14:textId="77777777" w:rsidR="00EA47B5" w:rsidRPr="00BB23C6" w:rsidRDefault="00EA47B5" w:rsidP="003356AE">
      <w:pPr>
        <w:spacing w:line="240" w:lineRule="auto"/>
        <w:rPr>
          <w:rFonts w:cs="Arial"/>
          <w:highlight w:val="yellow"/>
        </w:rPr>
      </w:pPr>
    </w:p>
    <w:p w14:paraId="38F35DD3" w14:textId="77777777" w:rsidR="003C0CE9" w:rsidRPr="00BB23C6" w:rsidRDefault="003C0CE9" w:rsidP="003356AE">
      <w:pPr>
        <w:pStyle w:val="VAHeadingLevel2"/>
        <w:spacing w:line="240" w:lineRule="auto"/>
        <w:rPr>
          <w:highlight w:val="yellow"/>
        </w:rPr>
      </w:pPr>
      <w:r w:rsidRPr="00BB23C6">
        <w:rPr>
          <w:highlight w:val="yellow"/>
        </w:rPr>
        <w:br w:type="page"/>
      </w:r>
    </w:p>
    <w:p w14:paraId="7BABAD3D" w14:textId="09B98A92" w:rsidR="00EA47B5" w:rsidRPr="00BB23C6" w:rsidRDefault="00EA47B5" w:rsidP="003356AE">
      <w:pPr>
        <w:pStyle w:val="VAHeadingLevel2"/>
        <w:spacing w:line="240" w:lineRule="auto"/>
      </w:pPr>
      <w:r w:rsidRPr="00BB23C6">
        <w:lastRenderedPageBreak/>
        <w:t>Actions for 202</w:t>
      </w:r>
      <w:r w:rsidR="00BB23C6" w:rsidRPr="00BB23C6">
        <w:t>6</w:t>
      </w:r>
      <w:r w:rsidRPr="00BB23C6">
        <w:t>/2</w:t>
      </w:r>
      <w:r w:rsidR="00BB23C6" w:rsidRPr="00BB23C6">
        <w:t>7</w:t>
      </w:r>
    </w:p>
    <w:p w14:paraId="04220024" w14:textId="7DAFEEE5" w:rsidR="00EA47B5" w:rsidRPr="00BB23C6" w:rsidRDefault="00EA47B5" w:rsidP="003356AE">
      <w:pPr>
        <w:spacing w:line="240" w:lineRule="auto"/>
        <w:rPr>
          <w:rFonts w:cs="Arial"/>
        </w:rPr>
      </w:pPr>
      <w:r w:rsidRPr="00BB23C6">
        <w:rPr>
          <w:rFonts w:cs="Arial"/>
        </w:rPr>
        <w:t>Following the assessment of internal controls, the following areas have been recommended to improve internal controls for 202</w:t>
      </w:r>
      <w:r w:rsidR="00BB23C6" w:rsidRPr="00BB23C6">
        <w:rPr>
          <w:rFonts w:cs="Arial"/>
        </w:rPr>
        <w:t>6</w:t>
      </w:r>
      <w:r w:rsidRPr="00BB23C6">
        <w:rPr>
          <w:rFonts w:cs="Arial"/>
        </w:rPr>
        <w:t>/</w:t>
      </w:r>
      <w:r w:rsidR="00BB23C6" w:rsidRPr="00BB23C6">
        <w:rPr>
          <w:rFonts w:cs="Arial"/>
        </w:rPr>
        <w:t>27</w:t>
      </w:r>
      <w:r w:rsidRPr="00BB23C6">
        <w:rPr>
          <w:rFonts w:cs="Arial"/>
        </w:rPr>
        <w:t>:</w:t>
      </w:r>
    </w:p>
    <w:p w14:paraId="276C05AC" w14:textId="77777777" w:rsidR="00EA47B5" w:rsidRPr="00BB23C6" w:rsidRDefault="00EA47B5" w:rsidP="003356AE">
      <w:pPr>
        <w:spacing w:line="240" w:lineRule="auto"/>
        <w:rPr>
          <w:rFonts w:cs="Arial"/>
        </w:rPr>
      </w:pPr>
    </w:p>
    <w:tbl>
      <w:tblPr>
        <w:tblStyle w:val="TableGrid"/>
        <w:tblW w:w="9356" w:type="dxa"/>
        <w:tblInd w:w="-5" w:type="dxa"/>
        <w:tblLayout w:type="fixed"/>
        <w:tblLook w:val="04A0" w:firstRow="1" w:lastRow="0" w:firstColumn="1" w:lastColumn="0" w:noHBand="0" w:noVBand="1"/>
      </w:tblPr>
      <w:tblGrid>
        <w:gridCol w:w="2694"/>
        <w:gridCol w:w="6662"/>
      </w:tblGrid>
      <w:tr w:rsidR="0069783D" w:rsidRPr="00BB23C6" w14:paraId="1A234A8E" w14:textId="77777777">
        <w:tc>
          <w:tcPr>
            <w:tcW w:w="9356" w:type="dxa"/>
            <w:gridSpan w:val="2"/>
            <w:shd w:val="clear" w:color="auto" w:fill="25316C"/>
          </w:tcPr>
          <w:p w14:paraId="01B2C8E9" w14:textId="78D9440A" w:rsidR="0069783D" w:rsidRPr="00BB23C6" w:rsidRDefault="0069783D" w:rsidP="003356AE">
            <w:pPr>
              <w:spacing w:line="240" w:lineRule="auto"/>
              <w:jc w:val="center"/>
              <w:rPr>
                <w:rFonts w:asciiTheme="minorHAnsi" w:hAnsiTheme="minorHAnsi" w:cstheme="minorHAnsi"/>
                <w:b/>
                <w:color w:val="FFFFFF" w:themeColor="background1"/>
                <w:szCs w:val="22"/>
              </w:rPr>
            </w:pPr>
            <w:r w:rsidRPr="00BB23C6">
              <w:rPr>
                <w:rFonts w:asciiTheme="minorHAnsi" w:hAnsiTheme="minorHAnsi" w:cstheme="minorHAnsi"/>
                <w:b/>
                <w:color w:val="FFFFFF" w:themeColor="background1"/>
                <w:szCs w:val="22"/>
              </w:rPr>
              <w:t>202</w:t>
            </w:r>
            <w:r w:rsidR="00BB23C6">
              <w:rPr>
                <w:rFonts w:asciiTheme="minorHAnsi" w:hAnsiTheme="minorHAnsi" w:cstheme="minorHAnsi"/>
                <w:b/>
                <w:color w:val="FFFFFF" w:themeColor="background1"/>
                <w:szCs w:val="22"/>
              </w:rPr>
              <w:t>6</w:t>
            </w:r>
            <w:r w:rsidRPr="00BB23C6">
              <w:rPr>
                <w:rFonts w:asciiTheme="minorHAnsi" w:hAnsiTheme="minorHAnsi" w:cstheme="minorHAnsi"/>
                <w:b/>
                <w:color w:val="FFFFFF" w:themeColor="background1"/>
                <w:szCs w:val="22"/>
              </w:rPr>
              <w:t>/2</w:t>
            </w:r>
            <w:r w:rsidR="00BB23C6">
              <w:rPr>
                <w:rFonts w:asciiTheme="minorHAnsi" w:hAnsiTheme="minorHAnsi" w:cstheme="minorHAnsi"/>
                <w:b/>
                <w:color w:val="FFFFFF" w:themeColor="background1"/>
                <w:szCs w:val="22"/>
              </w:rPr>
              <w:t>7</w:t>
            </w:r>
            <w:r w:rsidRPr="00BB23C6">
              <w:rPr>
                <w:rFonts w:asciiTheme="minorHAnsi" w:hAnsiTheme="minorHAnsi" w:cstheme="minorHAnsi"/>
                <w:b/>
                <w:color w:val="FFFFFF" w:themeColor="background1"/>
                <w:szCs w:val="22"/>
              </w:rPr>
              <w:t xml:space="preserve"> Internal Control Action Plan</w:t>
            </w:r>
          </w:p>
          <w:p w14:paraId="42D25568" w14:textId="77777777" w:rsidR="0069783D" w:rsidRPr="00BB23C6" w:rsidRDefault="0069783D" w:rsidP="003356AE">
            <w:pPr>
              <w:spacing w:line="240" w:lineRule="auto"/>
              <w:jc w:val="center"/>
              <w:rPr>
                <w:rFonts w:asciiTheme="minorHAnsi" w:hAnsiTheme="minorHAnsi" w:cstheme="minorHAnsi"/>
                <w:b/>
                <w:color w:val="FFFFFF" w:themeColor="background1"/>
              </w:rPr>
            </w:pPr>
          </w:p>
        </w:tc>
      </w:tr>
      <w:tr w:rsidR="003E160D" w:rsidRPr="00BB23C6" w14:paraId="0A32A2B8" w14:textId="77777777">
        <w:trPr>
          <w:trHeight w:val="1285"/>
        </w:trPr>
        <w:tc>
          <w:tcPr>
            <w:tcW w:w="2694" w:type="dxa"/>
          </w:tcPr>
          <w:p w14:paraId="56EFF6E9" w14:textId="792B73FC" w:rsidR="003E160D" w:rsidRPr="00BB23C6" w:rsidRDefault="003E160D" w:rsidP="003E160D">
            <w:pPr>
              <w:pStyle w:val="ListParagraph"/>
              <w:tabs>
                <w:tab w:val="left" w:pos="2616"/>
              </w:tabs>
              <w:spacing w:line="240" w:lineRule="auto"/>
              <w:ind w:left="28"/>
              <w:jc w:val="left"/>
              <w:rPr>
                <w:rFonts w:asciiTheme="minorHAnsi" w:hAnsiTheme="minorHAnsi" w:cstheme="minorHAnsi"/>
                <w:b/>
                <w:sz w:val="20"/>
                <w:szCs w:val="20"/>
                <w:highlight w:val="yellow"/>
              </w:rPr>
            </w:pPr>
            <w:r w:rsidRPr="000C7EC1">
              <w:rPr>
                <w:rFonts w:asciiTheme="minorHAnsi" w:hAnsiTheme="minorHAnsi" w:cstheme="minorHAnsi"/>
                <w:b/>
                <w:bCs/>
                <w:sz w:val="20"/>
                <w:szCs w:val="20"/>
              </w:rPr>
              <w:t>Principle G:</w:t>
            </w:r>
            <w:r w:rsidRPr="000C7EC1">
              <w:rPr>
                <w:rFonts w:asciiTheme="minorHAnsi" w:hAnsiTheme="minorHAnsi" w:cstheme="minorHAnsi"/>
                <w:sz w:val="20"/>
                <w:szCs w:val="20"/>
              </w:rPr>
              <w:t xml:space="preserve"> Implementing good practices in transparency, reporting and accountability.</w:t>
            </w:r>
          </w:p>
        </w:tc>
        <w:tc>
          <w:tcPr>
            <w:tcW w:w="6662" w:type="dxa"/>
          </w:tcPr>
          <w:p w14:paraId="4EE033DE" w14:textId="130D72ED" w:rsidR="003E160D" w:rsidRPr="00BB23C6" w:rsidRDefault="003E160D" w:rsidP="003E160D">
            <w:pPr>
              <w:spacing w:line="240" w:lineRule="auto"/>
              <w:jc w:val="left"/>
              <w:rPr>
                <w:rFonts w:asciiTheme="minorHAnsi" w:hAnsiTheme="minorHAnsi" w:cstheme="minorHAnsi"/>
                <w:b/>
                <w:szCs w:val="20"/>
                <w:highlight w:val="yellow"/>
              </w:rPr>
            </w:pPr>
            <w:r w:rsidRPr="000C7EC1">
              <w:rPr>
                <w:rFonts w:asciiTheme="minorHAnsi" w:hAnsiTheme="minorHAnsi" w:cstheme="minorHAnsi"/>
                <w:b/>
                <w:szCs w:val="20"/>
              </w:rPr>
              <w:t>Recommendation 1:</w:t>
            </w:r>
            <w:r w:rsidRPr="000C7EC1">
              <w:rPr>
                <w:rFonts w:asciiTheme="minorHAnsi" w:hAnsiTheme="minorHAnsi" w:cstheme="minorHAnsi"/>
                <w:szCs w:val="20"/>
              </w:rPr>
              <w:t xml:space="preserve"> To improve the consistent application of governance principles to option appraisals and investment decisions, ensuring business cases are robust and go through all the appropriate channels for well-informed decision-making.</w:t>
            </w:r>
          </w:p>
        </w:tc>
      </w:tr>
      <w:tr w:rsidR="003E160D" w:rsidRPr="00BB23C6" w14:paraId="6273878A" w14:textId="77777777">
        <w:trPr>
          <w:trHeight w:val="991"/>
        </w:trPr>
        <w:tc>
          <w:tcPr>
            <w:tcW w:w="2694" w:type="dxa"/>
          </w:tcPr>
          <w:p w14:paraId="05FEA2A0" w14:textId="77777777" w:rsidR="003E160D" w:rsidRPr="00851ADD" w:rsidRDefault="003E160D" w:rsidP="003E160D">
            <w:pPr>
              <w:tabs>
                <w:tab w:val="left" w:pos="2616"/>
              </w:tabs>
              <w:spacing w:line="240" w:lineRule="auto"/>
              <w:jc w:val="left"/>
              <w:rPr>
                <w:rFonts w:asciiTheme="minorHAnsi" w:hAnsiTheme="minorHAnsi" w:cstheme="minorHAnsi"/>
                <w:bCs/>
                <w:szCs w:val="20"/>
              </w:rPr>
            </w:pPr>
            <w:r w:rsidRPr="00851ADD">
              <w:rPr>
                <w:rFonts w:asciiTheme="minorHAnsi" w:hAnsiTheme="minorHAnsi" w:cstheme="minorHAnsi"/>
                <w:b/>
                <w:szCs w:val="20"/>
              </w:rPr>
              <w:t xml:space="preserve">Principle G: </w:t>
            </w:r>
            <w:r w:rsidRPr="00851ADD">
              <w:rPr>
                <w:rFonts w:asciiTheme="minorHAnsi" w:hAnsiTheme="minorHAnsi" w:cstheme="minorHAnsi"/>
                <w:bCs/>
                <w:szCs w:val="20"/>
              </w:rPr>
              <w:t>Implementing good practices in transparency, reporting and accountability</w:t>
            </w:r>
          </w:p>
          <w:p w14:paraId="539922DE" w14:textId="1F0C7CDC" w:rsidR="003E160D" w:rsidRPr="00BB23C6" w:rsidRDefault="003E160D" w:rsidP="003E160D">
            <w:pPr>
              <w:pStyle w:val="ListParagraph"/>
              <w:tabs>
                <w:tab w:val="left" w:pos="2616"/>
              </w:tabs>
              <w:spacing w:line="240" w:lineRule="auto"/>
              <w:ind w:left="28"/>
              <w:jc w:val="left"/>
              <w:rPr>
                <w:rFonts w:asciiTheme="minorHAnsi" w:hAnsiTheme="minorHAnsi" w:cstheme="minorHAnsi"/>
                <w:b/>
                <w:sz w:val="20"/>
                <w:szCs w:val="20"/>
                <w:highlight w:val="yellow"/>
              </w:rPr>
            </w:pPr>
          </w:p>
        </w:tc>
        <w:tc>
          <w:tcPr>
            <w:tcW w:w="6662" w:type="dxa"/>
          </w:tcPr>
          <w:p w14:paraId="34DB7711" w14:textId="14B19444" w:rsidR="003E160D" w:rsidRPr="00BB23C6" w:rsidRDefault="003E160D" w:rsidP="003E160D">
            <w:pPr>
              <w:spacing w:line="240" w:lineRule="auto"/>
              <w:jc w:val="left"/>
              <w:rPr>
                <w:rFonts w:asciiTheme="minorHAnsi" w:hAnsiTheme="minorHAnsi" w:cstheme="minorHAnsi"/>
                <w:b/>
                <w:szCs w:val="20"/>
                <w:highlight w:val="yellow"/>
              </w:rPr>
            </w:pPr>
            <w:r w:rsidRPr="00851ADD">
              <w:rPr>
                <w:rFonts w:asciiTheme="minorHAnsi" w:hAnsiTheme="minorHAnsi" w:cstheme="minorHAnsi"/>
                <w:b/>
                <w:bCs/>
                <w:szCs w:val="20"/>
              </w:rPr>
              <w:t xml:space="preserve">Recommendation </w:t>
            </w:r>
            <w:r>
              <w:rPr>
                <w:rFonts w:asciiTheme="minorHAnsi" w:hAnsiTheme="minorHAnsi" w:cstheme="minorHAnsi"/>
                <w:b/>
                <w:bCs/>
                <w:szCs w:val="20"/>
              </w:rPr>
              <w:t>2</w:t>
            </w:r>
            <w:r w:rsidRPr="00851ADD">
              <w:rPr>
                <w:rFonts w:asciiTheme="minorHAnsi" w:hAnsiTheme="minorHAnsi" w:cstheme="minorHAnsi"/>
                <w:b/>
                <w:bCs/>
                <w:szCs w:val="20"/>
              </w:rPr>
              <w:t>:</w:t>
            </w:r>
            <w:r w:rsidRPr="00851ADD">
              <w:rPr>
                <w:rFonts w:asciiTheme="minorHAnsi" w:hAnsiTheme="minorHAnsi" w:cstheme="minorHAnsi"/>
                <w:szCs w:val="20"/>
              </w:rPr>
              <w:t xml:space="preserve"> Take forward the actions Identified from the self-assessment of the CIPFA Financial Management Code.</w:t>
            </w:r>
          </w:p>
        </w:tc>
      </w:tr>
      <w:tr w:rsidR="003E160D" w:rsidRPr="00BB23C6" w14:paraId="3B655581" w14:textId="77777777">
        <w:trPr>
          <w:trHeight w:val="1099"/>
        </w:trPr>
        <w:tc>
          <w:tcPr>
            <w:tcW w:w="2694" w:type="dxa"/>
          </w:tcPr>
          <w:p w14:paraId="40F54A30" w14:textId="58D547B3" w:rsidR="00422003" w:rsidRPr="00BB23C6" w:rsidRDefault="00FF473F" w:rsidP="003E160D">
            <w:pPr>
              <w:tabs>
                <w:tab w:val="left" w:pos="2616"/>
              </w:tabs>
              <w:spacing w:line="240" w:lineRule="auto"/>
              <w:ind w:left="28"/>
              <w:jc w:val="left"/>
              <w:rPr>
                <w:rFonts w:asciiTheme="minorHAnsi" w:hAnsiTheme="minorHAnsi" w:cstheme="minorHAnsi"/>
                <w:b/>
                <w:szCs w:val="20"/>
                <w:highlight w:val="yellow"/>
              </w:rPr>
            </w:pPr>
            <w:r w:rsidRPr="007956DB">
              <w:rPr>
                <w:b/>
                <w:bCs/>
              </w:rPr>
              <w:t>Principle E:</w:t>
            </w:r>
            <w:r w:rsidRPr="007956DB">
              <w:t xml:space="preserve"> Developing Capacity and Capability</w:t>
            </w:r>
            <w:r w:rsidRPr="007956DB">
              <w:rPr>
                <w:rFonts w:asciiTheme="minorHAnsi" w:hAnsiTheme="minorHAnsi" w:cstheme="minorHAnsi"/>
                <w:b/>
                <w:szCs w:val="20"/>
              </w:rPr>
              <w:t xml:space="preserve"> </w:t>
            </w:r>
          </w:p>
        </w:tc>
        <w:tc>
          <w:tcPr>
            <w:tcW w:w="6662" w:type="dxa"/>
          </w:tcPr>
          <w:p w14:paraId="1D2BFBBD" w14:textId="3CAC0E2F" w:rsidR="003E160D" w:rsidRPr="00BB23C6" w:rsidRDefault="003E160D" w:rsidP="003E160D">
            <w:pPr>
              <w:spacing w:line="240" w:lineRule="auto"/>
              <w:jc w:val="left"/>
              <w:rPr>
                <w:rFonts w:asciiTheme="minorHAnsi" w:hAnsiTheme="minorHAnsi" w:cstheme="minorHAnsi"/>
                <w:b/>
                <w:szCs w:val="20"/>
                <w:highlight w:val="yellow"/>
              </w:rPr>
            </w:pPr>
            <w:r w:rsidRPr="005B5E6E">
              <w:rPr>
                <w:rFonts w:asciiTheme="minorHAnsi" w:hAnsiTheme="minorHAnsi" w:cstheme="minorHAnsi"/>
                <w:b/>
                <w:bCs/>
                <w:szCs w:val="20"/>
              </w:rPr>
              <w:t>Recommendation 3:</w:t>
            </w:r>
            <w:r w:rsidRPr="005B5E6E">
              <w:rPr>
                <w:rFonts w:asciiTheme="minorHAnsi" w:hAnsiTheme="minorHAnsi" w:cstheme="minorHAnsi"/>
                <w:szCs w:val="20"/>
              </w:rPr>
              <w:t xml:space="preserve"> To </w:t>
            </w:r>
            <w:r w:rsidR="00242F3D">
              <w:rPr>
                <w:rFonts w:asciiTheme="minorHAnsi" w:hAnsiTheme="minorHAnsi" w:cstheme="minorHAnsi"/>
                <w:szCs w:val="20"/>
              </w:rPr>
              <w:t>demonstrate that</w:t>
            </w:r>
            <w:r w:rsidRPr="005B5E6E">
              <w:rPr>
                <w:rFonts w:asciiTheme="minorHAnsi" w:hAnsiTheme="minorHAnsi" w:cstheme="minorHAnsi"/>
                <w:szCs w:val="20"/>
              </w:rPr>
              <w:t xml:space="preserve"> </w:t>
            </w:r>
            <w:r w:rsidR="001800AE">
              <w:rPr>
                <w:rFonts w:asciiTheme="minorHAnsi" w:hAnsiTheme="minorHAnsi" w:cstheme="minorHAnsi"/>
                <w:szCs w:val="20"/>
              </w:rPr>
              <w:t xml:space="preserve">there is </w:t>
            </w:r>
            <w:r w:rsidRPr="005B5E6E">
              <w:rPr>
                <w:rFonts w:asciiTheme="minorHAnsi" w:hAnsiTheme="minorHAnsi" w:cstheme="minorHAnsi"/>
                <w:szCs w:val="20"/>
              </w:rPr>
              <w:t xml:space="preserve">an effective delivery plan to make essential improvements, as identified following the latest HMICFRS PEEL Assessment, </w:t>
            </w:r>
            <w:r>
              <w:rPr>
                <w:rFonts w:asciiTheme="minorHAnsi" w:hAnsiTheme="minorHAnsi" w:cstheme="minorHAnsi"/>
                <w:szCs w:val="20"/>
              </w:rPr>
              <w:t xml:space="preserve">and </w:t>
            </w:r>
            <w:r w:rsidRPr="005B5E6E">
              <w:rPr>
                <w:rFonts w:asciiTheme="minorHAnsi" w:hAnsiTheme="minorHAnsi" w:cstheme="minorHAnsi"/>
                <w:szCs w:val="20"/>
              </w:rPr>
              <w:t>addressing causes for concern.</w:t>
            </w:r>
          </w:p>
        </w:tc>
      </w:tr>
      <w:tr w:rsidR="003E160D" w:rsidRPr="00BB23C6" w14:paraId="03A134AF" w14:textId="77777777">
        <w:trPr>
          <w:trHeight w:val="1099"/>
        </w:trPr>
        <w:tc>
          <w:tcPr>
            <w:tcW w:w="2694" w:type="dxa"/>
          </w:tcPr>
          <w:p w14:paraId="18E42407" w14:textId="77777777" w:rsidR="003E160D" w:rsidRPr="009A6857" w:rsidRDefault="003E160D" w:rsidP="003E160D">
            <w:pPr>
              <w:tabs>
                <w:tab w:val="left" w:pos="2616"/>
              </w:tabs>
              <w:spacing w:line="240" w:lineRule="auto"/>
              <w:jc w:val="left"/>
              <w:rPr>
                <w:rFonts w:asciiTheme="minorHAnsi" w:hAnsiTheme="minorHAnsi" w:cstheme="minorHAnsi"/>
                <w:bCs/>
                <w:szCs w:val="20"/>
              </w:rPr>
            </w:pPr>
            <w:r w:rsidRPr="009A6857">
              <w:rPr>
                <w:rFonts w:asciiTheme="minorHAnsi" w:hAnsiTheme="minorHAnsi" w:cstheme="minorHAnsi"/>
                <w:b/>
                <w:szCs w:val="20"/>
              </w:rPr>
              <w:t xml:space="preserve">Principle G: </w:t>
            </w:r>
            <w:r w:rsidRPr="009A6857">
              <w:rPr>
                <w:rFonts w:asciiTheme="minorHAnsi" w:hAnsiTheme="minorHAnsi" w:cstheme="minorHAnsi"/>
                <w:bCs/>
                <w:szCs w:val="20"/>
              </w:rPr>
              <w:t>Implementing good practices in transparency, reporting and accountability</w:t>
            </w:r>
          </w:p>
          <w:p w14:paraId="398E1985" w14:textId="7D6C242F" w:rsidR="003E160D" w:rsidRPr="00BB23C6" w:rsidRDefault="003E160D" w:rsidP="003E160D">
            <w:pPr>
              <w:tabs>
                <w:tab w:val="left" w:pos="2616"/>
              </w:tabs>
              <w:spacing w:line="240" w:lineRule="auto"/>
              <w:ind w:left="28"/>
              <w:jc w:val="left"/>
              <w:rPr>
                <w:rFonts w:asciiTheme="minorHAnsi" w:hAnsiTheme="minorHAnsi" w:cstheme="minorHAnsi"/>
                <w:b/>
                <w:szCs w:val="20"/>
                <w:highlight w:val="yellow"/>
              </w:rPr>
            </w:pPr>
          </w:p>
        </w:tc>
        <w:tc>
          <w:tcPr>
            <w:tcW w:w="6662" w:type="dxa"/>
          </w:tcPr>
          <w:p w14:paraId="114AF4E2" w14:textId="0346E688" w:rsidR="003E160D" w:rsidRPr="00BB23C6" w:rsidRDefault="003E160D" w:rsidP="003E160D">
            <w:pPr>
              <w:spacing w:line="240" w:lineRule="auto"/>
              <w:jc w:val="left"/>
              <w:rPr>
                <w:rFonts w:asciiTheme="minorHAnsi" w:hAnsiTheme="minorHAnsi" w:cstheme="minorHAnsi"/>
                <w:b/>
                <w:szCs w:val="20"/>
                <w:highlight w:val="yellow"/>
              </w:rPr>
            </w:pPr>
            <w:r w:rsidRPr="009A6857">
              <w:rPr>
                <w:rFonts w:asciiTheme="minorHAnsi" w:hAnsiTheme="minorHAnsi" w:cstheme="minorHAnsi"/>
                <w:b/>
                <w:bCs/>
                <w:szCs w:val="20"/>
              </w:rPr>
              <w:t>Recommendation 4:</w:t>
            </w:r>
            <w:r w:rsidRPr="009A6857">
              <w:rPr>
                <w:rFonts w:asciiTheme="minorHAnsi" w:hAnsiTheme="minorHAnsi" w:cstheme="minorHAnsi"/>
                <w:szCs w:val="20"/>
              </w:rPr>
              <w:t xml:space="preserve"> To ensure delivery and management of tangible improvements to the management of information requests (</w:t>
            </w:r>
            <w:proofErr w:type="spellStart"/>
            <w:r w:rsidRPr="009A6857">
              <w:rPr>
                <w:rFonts w:asciiTheme="minorHAnsi" w:hAnsiTheme="minorHAnsi" w:cstheme="minorHAnsi"/>
                <w:szCs w:val="20"/>
              </w:rPr>
              <w:t>eg.</w:t>
            </w:r>
            <w:proofErr w:type="spellEnd"/>
            <w:r w:rsidRPr="009A6857">
              <w:rPr>
                <w:rFonts w:asciiTheme="minorHAnsi" w:hAnsiTheme="minorHAnsi" w:cstheme="minorHAnsi"/>
                <w:szCs w:val="20"/>
              </w:rPr>
              <w:t xml:space="preserve">  FOI/SARs) in light of recommendations by internal audit and internal reviews.</w:t>
            </w:r>
          </w:p>
        </w:tc>
      </w:tr>
      <w:tr w:rsidR="00137C2B" w:rsidRPr="00BB23C6" w14:paraId="0FFB91DD" w14:textId="77777777">
        <w:trPr>
          <w:trHeight w:val="1099"/>
        </w:trPr>
        <w:tc>
          <w:tcPr>
            <w:tcW w:w="2694" w:type="dxa"/>
          </w:tcPr>
          <w:p w14:paraId="7021B77A" w14:textId="4912C096" w:rsidR="00137C2B" w:rsidRPr="009A6857" w:rsidRDefault="00137C2B" w:rsidP="00137C2B">
            <w:pPr>
              <w:tabs>
                <w:tab w:val="left" w:pos="2616"/>
              </w:tabs>
              <w:spacing w:line="240" w:lineRule="auto"/>
              <w:jc w:val="left"/>
              <w:rPr>
                <w:rFonts w:asciiTheme="minorHAnsi" w:hAnsiTheme="minorHAnsi" w:cstheme="minorHAnsi"/>
                <w:b/>
                <w:szCs w:val="20"/>
              </w:rPr>
            </w:pPr>
            <w:r w:rsidRPr="00DB63C4">
              <w:rPr>
                <w:b/>
                <w:bCs/>
              </w:rPr>
              <w:t xml:space="preserve">Principle F: </w:t>
            </w:r>
            <w:r w:rsidRPr="00DB63C4">
              <w:t>Managing Risks and Performance</w:t>
            </w:r>
          </w:p>
        </w:tc>
        <w:tc>
          <w:tcPr>
            <w:tcW w:w="6662" w:type="dxa"/>
          </w:tcPr>
          <w:p w14:paraId="2B0587E4" w14:textId="77777777" w:rsidR="00137C2B" w:rsidRDefault="00137C2B" w:rsidP="00137C2B">
            <w:pPr>
              <w:jc w:val="left"/>
              <w:rPr>
                <w:rFonts w:eastAsia="Times New Roman" w:cs="Arial"/>
                <w:szCs w:val="20"/>
              </w:rPr>
            </w:pPr>
            <w:r w:rsidRPr="002D0CAF">
              <w:rPr>
                <w:b/>
              </w:rPr>
              <w:t xml:space="preserve">Recommendation </w:t>
            </w:r>
            <w:r>
              <w:rPr>
                <w:b/>
              </w:rPr>
              <w:t>4</w:t>
            </w:r>
            <w:r w:rsidRPr="002D0CAF">
              <w:rPr>
                <w:b/>
              </w:rPr>
              <w:t>:</w:t>
            </w:r>
            <w:r w:rsidRPr="002D0CAF">
              <w:t xml:space="preserve"> </w:t>
            </w:r>
            <w:r>
              <w:t xml:space="preserve">To </w:t>
            </w:r>
            <w:r>
              <w:rPr>
                <w:rFonts w:eastAsia="Times New Roman" w:cs="Arial"/>
                <w:szCs w:val="20"/>
              </w:rPr>
              <w:t>establish a single, authoritative source for reporting cyber security training completion and ensure that reporting processes are standardised and documented.  Completion rates should be monitored and assessed.</w:t>
            </w:r>
          </w:p>
          <w:p w14:paraId="5888B7AF" w14:textId="6F7307F7" w:rsidR="00137C2B" w:rsidRPr="009A6857" w:rsidRDefault="00137C2B" w:rsidP="00137C2B">
            <w:pPr>
              <w:spacing w:line="240" w:lineRule="auto"/>
              <w:jc w:val="left"/>
              <w:rPr>
                <w:rFonts w:asciiTheme="minorHAnsi" w:hAnsiTheme="minorHAnsi" w:cstheme="minorHAnsi"/>
                <w:b/>
                <w:bCs/>
                <w:szCs w:val="20"/>
              </w:rPr>
            </w:pPr>
          </w:p>
        </w:tc>
      </w:tr>
    </w:tbl>
    <w:p w14:paraId="23098F62" w14:textId="77777777" w:rsidR="00EA47B5" w:rsidRPr="00BB23C6" w:rsidRDefault="00EA47B5" w:rsidP="003356AE">
      <w:pPr>
        <w:spacing w:line="240" w:lineRule="auto"/>
        <w:rPr>
          <w:rFonts w:cs="Arial"/>
          <w:b/>
          <w:highlight w:val="yellow"/>
          <w:u w:val="single"/>
        </w:rPr>
      </w:pPr>
    </w:p>
    <w:p w14:paraId="40CE60DE" w14:textId="77777777" w:rsidR="00EA47B5" w:rsidRPr="007A76B0" w:rsidRDefault="00EA47B5" w:rsidP="003356AE">
      <w:pPr>
        <w:pStyle w:val="VAHeadingLevel2"/>
        <w:spacing w:line="240" w:lineRule="auto"/>
      </w:pPr>
      <w:r w:rsidRPr="007A76B0">
        <w:t>Conclusion</w:t>
      </w:r>
    </w:p>
    <w:p w14:paraId="4866FC50" w14:textId="77777777" w:rsidR="00EA47B5" w:rsidRPr="007A76B0" w:rsidRDefault="00EA47B5" w:rsidP="003356AE">
      <w:pPr>
        <w:spacing w:line="240" w:lineRule="auto"/>
      </w:pPr>
      <w:r w:rsidRPr="007A76B0">
        <w:t xml:space="preserve">We propose over the coming year to take steps to address the above matters to progress the actions and further enhance our governance arrangements.  </w:t>
      </w:r>
    </w:p>
    <w:p w14:paraId="31EA76D5" w14:textId="77777777" w:rsidR="00EA47B5" w:rsidRPr="007A76B0" w:rsidRDefault="00EA47B5" w:rsidP="003356AE">
      <w:pPr>
        <w:spacing w:line="240" w:lineRule="auto"/>
      </w:pPr>
    </w:p>
    <w:p w14:paraId="0ADDA731" w14:textId="28D375F7" w:rsidR="00EA47B5" w:rsidRPr="007A76B0" w:rsidRDefault="00EA47B5" w:rsidP="003356AE">
      <w:pPr>
        <w:spacing w:line="240" w:lineRule="auto"/>
      </w:pPr>
      <w:r w:rsidRPr="007A76B0">
        <w:t>Looking ahead, there is a clear commitment to continuous improvement, adapting governance arrangements to remain agile, inclusive, and resilient in the face of evolving public expectations, policy developments, and operational pressures</w:t>
      </w:r>
      <w:r w:rsidR="008306B8" w:rsidRPr="007A76B0">
        <w:t xml:space="preserve">.  </w:t>
      </w:r>
      <w:r w:rsidRPr="007A76B0">
        <w:t>Regular review and enhancement of governance processes will help ensure the organisation continues to deliver public value, maintains trust, and upholds the highest standards of public accountability.</w:t>
      </w:r>
    </w:p>
    <w:p w14:paraId="32B5F80D" w14:textId="77777777" w:rsidR="00EA47B5" w:rsidRPr="007A76B0" w:rsidRDefault="00EA47B5" w:rsidP="003356AE">
      <w:pPr>
        <w:spacing w:line="240" w:lineRule="auto"/>
        <w:rPr>
          <w:rFonts w:cs="Arial"/>
        </w:rPr>
        <w:sectPr w:rsidR="00EA47B5" w:rsidRPr="007A76B0" w:rsidSect="007B2945">
          <w:headerReference w:type="default" r:id="rId24"/>
          <w:pgSz w:w="11900" w:h="16840"/>
          <w:pgMar w:top="1418" w:right="1410" w:bottom="1418" w:left="1418" w:header="709" w:footer="0" w:gutter="0"/>
          <w:cols w:space="708"/>
          <w:docGrid w:linePitch="360"/>
        </w:sectPr>
      </w:pPr>
    </w:p>
    <w:p w14:paraId="09F9C698" w14:textId="77777777" w:rsidR="00EA47B5" w:rsidRPr="007A76B0" w:rsidRDefault="00EA47B5" w:rsidP="003356AE">
      <w:pPr>
        <w:pStyle w:val="Normal0"/>
        <w:rPr>
          <w:lang w:val="en-GB"/>
        </w:rPr>
      </w:pPr>
      <w:r w:rsidRPr="007A76B0">
        <w:rPr>
          <w:noProof/>
          <w:lang w:val="en-GB" w:eastAsia="en-GB"/>
        </w:rPr>
        <mc:AlternateContent>
          <mc:Choice Requires="wps">
            <w:drawing>
              <wp:anchor distT="0" distB="0" distL="114300" distR="114300" simplePos="0" relativeHeight="251658246" behindDoc="0" locked="0" layoutInCell="1" allowOverlap="1" wp14:anchorId="128316DB" wp14:editId="4A1099F7">
                <wp:simplePos x="0" y="0"/>
                <wp:positionH relativeFrom="column">
                  <wp:posOffset>1270</wp:posOffset>
                </wp:positionH>
                <wp:positionV relativeFrom="paragraph">
                  <wp:posOffset>44450</wp:posOffset>
                </wp:positionV>
                <wp:extent cx="5659200" cy="0"/>
                <wp:effectExtent l="0" t="0" r="36830" b="19050"/>
                <wp:wrapNone/>
                <wp:docPr id="2" name="Straight Connector 2" descr="P5485#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5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24C08" id="Straight Connector 2" o:spid="_x0000_s1026" alt="P5485#y1"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5pt" to="445.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" strokecolor="black [3200]" strokeweight=".5pt">
                <v:stroke joinstyle="miter"/>
              </v:line>
            </w:pict>
          </mc:Fallback>
        </mc:AlternateContent>
      </w:r>
    </w:p>
    <w:p w14:paraId="4E446DB7" w14:textId="77777777" w:rsidR="00EA47B5" w:rsidRPr="007A76B0" w:rsidRDefault="00EA47B5" w:rsidP="003356AE">
      <w:pPr>
        <w:tabs>
          <w:tab w:val="left" w:pos="4253"/>
        </w:tabs>
        <w:spacing w:line="240" w:lineRule="auto"/>
      </w:pPr>
      <w:r w:rsidRPr="007A76B0">
        <w:t>Signed:</w:t>
      </w:r>
    </w:p>
    <w:p w14:paraId="3231DDAC" w14:textId="77777777" w:rsidR="00EA47B5" w:rsidRPr="007A76B0" w:rsidRDefault="00EA47B5" w:rsidP="003356AE">
      <w:pPr>
        <w:pStyle w:val="Normal0"/>
        <w:rPr>
          <w:rFonts w:ascii="Verdana" w:hAnsi="Verdana"/>
          <w:sz w:val="22"/>
          <w:szCs w:val="22"/>
          <w:lang w:val="en-AU"/>
        </w:rPr>
      </w:pPr>
      <w:r w:rsidRPr="007A76B0">
        <w:rPr>
          <w:rFonts w:ascii="Verdana" w:hAnsi="Verdana"/>
          <w:sz w:val="22"/>
          <w:szCs w:val="22"/>
          <w:lang w:val="en-AU"/>
        </w:rPr>
        <w:tab/>
      </w:r>
      <w:r w:rsidRPr="007A76B0">
        <w:rPr>
          <w:rFonts w:ascii="Verdana" w:hAnsi="Verdana"/>
          <w:sz w:val="22"/>
          <w:szCs w:val="22"/>
          <w:lang w:val="en-AU"/>
        </w:rPr>
        <w:tab/>
      </w:r>
      <w:r w:rsidRPr="007A76B0">
        <w:rPr>
          <w:rFonts w:ascii="Verdana" w:hAnsi="Verdana"/>
          <w:sz w:val="22"/>
          <w:szCs w:val="22"/>
          <w:lang w:val="en-AU"/>
        </w:rPr>
        <w:tab/>
      </w:r>
      <w:r w:rsidRPr="007A76B0">
        <w:rPr>
          <w:rFonts w:ascii="Verdana" w:hAnsi="Verdana"/>
          <w:sz w:val="22"/>
          <w:szCs w:val="22"/>
          <w:lang w:val="en-AU"/>
        </w:rPr>
        <w:tab/>
      </w:r>
    </w:p>
    <w:p w14:paraId="3E11E14E" w14:textId="77777777" w:rsidR="00EA47B5" w:rsidRPr="007A76B0" w:rsidRDefault="00EA47B5" w:rsidP="003356AE">
      <w:pPr>
        <w:pStyle w:val="Normal0"/>
        <w:rPr>
          <w:rFonts w:ascii="Verdana" w:hAnsi="Verdana"/>
          <w:sz w:val="22"/>
          <w:szCs w:val="22"/>
          <w:lang w:val="en-AU"/>
        </w:rPr>
      </w:pPr>
    </w:p>
    <w:p w14:paraId="0990097A" w14:textId="011E563B" w:rsidR="005B60D9" w:rsidRPr="007A76B0" w:rsidRDefault="002929EB" w:rsidP="003356AE">
      <w:pPr>
        <w:pStyle w:val="Normal0"/>
        <w:rPr>
          <w:rFonts w:ascii="Verdana" w:hAnsi="Verdana"/>
          <w:sz w:val="22"/>
          <w:szCs w:val="22"/>
          <w:lang w:val="en-AU"/>
        </w:rPr>
      </w:pPr>
      <w:r w:rsidRPr="007A76B0">
        <w:rPr>
          <w:rFonts w:ascii="Verdana" w:hAnsi="Verdana"/>
          <w:sz w:val="22"/>
          <w:szCs w:val="22"/>
          <w:lang w:val="en-AU"/>
        </w:rPr>
        <w:tab/>
      </w:r>
      <w:r w:rsidRPr="007A76B0">
        <w:rPr>
          <w:rFonts w:ascii="Verdana" w:hAnsi="Verdana"/>
          <w:sz w:val="22"/>
          <w:szCs w:val="22"/>
          <w:lang w:val="en-AU"/>
        </w:rPr>
        <w:tab/>
      </w:r>
      <w:r w:rsidRPr="007A76B0">
        <w:rPr>
          <w:rFonts w:ascii="Verdana" w:hAnsi="Verdana"/>
          <w:sz w:val="22"/>
          <w:szCs w:val="22"/>
          <w:lang w:val="en-AU"/>
        </w:rPr>
        <w:tab/>
      </w:r>
      <w:r w:rsidRPr="007A76B0">
        <w:rPr>
          <w:rFonts w:ascii="Verdana" w:hAnsi="Verdana"/>
          <w:sz w:val="22"/>
          <w:szCs w:val="22"/>
          <w:lang w:val="en-AU"/>
        </w:rPr>
        <w:tab/>
      </w:r>
    </w:p>
    <w:p w14:paraId="4EFD54A9" w14:textId="77777777" w:rsidR="00EA47B5" w:rsidRPr="007A76B0" w:rsidRDefault="00EA47B5" w:rsidP="003356AE">
      <w:pPr>
        <w:tabs>
          <w:tab w:val="left" w:pos="4253"/>
        </w:tabs>
        <w:spacing w:line="240" w:lineRule="auto"/>
        <w:rPr>
          <w:b/>
          <w:bCs/>
        </w:rPr>
      </w:pPr>
      <w:r w:rsidRPr="007A76B0">
        <w:rPr>
          <w:b/>
          <w:bCs/>
        </w:rPr>
        <w:t>Nick Alexander</w:t>
      </w:r>
      <w:r w:rsidRPr="007A76B0">
        <w:rPr>
          <w:b/>
          <w:bCs/>
        </w:rPr>
        <w:tab/>
        <w:t xml:space="preserve">Ivan Balhatchet </w:t>
      </w:r>
    </w:p>
    <w:p w14:paraId="67A5C3BD" w14:textId="77777777" w:rsidR="00EA47B5" w:rsidRPr="007A76B0" w:rsidRDefault="00EA47B5" w:rsidP="003356AE">
      <w:pPr>
        <w:tabs>
          <w:tab w:val="left" w:pos="4253"/>
        </w:tabs>
        <w:spacing w:line="240" w:lineRule="auto"/>
        <w:rPr>
          <w:b/>
          <w:bCs/>
        </w:rPr>
      </w:pPr>
      <w:r w:rsidRPr="007A76B0">
        <w:rPr>
          <w:b/>
          <w:bCs/>
          <w:lang w:eastAsia="en-GB"/>
        </w:rPr>
        <w:t>Chief Finance Officer (s151)</w:t>
      </w:r>
      <w:r w:rsidRPr="007A76B0">
        <w:rPr>
          <w:b/>
          <w:bCs/>
          <w:lang w:eastAsia="en-GB"/>
        </w:rPr>
        <w:tab/>
      </w:r>
      <w:r w:rsidRPr="007A76B0">
        <w:rPr>
          <w:b/>
          <w:bCs/>
        </w:rPr>
        <w:t>Northamptonshire Chief Constable</w:t>
      </w:r>
    </w:p>
    <w:p w14:paraId="5D531C86" w14:textId="2227C156" w:rsidR="00EA47B5" w:rsidRPr="007A76B0" w:rsidRDefault="00EA47B5" w:rsidP="003356AE">
      <w:pPr>
        <w:tabs>
          <w:tab w:val="left" w:pos="4253"/>
        </w:tabs>
        <w:spacing w:line="240" w:lineRule="auto"/>
      </w:pPr>
      <w:r w:rsidRPr="007A76B0">
        <w:t xml:space="preserve">Date: </w:t>
      </w:r>
      <w:r w:rsidR="002929EB" w:rsidRPr="007A76B0">
        <w:tab/>
      </w:r>
      <w:r w:rsidRPr="007A76B0">
        <w:t xml:space="preserve">Date: </w:t>
      </w:r>
    </w:p>
    <w:p w14:paraId="587A2BFA" w14:textId="77777777" w:rsidR="00EA47B5" w:rsidRPr="007A76B0" w:rsidRDefault="00EA47B5" w:rsidP="003356AE">
      <w:pPr>
        <w:tabs>
          <w:tab w:val="left" w:pos="4253"/>
        </w:tabs>
        <w:spacing w:line="240" w:lineRule="auto"/>
      </w:pPr>
    </w:p>
    <w:p w14:paraId="61F5F3DB" w14:textId="77777777" w:rsidR="00EA47B5" w:rsidRPr="004B3B51" w:rsidRDefault="00EA47B5" w:rsidP="003356AE">
      <w:pPr>
        <w:tabs>
          <w:tab w:val="left" w:pos="4253"/>
        </w:tabs>
        <w:spacing w:line="240" w:lineRule="auto"/>
        <w:sectPr w:rsidR="00EA47B5" w:rsidRPr="004B3B51" w:rsidSect="00EA47B5">
          <w:type w:val="continuous"/>
          <w:pgSz w:w="11900" w:h="16840"/>
          <w:pgMar w:top="1418" w:right="1418" w:bottom="1418" w:left="1418" w:header="709" w:footer="0" w:gutter="0"/>
          <w:cols w:space="708"/>
          <w:docGrid w:linePitch="360"/>
        </w:sectPr>
      </w:pPr>
      <w:r w:rsidRPr="00BB23C6">
        <w:rPr>
          <w:noProof/>
          <w:highlight w:val="yellow"/>
          <w:lang w:eastAsia="en-GB"/>
        </w:rPr>
        <mc:AlternateContent>
          <mc:Choice Requires="wps">
            <w:drawing>
              <wp:anchor distT="0" distB="0" distL="114300" distR="114300" simplePos="0" relativeHeight="251658245" behindDoc="0" locked="0" layoutInCell="1" allowOverlap="1" wp14:anchorId="79EF65DE" wp14:editId="7023E297">
                <wp:simplePos x="0" y="0"/>
                <wp:positionH relativeFrom="margin">
                  <wp:align>left</wp:align>
                </wp:positionH>
                <wp:positionV relativeFrom="paragraph">
                  <wp:posOffset>14533</wp:posOffset>
                </wp:positionV>
                <wp:extent cx="5659200" cy="0"/>
                <wp:effectExtent l="0" t="0" r="0" b="0"/>
                <wp:wrapNone/>
                <wp:docPr id="28" name="Straight Connector 28" descr="P5494#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5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A2CCF" id="Straight Connector 28" o:spid="_x0000_s1026" alt="P5494#y1" style="position:absolute;flip:y;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5pt" to="44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" strokecolor="black [3200]" strokeweight=".5pt">
                <v:stroke joinstyle="miter"/>
                <w10:wrap anchorx="margin"/>
              </v:line>
            </w:pict>
          </mc:Fallback>
        </mc:AlternateContent>
      </w:r>
    </w:p>
    <w:p w14:paraId="0D5BA772" w14:textId="771B69B1" w:rsidR="00EA47B5" w:rsidRPr="0071422F" w:rsidRDefault="00EA47B5" w:rsidP="003356AE">
      <w:pPr>
        <w:pStyle w:val="ChapterHeading"/>
        <w:spacing w:line="240" w:lineRule="auto"/>
        <w:rPr>
          <w:noProof/>
        </w:rPr>
      </w:pPr>
      <w:bookmarkStart w:id="266" w:name="_Toc231975677"/>
      <w:r w:rsidRPr="0071422F">
        <w:lastRenderedPageBreak/>
        <w:t>Annual Governance Statement (Collaboration)</w:t>
      </w:r>
      <w:bookmarkEnd w:id="266"/>
    </w:p>
    <w:p w14:paraId="2504DA16" w14:textId="77777777" w:rsidR="003B020C" w:rsidRDefault="003B020C" w:rsidP="005279F6"/>
    <w:p w14:paraId="462F4C85" w14:textId="77777777" w:rsidR="003B020C" w:rsidRDefault="003B020C" w:rsidP="005279F6">
      <w:pPr>
        <w:jc w:val="center"/>
        <w:rPr>
          <w:lang w:val="en-AU"/>
        </w:rPr>
      </w:pPr>
      <w:r>
        <w:rPr>
          <w:noProof/>
          <w:lang w:val="en-AU"/>
        </w:rPr>
        <w:drawing>
          <wp:inline distT="0" distB="0" distL="0" distR="0" wp14:anchorId="4F15C819" wp14:editId="0B87590B">
            <wp:extent cx="3420110" cy="902335"/>
            <wp:effectExtent l="0" t="0" r="8890" b="0"/>
            <wp:docPr id="12066140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14001" name="Picture 1">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0110" cy="902335"/>
                    </a:xfrm>
                    <a:prstGeom prst="rect">
                      <a:avLst/>
                    </a:prstGeom>
                    <a:noFill/>
                  </pic:spPr>
                </pic:pic>
              </a:graphicData>
            </a:graphic>
          </wp:inline>
        </w:drawing>
      </w:r>
    </w:p>
    <w:p w14:paraId="1F976296" w14:textId="77777777" w:rsidR="003B020C" w:rsidRPr="0050411E" w:rsidRDefault="003B020C" w:rsidP="003B020C">
      <w:pPr>
        <w:autoSpaceDE w:val="0"/>
        <w:autoSpaceDN w:val="0"/>
        <w:adjustRightInd w:val="0"/>
        <w:spacing w:after="0"/>
        <w:jc w:val="center"/>
        <w:rPr>
          <w:rFonts w:asciiTheme="minorHAnsi" w:eastAsia="Times New Roman" w:hAnsiTheme="minorHAnsi" w:cstheme="minorHAnsi"/>
          <w:b/>
          <w:color w:val="auto"/>
          <w:szCs w:val="20"/>
          <w:u w:val="single"/>
        </w:rPr>
      </w:pPr>
      <w:r w:rsidRPr="0050411E">
        <w:rPr>
          <w:rFonts w:asciiTheme="minorHAnsi" w:eastAsia="Times New Roman" w:hAnsiTheme="minorHAnsi" w:cstheme="minorHAnsi"/>
          <w:b/>
          <w:color w:val="auto"/>
          <w:szCs w:val="20"/>
          <w:u w:val="single"/>
        </w:rPr>
        <w:t xml:space="preserve">ANNUAL GOVERNANCE STATEMENT </w:t>
      </w:r>
    </w:p>
    <w:p w14:paraId="0DADC6EC" w14:textId="77777777" w:rsidR="003B020C" w:rsidRDefault="003B020C" w:rsidP="003B020C">
      <w:pPr>
        <w:autoSpaceDE w:val="0"/>
        <w:autoSpaceDN w:val="0"/>
        <w:adjustRightInd w:val="0"/>
        <w:spacing w:after="0"/>
        <w:jc w:val="center"/>
        <w:rPr>
          <w:rFonts w:asciiTheme="minorHAnsi" w:eastAsia="Times New Roman" w:hAnsiTheme="minorHAnsi" w:cstheme="minorHAnsi"/>
          <w:b/>
          <w:color w:val="auto"/>
          <w:szCs w:val="20"/>
          <w:u w:val="single"/>
        </w:rPr>
      </w:pPr>
      <w:r w:rsidRPr="0050411E">
        <w:rPr>
          <w:rFonts w:asciiTheme="minorHAnsi" w:eastAsia="Times New Roman" w:hAnsiTheme="minorHAnsi" w:cstheme="minorHAnsi"/>
          <w:b/>
          <w:color w:val="auto"/>
          <w:szCs w:val="20"/>
          <w:u w:val="single"/>
        </w:rPr>
        <w:t>FOR REGIONAL COLLABORATION 202</w:t>
      </w:r>
      <w:r>
        <w:rPr>
          <w:rFonts w:asciiTheme="minorHAnsi" w:eastAsia="Times New Roman" w:hAnsiTheme="minorHAnsi" w:cstheme="minorHAnsi"/>
          <w:b/>
          <w:color w:val="auto"/>
          <w:szCs w:val="20"/>
          <w:u w:val="single"/>
        </w:rPr>
        <w:t>5</w:t>
      </w:r>
      <w:r w:rsidRPr="0050411E">
        <w:rPr>
          <w:rFonts w:asciiTheme="minorHAnsi" w:eastAsia="Times New Roman" w:hAnsiTheme="minorHAnsi" w:cstheme="minorHAnsi"/>
          <w:b/>
          <w:color w:val="auto"/>
          <w:szCs w:val="20"/>
          <w:u w:val="single"/>
        </w:rPr>
        <w:t>/2</w:t>
      </w:r>
      <w:r>
        <w:rPr>
          <w:rFonts w:asciiTheme="minorHAnsi" w:eastAsia="Times New Roman" w:hAnsiTheme="minorHAnsi" w:cstheme="minorHAnsi"/>
          <w:b/>
          <w:color w:val="auto"/>
          <w:szCs w:val="20"/>
          <w:u w:val="single"/>
        </w:rPr>
        <w:t>6</w:t>
      </w:r>
    </w:p>
    <w:p w14:paraId="5EB50893" w14:textId="77777777" w:rsidR="003B020C"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p>
    <w:p w14:paraId="6216DC1F"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I confirm that the relevant controls and procedures are in place to manage the following issues within the East Midlands Special Operations Unit, which includes the Regional Organised Crime Unit, Major Crime, Forensic Services, Counter Terrorism Policing East Midlands, and Legal Services.</w:t>
      </w:r>
    </w:p>
    <w:p w14:paraId="2207809B"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p>
    <w:p w14:paraId="14DD9101" w14:textId="77777777" w:rsidR="003B020C" w:rsidRPr="00990998" w:rsidRDefault="003B020C" w:rsidP="003B020C">
      <w:pPr>
        <w:rPr>
          <w:b/>
          <w:bCs/>
        </w:rPr>
      </w:pPr>
      <w:r w:rsidRPr="00990998">
        <w:rPr>
          <w:b/>
          <w:bCs/>
        </w:rPr>
        <w:t>1. The monitoring processes by which performance against operational, financial and other strategic plans are considered and key issues identified and tasked.</w:t>
      </w:r>
    </w:p>
    <w:p w14:paraId="13108CE9"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b/>
          <w:color w:val="auto"/>
          <w:szCs w:val="20"/>
          <w:u w:val="single"/>
        </w:rPr>
      </w:pPr>
    </w:p>
    <w:p w14:paraId="7CFA8D4C"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ACC (East Midlands) monitors performance. Exceptions are reported to the East Midlands Police &amp; Crime Commissioners and Chief Constables’ (EMPCC/CC) Board on a quarterly basis, with full performance reports reported twice a year.</w:t>
      </w:r>
    </w:p>
    <w:p w14:paraId="330BA7D4"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p>
    <w:p w14:paraId="6132365F" w14:textId="77777777" w:rsidR="003B020C" w:rsidRPr="00990998" w:rsidRDefault="003B020C" w:rsidP="003B020C">
      <w:pPr>
        <w:rPr>
          <w:b/>
          <w:bCs/>
        </w:rPr>
      </w:pPr>
      <w:r w:rsidRPr="00990998">
        <w:rPr>
          <w:b/>
          <w:bCs/>
        </w:rPr>
        <w:t>2. Ensuring compliance with relevant laws and regulations, internal policies and procedures, and that expenditure is lawful.</w:t>
      </w:r>
    </w:p>
    <w:p w14:paraId="5E5CC9DB"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iCs/>
          <w:color w:val="0000FF"/>
          <w:szCs w:val="20"/>
          <w:lang w:val="en-US"/>
        </w:rPr>
      </w:pPr>
    </w:p>
    <w:p w14:paraId="28B8AD41" w14:textId="77777777" w:rsidR="003B020C" w:rsidRPr="00990998" w:rsidRDefault="003B020C" w:rsidP="003B020C">
      <w:pPr>
        <w:spacing w:after="0" w:line="240" w:lineRule="auto"/>
        <w:rPr>
          <w:rFonts w:asciiTheme="minorHAnsi" w:eastAsia="Times New Roman" w:hAnsiTheme="minorHAnsi" w:cstheme="minorHAnsi"/>
          <w:color w:val="auto"/>
          <w:szCs w:val="20"/>
          <w:lang w:val="en-US"/>
        </w:rPr>
      </w:pPr>
      <w:r w:rsidRPr="00990998">
        <w:rPr>
          <w:rFonts w:asciiTheme="minorHAnsi" w:eastAsia="Times New Roman" w:hAnsiTheme="minorHAnsi" w:cstheme="minorHAnsi"/>
          <w:color w:val="auto"/>
          <w:szCs w:val="20"/>
          <w:lang w:val="en-US"/>
        </w:rPr>
        <w:t xml:space="preserve">Compliance is monitored by management review and supported by specialist professional advice where appropriate.  Where areas for improvement are identified these are subject to action plans that are revisited to ensure that they have been attended to. Internal </w:t>
      </w:r>
      <w:r w:rsidRPr="00990998">
        <w:rPr>
          <w:rFonts w:asciiTheme="minorHAnsi" w:eastAsia="Times New Roman" w:hAnsiTheme="minorHAnsi" w:cstheme="minorHAnsi"/>
          <w:color w:val="auto"/>
          <w:szCs w:val="20"/>
        </w:rPr>
        <w:t>Thematic inspections and external audits form part of the monitoring controls to ensure compliance with appropriate policies and regulations and demonstrate the effective and efficient use of resources.</w:t>
      </w:r>
    </w:p>
    <w:p w14:paraId="4FDB5028" w14:textId="77777777" w:rsidR="003B020C" w:rsidRPr="00990998" w:rsidRDefault="003B020C" w:rsidP="003B020C">
      <w:pPr>
        <w:spacing w:after="0" w:line="240" w:lineRule="auto"/>
        <w:rPr>
          <w:rFonts w:asciiTheme="minorHAnsi" w:eastAsia="Times New Roman" w:hAnsiTheme="minorHAnsi" w:cstheme="minorHAnsi"/>
          <w:color w:val="auto"/>
          <w:szCs w:val="20"/>
          <w:lang w:val="en-US"/>
        </w:rPr>
      </w:pPr>
    </w:p>
    <w:p w14:paraId="2B9EFB8E" w14:textId="77777777" w:rsidR="003B020C" w:rsidRPr="00990998" w:rsidRDefault="003B020C" w:rsidP="003B020C">
      <w:pPr>
        <w:rPr>
          <w:b/>
          <w:bCs/>
        </w:rPr>
      </w:pPr>
      <w:r w:rsidRPr="00990998">
        <w:rPr>
          <w:b/>
          <w:bCs/>
        </w:rPr>
        <w:t xml:space="preserve">3. That the appropriate controls are in place for the management of all resources deployed within </w:t>
      </w:r>
      <w:proofErr w:type="gramStart"/>
      <w:r w:rsidRPr="00990998">
        <w:rPr>
          <w:b/>
          <w:bCs/>
        </w:rPr>
        <w:t>Regional</w:t>
      </w:r>
      <w:proofErr w:type="gramEnd"/>
      <w:r w:rsidRPr="00990998">
        <w:rPr>
          <w:b/>
          <w:bCs/>
        </w:rPr>
        <w:t xml:space="preserve"> collaboration</w:t>
      </w:r>
      <w:r>
        <w:rPr>
          <w:b/>
          <w:bCs/>
        </w:rPr>
        <w:t>.</w:t>
      </w:r>
    </w:p>
    <w:p w14:paraId="0D253514"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b/>
          <w:bCs/>
          <w:color w:val="auto"/>
          <w:szCs w:val="20"/>
          <w:u w:val="single"/>
        </w:rPr>
      </w:pPr>
    </w:p>
    <w:p w14:paraId="67720679" w14:textId="77777777" w:rsidR="003B020C" w:rsidRPr="00990998" w:rsidRDefault="003B020C" w:rsidP="003B020C">
      <w:pPr>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 xml:space="preserve">A management structure is in place, with clear lines of accountability for both operational issues and use of resources. A budget is approved each year at the EMPCC/CC’s Board which defines the expenditure targets for each area of policing within EMSOU. Each force actively supports the budget allocation and sets its own precept accordingly. </w:t>
      </w:r>
    </w:p>
    <w:p w14:paraId="1C6F315E" w14:textId="77777777" w:rsidR="003B020C" w:rsidRPr="00990998" w:rsidRDefault="003B020C" w:rsidP="003B020C">
      <w:pPr>
        <w:spacing w:after="0" w:line="240" w:lineRule="auto"/>
        <w:rPr>
          <w:rFonts w:asciiTheme="minorHAnsi" w:eastAsia="Times New Roman" w:hAnsiTheme="minorHAnsi" w:cstheme="minorHAnsi"/>
          <w:color w:val="auto"/>
          <w:szCs w:val="20"/>
        </w:rPr>
      </w:pPr>
    </w:p>
    <w:p w14:paraId="70C59BB7" w14:textId="77777777" w:rsidR="003B020C" w:rsidRPr="00990998" w:rsidRDefault="003B020C" w:rsidP="003B020C">
      <w:pPr>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000000"/>
          <w:spacing w:val="-5"/>
          <w:szCs w:val="20"/>
        </w:rPr>
        <w:t>Management reports showing costs against budget are provided monthly. Unexpected variances are investigated and explained, ready for reporting to quarterly Management Boards and the EMPCC/CC’s Board. Quarterly monitoring reports are shared across the region to provide each force with visibility over expenditure to date and projected outturn position</w:t>
      </w:r>
      <w:r w:rsidRPr="00990998">
        <w:rPr>
          <w:rFonts w:asciiTheme="minorHAnsi" w:eastAsia="Times New Roman" w:hAnsiTheme="minorHAnsi" w:cstheme="minorHAnsi"/>
          <w:color w:val="auto"/>
          <w:szCs w:val="20"/>
        </w:rPr>
        <w:t xml:space="preserve">. </w:t>
      </w:r>
    </w:p>
    <w:p w14:paraId="67F3C100" w14:textId="77777777" w:rsidR="003B020C" w:rsidRPr="00990998" w:rsidRDefault="003B020C" w:rsidP="003B020C">
      <w:pPr>
        <w:spacing w:after="0" w:line="240" w:lineRule="auto"/>
        <w:rPr>
          <w:rFonts w:asciiTheme="minorHAnsi" w:eastAsia="Times New Roman" w:hAnsiTheme="minorHAnsi" w:cstheme="minorHAnsi"/>
          <w:color w:val="auto"/>
          <w:szCs w:val="20"/>
        </w:rPr>
      </w:pPr>
    </w:p>
    <w:p w14:paraId="0D401138" w14:textId="77777777" w:rsidR="003B020C" w:rsidRPr="00990998" w:rsidRDefault="003B020C" w:rsidP="003B020C">
      <w:pPr>
        <w:rPr>
          <w:b/>
          <w:bCs/>
        </w:rPr>
      </w:pPr>
      <w:r w:rsidRPr="00990998">
        <w:rPr>
          <w:b/>
          <w:bCs/>
        </w:rPr>
        <w:t>4. Incorporating good governance arrangements in respect of partnerships.</w:t>
      </w:r>
    </w:p>
    <w:p w14:paraId="6DE13A41"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p>
    <w:p w14:paraId="7484B031"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b/>
          <w:bCs/>
          <w:color w:val="auto"/>
          <w:szCs w:val="20"/>
          <w:u w:val="single"/>
        </w:rPr>
      </w:pPr>
      <w:r w:rsidRPr="00990998">
        <w:rPr>
          <w:rFonts w:asciiTheme="minorHAnsi" w:eastAsia="Times New Roman" w:hAnsiTheme="minorHAnsi" w:cstheme="minorHAnsi"/>
          <w:color w:val="auto"/>
          <w:szCs w:val="20"/>
        </w:rPr>
        <w:t xml:space="preserve">The EMPCC/CC’s Board provides a forum for all members of collaboration to feedback their experiences of the partnership work. All forces can discuss governance, performance and financial issues at the quarterly meetings. The collaboration builds on best practice from across the country and the region to improve performance as well as saving money. </w:t>
      </w:r>
    </w:p>
    <w:p w14:paraId="21684D40" w14:textId="77777777" w:rsidR="003B020C" w:rsidRDefault="003B020C" w:rsidP="003B020C">
      <w:pPr>
        <w:autoSpaceDE w:val="0"/>
        <w:autoSpaceDN w:val="0"/>
        <w:adjustRightInd w:val="0"/>
        <w:spacing w:after="0" w:line="240" w:lineRule="auto"/>
        <w:rPr>
          <w:rFonts w:asciiTheme="minorHAnsi" w:eastAsia="Times New Roman" w:hAnsiTheme="minorHAnsi" w:cstheme="minorHAnsi"/>
          <w:b/>
          <w:bCs/>
          <w:color w:val="auto"/>
          <w:szCs w:val="20"/>
          <w:u w:val="single"/>
        </w:rPr>
      </w:pPr>
    </w:p>
    <w:p w14:paraId="3968570F"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Performance is reported internally to the Performance Management Group and to the 5 EM forces through the Regional Management Board and Joint PCC/CC Board.</w:t>
      </w:r>
    </w:p>
    <w:p w14:paraId="72E0A6E0" w14:textId="77777777" w:rsidR="003B020C" w:rsidRPr="00990998" w:rsidRDefault="003B020C" w:rsidP="003B020C">
      <w:pPr>
        <w:rPr>
          <w:b/>
          <w:bCs/>
        </w:rPr>
      </w:pPr>
      <w:r w:rsidRPr="00990998">
        <w:rPr>
          <w:b/>
          <w:bCs/>
        </w:rPr>
        <w:lastRenderedPageBreak/>
        <w:t>5. Risk Management</w:t>
      </w:r>
    </w:p>
    <w:p w14:paraId="2F6EC3B5" w14:textId="77777777" w:rsidR="003B020C" w:rsidRDefault="003B020C" w:rsidP="003B020C"/>
    <w:p w14:paraId="4756B29F" w14:textId="77777777" w:rsidR="003B020C"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A Risk Management policy and process is in place to support the effective management of risk and to ensure risks are gathered and reported on in a consistent manner. A risk moderation panel is in place to review changes in risk, mitigation and consistency in scoring of risks.</w:t>
      </w:r>
    </w:p>
    <w:p w14:paraId="640F5C9E"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p>
    <w:p w14:paraId="3C6117F4" w14:textId="77777777" w:rsidR="003B020C"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The Risk Management policy is reviewed and updated annually.</w:t>
      </w:r>
    </w:p>
    <w:p w14:paraId="73E0BD76"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p>
    <w:p w14:paraId="0FD13F32"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color w:val="auto"/>
          <w:szCs w:val="20"/>
        </w:rPr>
      </w:pPr>
      <w:r w:rsidRPr="00990998">
        <w:rPr>
          <w:rFonts w:asciiTheme="minorHAnsi" w:eastAsia="Times New Roman" w:hAnsiTheme="minorHAnsi" w:cstheme="minorHAnsi"/>
          <w:color w:val="auto"/>
          <w:szCs w:val="20"/>
        </w:rPr>
        <w:t>Risks are reviewed internally by EMSOU Command and where required escalated through the Regional Risk &amp; Assurance Board, Regional Management Board, Regional DCC's Board and the Joint PCC/CC's Board.</w:t>
      </w:r>
    </w:p>
    <w:p w14:paraId="69722738" w14:textId="77777777" w:rsidR="003B020C" w:rsidRDefault="003B020C" w:rsidP="003B020C">
      <w:pPr>
        <w:autoSpaceDE w:val="0"/>
        <w:autoSpaceDN w:val="0"/>
        <w:adjustRightInd w:val="0"/>
        <w:spacing w:after="0" w:line="240" w:lineRule="auto"/>
        <w:rPr>
          <w:rFonts w:asciiTheme="minorHAnsi" w:eastAsia="Times New Roman" w:hAnsiTheme="minorHAnsi" w:cstheme="minorHAnsi"/>
          <w:b/>
          <w:bCs/>
          <w:color w:val="auto"/>
          <w:szCs w:val="20"/>
        </w:rPr>
      </w:pPr>
    </w:p>
    <w:p w14:paraId="5B57892D"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bCs/>
          <w:color w:val="auto"/>
          <w:szCs w:val="20"/>
        </w:rPr>
      </w:pPr>
      <w:r w:rsidRPr="00990998">
        <w:rPr>
          <w:rFonts w:asciiTheme="minorHAnsi" w:eastAsia="Times New Roman" w:hAnsiTheme="minorHAnsi" w:cstheme="minorHAnsi"/>
          <w:b/>
          <w:bCs/>
          <w:color w:val="auto"/>
          <w:szCs w:val="20"/>
        </w:rPr>
        <w:t>Signed</w:t>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noProof/>
          <w:color w:val="auto"/>
          <w:szCs w:val="20"/>
          <w:lang w:eastAsia="en-GB"/>
        </w:rPr>
        <w:tab/>
      </w:r>
      <w:r w:rsidRPr="00990998">
        <w:rPr>
          <w:rFonts w:asciiTheme="minorHAnsi" w:eastAsia="Times New Roman" w:hAnsiTheme="minorHAnsi" w:cstheme="minorHAnsi"/>
          <w:b/>
          <w:bCs/>
          <w:color w:val="auto"/>
          <w:szCs w:val="20"/>
        </w:rPr>
        <w:t>Date</w:t>
      </w:r>
      <w:r w:rsidRPr="00990998">
        <w:rPr>
          <w:rFonts w:asciiTheme="minorHAnsi" w:eastAsia="Times New Roman" w:hAnsiTheme="minorHAnsi" w:cstheme="minorHAnsi"/>
          <w:b/>
          <w:bCs/>
          <w:color w:val="auto"/>
          <w:szCs w:val="20"/>
        </w:rPr>
        <w:tab/>
      </w:r>
      <w:r w:rsidRPr="00990998">
        <w:rPr>
          <w:rFonts w:asciiTheme="minorHAnsi" w:eastAsia="Times New Roman" w:hAnsiTheme="minorHAnsi" w:cstheme="minorHAnsi"/>
          <w:b/>
          <w:bCs/>
          <w:color w:val="auto"/>
          <w:szCs w:val="20"/>
        </w:rPr>
        <w:tab/>
      </w:r>
      <w:r>
        <w:rPr>
          <w:rFonts w:asciiTheme="minorHAnsi" w:eastAsia="Times New Roman" w:hAnsiTheme="minorHAnsi" w:cstheme="minorHAnsi"/>
          <w:b/>
          <w:bCs/>
          <w:color w:val="auto"/>
          <w:szCs w:val="20"/>
        </w:rPr>
        <w:t>0</w:t>
      </w:r>
      <w:r w:rsidRPr="00990998">
        <w:rPr>
          <w:rFonts w:asciiTheme="minorHAnsi" w:eastAsia="Times New Roman" w:hAnsiTheme="minorHAnsi" w:cstheme="minorHAnsi"/>
          <w:b/>
          <w:bCs/>
          <w:color w:val="auto"/>
          <w:szCs w:val="20"/>
        </w:rPr>
        <w:t>5/05/2025</w:t>
      </w:r>
      <w:r w:rsidRPr="00990998">
        <w:rPr>
          <w:rFonts w:asciiTheme="minorHAnsi" w:eastAsia="Times New Roman" w:hAnsiTheme="minorHAnsi" w:cstheme="minorHAnsi"/>
          <w:b/>
          <w:bCs/>
          <w:color w:val="auto"/>
          <w:szCs w:val="20"/>
        </w:rPr>
        <w:tab/>
      </w:r>
    </w:p>
    <w:p w14:paraId="48366A86" w14:textId="77777777" w:rsidR="003B020C" w:rsidRPr="00990998" w:rsidRDefault="003B020C" w:rsidP="003B020C">
      <w:pPr>
        <w:autoSpaceDE w:val="0"/>
        <w:autoSpaceDN w:val="0"/>
        <w:adjustRightInd w:val="0"/>
        <w:spacing w:after="0" w:line="240" w:lineRule="auto"/>
        <w:rPr>
          <w:rFonts w:asciiTheme="minorHAnsi" w:eastAsia="Times New Roman" w:hAnsiTheme="minorHAnsi" w:cstheme="minorHAnsi"/>
          <w:bCs/>
          <w:color w:val="auto"/>
          <w:szCs w:val="20"/>
        </w:rPr>
      </w:pPr>
      <w:r>
        <w:rPr>
          <w:rFonts w:asciiTheme="minorHAnsi" w:eastAsia="Times New Roman" w:hAnsiTheme="minorHAnsi" w:cstheme="minorHAnsi"/>
          <w:bCs/>
          <w:color w:val="auto"/>
          <w:szCs w:val="20"/>
        </w:rPr>
        <w:t>Ian Green</w:t>
      </w:r>
    </w:p>
    <w:p w14:paraId="6AA17516" w14:textId="77777777" w:rsidR="003B020C" w:rsidRPr="00990998" w:rsidRDefault="003B020C" w:rsidP="003B020C">
      <w:pPr>
        <w:autoSpaceDE w:val="0"/>
        <w:autoSpaceDN w:val="0"/>
        <w:adjustRightInd w:val="0"/>
        <w:spacing w:after="0" w:line="240" w:lineRule="auto"/>
        <w:rPr>
          <w:rFonts w:asciiTheme="minorHAnsi" w:eastAsia="Times New Roman" w:hAnsiTheme="minorHAnsi" w:cs="Times New Roman"/>
          <w:b/>
          <w:bCs/>
          <w:smallCaps/>
          <w:color w:val="990033"/>
          <w:sz w:val="36"/>
          <w:lang w:val="en-AU"/>
        </w:rPr>
      </w:pPr>
      <w:r w:rsidRPr="00990998">
        <w:rPr>
          <w:rFonts w:asciiTheme="minorHAnsi" w:eastAsia="Times New Roman" w:hAnsiTheme="minorHAnsi" w:cstheme="minorHAnsi"/>
          <w:b/>
          <w:bCs/>
          <w:color w:val="auto"/>
          <w:szCs w:val="20"/>
        </w:rPr>
        <w:t>ACC (East Midlands)</w:t>
      </w:r>
    </w:p>
    <w:p w14:paraId="61137DF3" w14:textId="77777777" w:rsidR="00197640" w:rsidRPr="00197640" w:rsidRDefault="00197640" w:rsidP="0014457F">
      <w:pPr>
        <w:autoSpaceDE w:val="0"/>
        <w:autoSpaceDN w:val="0"/>
        <w:adjustRightInd w:val="0"/>
        <w:spacing w:line="240" w:lineRule="auto"/>
        <w:rPr>
          <w:rFonts w:ascii="Arial" w:eastAsia="Times New Roman" w:hAnsi="Arial" w:cs="Arial"/>
          <w:b/>
          <w:color w:val="auto"/>
          <w:sz w:val="24"/>
          <w:szCs w:val="20"/>
          <w:u w:val="single"/>
        </w:rPr>
      </w:pPr>
    </w:p>
    <w:p w14:paraId="43D3CF82" w14:textId="61488353" w:rsidR="00197640" w:rsidRPr="00197640" w:rsidRDefault="00197640" w:rsidP="003356AE">
      <w:pPr>
        <w:autoSpaceDE w:val="0"/>
        <w:autoSpaceDN w:val="0"/>
        <w:adjustRightInd w:val="0"/>
        <w:spacing w:line="240" w:lineRule="auto"/>
        <w:jc w:val="center"/>
        <w:rPr>
          <w:rFonts w:ascii="Arial" w:eastAsia="Times New Roman" w:hAnsi="Arial" w:cs="Arial"/>
          <w:b/>
          <w:color w:val="auto"/>
          <w:sz w:val="24"/>
          <w:szCs w:val="20"/>
          <w:u w:val="single"/>
        </w:rPr>
      </w:pPr>
    </w:p>
    <w:p w14:paraId="22DB8D70" w14:textId="77777777" w:rsidR="00BB23C6" w:rsidRDefault="00BB23C6" w:rsidP="003356AE">
      <w:pPr>
        <w:spacing w:line="240" w:lineRule="auto"/>
        <w:jc w:val="left"/>
        <w:rPr>
          <w:rFonts w:asciiTheme="minorHAnsi" w:eastAsia="Times New Roman" w:hAnsiTheme="minorHAnsi" w:cs="Times New Roman"/>
          <w:b/>
          <w:bCs/>
          <w:smallCaps/>
          <w:color w:val="25316C"/>
          <w:sz w:val="36"/>
        </w:rPr>
      </w:pPr>
      <w:r>
        <w:br w:type="page"/>
      </w:r>
    </w:p>
    <w:p w14:paraId="4E479339" w14:textId="2E9B9CCF" w:rsidR="00EA47B5" w:rsidRPr="003A3B6A" w:rsidRDefault="00EA47B5" w:rsidP="003356AE">
      <w:pPr>
        <w:pStyle w:val="ChapterHeading"/>
        <w:spacing w:line="240" w:lineRule="auto"/>
      </w:pPr>
      <w:bookmarkStart w:id="267" w:name="_Toc231975678"/>
      <w:r w:rsidRPr="003A3B6A">
        <w:lastRenderedPageBreak/>
        <w:t>Glossary of Terms</w:t>
      </w:r>
      <w:bookmarkEnd w:id="267"/>
      <w:r w:rsidRPr="003A3B6A">
        <w:t xml:space="preserve"> </w:t>
      </w:r>
    </w:p>
    <w:p w14:paraId="2AE7C867" w14:textId="77777777" w:rsidR="00EA47B5" w:rsidRPr="003A3B6A" w:rsidRDefault="00EA47B5" w:rsidP="003356AE">
      <w:pPr>
        <w:spacing w:line="240" w:lineRule="auto"/>
      </w:pPr>
    </w:p>
    <w:p w14:paraId="18FFD0F7" w14:textId="77777777" w:rsidR="00EA47B5" w:rsidRPr="003A3B6A" w:rsidRDefault="00EA47B5" w:rsidP="003356AE">
      <w:pPr>
        <w:pStyle w:val="VAHeadingLevel2"/>
        <w:spacing w:line="240" w:lineRule="auto"/>
      </w:pPr>
      <w:r w:rsidRPr="003A3B6A">
        <w:t>Accounting Period</w:t>
      </w:r>
    </w:p>
    <w:p w14:paraId="29005A64" w14:textId="77777777" w:rsidR="00EA47B5" w:rsidRPr="003A3B6A" w:rsidRDefault="00EA47B5" w:rsidP="003356AE">
      <w:pPr>
        <w:spacing w:line="240" w:lineRule="auto"/>
      </w:pPr>
      <w:r w:rsidRPr="003A3B6A">
        <w:t>The period of time covered by the Accounts, normally a period of twelve months commencing on 1 April.</w:t>
      </w:r>
    </w:p>
    <w:p w14:paraId="0D986CD2" w14:textId="77777777" w:rsidR="00EA47B5" w:rsidRPr="003A3B6A" w:rsidRDefault="00EA47B5" w:rsidP="003356AE">
      <w:pPr>
        <w:spacing w:line="240" w:lineRule="auto"/>
      </w:pPr>
    </w:p>
    <w:p w14:paraId="2B937A80" w14:textId="77777777" w:rsidR="00EA47B5" w:rsidRPr="003A3B6A" w:rsidRDefault="00EA47B5" w:rsidP="003356AE">
      <w:pPr>
        <w:pStyle w:val="VAHeadingLevel2"/>
        <w:spacing w:line="240" w:lineRule="auto"/>
      </w:pPr>
      <w:r w:rsidRPr="003A3B6A">
        <w:t>Accrual</w:t>
      </w:r>
    </w:p>
    <w:p w14:paraId="53CF3B8B" w14:textId="77777777" w:rsidR="00EA47B5" w:rsidRPr="003A3B6A" w:rsidRDefault="00EA47B5" w:rsidP="003356AE">
      <w:pPr>
        <w:spacing w:line="240" w:lineRule="auto"/>
      </w:pPr>
      <w:r w:rsidRPr="003A3B6A">
        <w:t>The recognition, in the correct accounting period, of income and expenditure as it is earned and incurred, rather than as cash is received or paid.</w:t>
      </w:r>
    </w:p>
    <w:p w14:paraId="502C226E" w14:textId="77777777" w:rsidR="00EA47B5" w:rsidRPr="003A3B6A" w:rsidRDefault="00EA47B5" w:rsidP="003356AE">
      <w:pPr>
        <w:spacing w:line="240" w:lineRule="auto"/>
        <w:rPr>
          <w:bCs/>
        </w:rPr>
      </w:pPr>
    </w:p>
    <w:p w14:paraId="4831B51F" w14:textId="77777777" w:rsidR="00EA47B5" w:rsidRPr="003A3B6A" w:rsidRDefault="00EA47B5" w:rsidP="003356AE">
      <w:pPr>
        <w:pStyle w:val="VAHeadingLevel2"/>
        <w:spacing w:line="240" w:lineRule="auto"/>
      </w:pPr>
      <w:r w:rsidRPr="003A3B6A">
        <w:t>Agency Arrangements</w:t>
      </w:r>
    </w:p>
    <w:p w14:paraId="35FE33F7" w14:textId="77777777" w:rsidR="00EA47B5" w:rsidRPr="003A3B6A" w:rsidRDefault="00EA47B5" w:rsidP="003356AE">
      <w:pPr>
        <w:spacing w:line="240" w:lineRule="auto"/>
        <w:rPr>
          <w:bCs/>
        </w:rPr>
      </w:pPr>
      <w:r w:rsidRPr="003A3B6A">
        <w:rPr>
          <w:bCs/>
        </w:rPr>
        <w:t>Services which are performed by, or for, another OPFCC or public body where the agent is reimbursed for the cost of work done.</w:t>
      </w:r>
    </w:p>
    <w:p w14:paraId="741C4C11" w14:textId="77777777" w:rsidR="00EA47B5" w:rsidRPr="003A3B6A" w:rsidRDefault="00EA47B5" w:rsidP="003356AE">
      <w:pPr>
        <w:spacing w:line="240" w:lineRule="auto"/>
        <w:rPr>
          <w:bCs/>
        </w:rPr>
      </w:pPr>
    </w:p>
    <w:p w14:paraId="7C9F10FF" w14:textId="77777777" w:rsidR="00EA47B5" w:rsidRPr="003A3B6A" w:rsidRDefault="00EA47B5" w:rsidP="003356AE">
      <w:pPr>
        <w:pStyle w:val="VAHeadingLevel2"/>
        <w:spacing w:line="240" w:lineRule="auto"/>
      </w:pPr>
      <w:r w:rsidRPr="003A3B6A">
        <w:t>Budget</w:t>
      </w:r>
    </w:p>
    <w:p w14:paraId="7D5C0B55" w14:textId="77777777" w:rsidR="00EA47B5" w:rsidRPr="003A3B6A" w:rsidRDefault="00EA47B5" w:rsidP="003356AE">
      <w:pPr>
        <w:spacing w:line="240" w:lineRule="auto"/>
        <w:rPr>
          <w:bCs/>
        </w:rPr>
      </w:pPr>
      <w:r w:rsidRPr="003A3B6A">
        <w:rPr>
          <w:bCs/>
        </w:rPr>
        <w:t>A statement of the OPFCC’s plans in financial terms.  A budget is prepared and approved by the PFCC before the start of each financial year and is used to monitor actual expenditure throughout the year.</w:t>
      </w:r>
    </w:p>
    <w:p w14:paraId="4F2BB018" w14:textId="77777777" w:rsidR="00EA47B5" w:rsidRPr="003A3B6A" w:rsidRDefault="00EA47B5" w:rsidP="003356AE">
      <w:pPr>
        <w:spacing w:line="240" w:lineRule="auto"/>
        <w:rPr>
          <w:bCs/>
        </w:rPr>
      </w:pPr>
    </w:p>
    <w:p w14:paraId="5A0F5811" w14:textId="77777777" w:rsidR="00EA47B5" w:rsidRPr="003A3B6A" w:rsidRDefault="00EA47B5" w:rsidP="003356AE">
      <w:pPr>
        <w:pStyle w:val="VAHeadingLevel2"/>
        <w:spacing w:line="240" w:lineRule="auto"/>
      </w:pPr>
      <w:r w:rsidRPr="003A3B6A">
        <w:t xml:space="preserve">Capital Expenditure </w:t>
      </w:r>
    </w:p>
    <w:p w14:paraId="19B26BBB" w14:textId="77777777" w:rsidR="00EA47B5" w:rsidRPr="003A3B6A" w:rsidRDefault="00EA47B5" w:rsidP="003356AE">
      <w:pPr>
        <w:spacing w:line="240" w:lineRule="auto"/>
        <w:rPr>
          <w:bCs/>
        </w:rPr>
      </w:pPr>
      <w:r w:rsidRPr="003A3B6A">
        <w:rPr>
          <w:bCs/>
        </w:rPr>
        <w:t>Expenditure on the acquisition of a fixed asset or expenditure which adds value to the life or value of an existing fixed asset.</w:t>
      </w:r>
    </w:p>
    <w:p w14:paraId="6CDB9975" w14:textId="77777777" w:rsidR="00EA47B5" w:rsidRPr="003A3B6A" w:rsidRDefault="00EA47B5" w:rsidP="003356AE">
      <w:pPr>
        <w:spacing w:line="240" w:lineRule="auto"/>
        <w:rPr>
          <w:bCs/>
        </w:rPr>
      </w:pPr>
    </w:p>
    <w:p w14:paraId="3F9B0402" w14:textId="77777777" w:rsidR="00EA47B5" w:rsidRPr="003A3B6A" w:rsidRDefault="00EA47B5" w:rsidP="003356AE">
      <w:pPr>
        <w:pStyle w:val="VAHeadingLevel2"/>
        <w:spacing w:line="240" w:lineRule="auto"/>
      </w:pPr>
      <w:r w:rsidRPr="003A3B6A">
        <w:t>Capital Financing Requirement</w:t>
      </w:r>
    </w:p>
    <w:p w14:paraId="38F586C9" w14:textId="77777777" w:rsidR="00EA47B5" w:rsidRPr="003A3B6A" w:rsidRDefault="00EA47B5" w:rsidP="003356AE">
      <w:pPr>
        <w:spacing w:line="240" w:lineRule="auto"/>
      </w:pPr>
      <w:r w:rsidRPr="003A3B6A">
        <w:t>The Capital Financing Requirement represents capital expenditure financed by external debt and not by capital receipts, revenue contributions, capital grants or third-party contributions at the time of spending.  It measures the OPFCC’s underlying need to borrow for a capital purpose.</w:t>
      </w:r>
    </w:p>
    <w:p w14:paraId="3E40A07D" w14:textId="77777777" w:rsidR="00EA47B5" w:rsidRPr="003A3B6A" w:rsidRDefault="00EA47B5" w:rsidP="003356AE">
      <w:pPr>
        <w:spacing w:line="240" w:lineRule="auto"/>
      </w:pPr>
    </w:p>
    <w:p w14:paraId="5059C296" w14:textId="77777777" w:rsidR="00EA47B5" w:rsidRPr="003A3B6A" w:rsidRDefault="00EA47B5" w:rsidP="003356AE">
      <w:pPr>
        <w:pStyle w:val="VAHeadingLevel2"/>
        <w:spacing w:line="240" w:lineRule="auto"/>
      </w:pPr>
      <w:r w:rsidRPr="003A3B6A">
        <w:t>Capital Receipts</w:t>
      </w:r>
    </w:p>
    <w:p w14:paraId="1E8AD2E7" w14:textId="77777777" w:rsidR="00EA47B5" w:rsidRPr="003A3B6A" w:rsidRDefault="00EA47B5" w:rsidP="003356AE">
      <w:pPr>
        <w:spacing w:line="240" w:lineRule="auto"/>
      </w:pPr>
      <w:r w:rsidRPr="003A3B6A">
        <w:rPr>
          <w:bCs/>
        </w:rPr>
        <w:t>These are proceeds from the sale of capital assets.</w:t>
      </w:r>
    </w:p>
    <w:p w14:paraId="4EC9BCA9" w14:textId="77777777" w:rsidR="00EA47B5" w:rsidRPr="003A3B6A" w:rsidRDefault="00EA47B5" w:rsidP="003356AE">
      <w:pPr>
        <w:spacing w:line="240" w:lineRule="auto"/>
        <w:rPr>
          <w:bCs/>
        </w:rPr>
      </w:pPr>
    </w:p>
    <w:p w14:paraId="2C5789F2" w14:textId="77777777" w:rsidR="00EA47B5" w:rsidRPr="003A3B6A" w:rsidRDefault="00EA47B5" w:rsidP="003356AE">
      <w:pPr>
        <w:pStyle w:val="VAHeadingLevel2"/>
        <w:spacing w:line="240" w:lineRule="auto"/>
      </w:pPr>
      <w:r w:rsidRPr="003A3B6A">
        <w:t>CIPFA</w:t>
      </w:r>
    </w:p>
    <w:p w14:paraId="3553C7A1" w14:textId="77777777" w:rsidR="00EA47B5" w:rsidRPr="003A3B6A" w:rsidRDefault="00EA47B5" w:rsidP="003356AE">
      <w:pPr>
        <w:spacing w:line="240" w:lineRule="auto"/>
      </w:pPr>
      <w:r w:rsidRPr="003A3B6A">
        <w:t>The Chartered Institute of Public Finance and Accountancy.  This is the main professional body for accountants working in the public services.</w:t>
      </w:r>
    </w:p>
    <w:p w14:paraId="6A1E4699" w14:textId="77777777" w:rsidR="00EA47B5" w:rsidRPr="003A3B6A" w:rsidRDefault="00EA47B5" w:rsidP="003356AE">
      <w:pPr>
        <w:spacing w:line="240" w:lineRule="auto"/>
      </w:pPr>
    </w:p>
    <w:p w14:paraId="268756FE" w14:textId="77777777" w:rsidR="00EA47B5" w:rsidRPr="003A3B6A" w:rsidRDefault="00EA47B5" w:rsidP="003356AE">
      <w:pPr>
        <w:pStyle w:val="VAHeadingLevel2"/>
        <w:spacing w:line="240" w:lineRule="auto"/>
      </w:pPr>
      <w:r w:rsidRPr="003A3B6A">
        <w:t>Contingent Liabilities</w:t>
      </w:r>
    </w:p>
    <w:p w14:paraId="312107F8" w14:textId="77777777" w:rsidR="00EA47B5" w:rsidRPr="003A3B6A" w:rsidRDefault="00EA47B5" w:rsidP="003356AE">
      <w:pPr>
        <w:spacing w:line="240" w:lineRule="auto"/>
      </w:pPr>
      <w:r w:rsidRPr="003A3B6A">
        <w:t>A potential liability at the balance sheet date when the Accounts are submitted for approval.  The liability will be included in the balance sheet if it can be estimated with reasonable accuracy otherwise the liability will be disclosed as a note to the Accounts.</w:t>
      </w:r>
    </w:p>
    <w:p w14:paraId="5B3B89B0" w14:textId="77777777" w:rsidR="00EA47B5" w:rsidRPr="003A3B6A" w:rsidRDefault="00EA47B5" w:rsidP="003356AE">
      <w:pPr>
        <w:spacing w:line="240" w:lineRule="auto"/>
      </w:pPr>
    </w:p>
    <w:p w14:paraId="161E018D" w14:textId="77777777" w:rsidR="00EA47B5" w:rsidRPr="003A3B6A" w:rsidRDefault="00EA47B5" w:rsidP="003356AE">
      <w:pPr>
        <w:pStyle w:val="VAHeadingLevel2"/>
        <w:spacing w:line="240" w:lineRule="auto"/>
      </w:pPr>
      <w:r w:rsidRPr="003A3B6A">
        <w:t>Corporate Democratic Core</w:t>
      </w:r>
    </w:p>
    <w:p w14:paraId="182E452F" w14:textId="77777777" w:rsidR="00EA47B5" w:rsidRPr="003A3B6A" w:rsidRDefault="00EA47B5" w:rsidP="003356AE">
      <w:pPr>
        <w:spacing w:line="240" w:lineRule="auto"/>
        <w:rPr>
          <w:bCs/>
        </w:rPr>
      </w:pPr>
      <w:r w:rsidRPr="003A3B6A">
        <w:rPr>
          <w:bCs/>
        </w:rPr>
        <w:t>This includes the cost of the corporate infrastructure (e.g., the Chief Executive and Treasury Offices, and external audit fees), and the cost of democratic representation.</w:t>
      </w:r>
    </w:p>
    <w:p w14:paraId="4220D013" w14:textId="77777777" w:rsidR="00EA47B5" w:rsidRPr="003A3B6A" w:rsidRDefault="00EA47B5" w:rsidP="003356AE">
      <w:pPr>
        <w:spacing w:line="240" w:lineRule="auto"/>
        <w:rPr>
          <w:bCs/>
        </w:rPr>
      </w:pPr>
    </w:p>
    <w:p w14:paraId="7FDB44FC" w14:textId="77777777" w:rsidR="00EA47B5" w:rsidRPr="003A3B6A" w:rsidRDefault="00EA47B5" w:rsidP="003356AE">
      <w:pPr>
        <w:pStyle w:val="VAHeadingLevel2"/>
        <w:spacing w:line="240" w:lineRule="auto"/>
      </w:pPr>
      <w:r w:rsidRPr="003A3B6A">
        <w:t>Council Tax</w:t>
      </w:r>
    </w:p>
    <w:p w14:paraId="6F255F64" w14:textId="1F9EFEB5" w:rsidR="00EA47B5" w:rsidRDefault="00EA47B5" w:rsidP="003356AE">
      <w:pPr>
        <w:spacing w:line="240" w:lineRule="auto"/>
        <w:rPr>
          <w:bCs/>
        </w:rPr>
      </w:pPr>
      <w:r w:rsidRPr="003A3B6A">
        <w:rPr>
          <w:bCs/>
        </w:rPr>
        <w:t>The local tax levied on householders, based on the relative market values of property, which helps to fund local services.</w:t>
      </w:r>
    </w:p>
    <w:p w14:paraId="07C97AE3" w14:textId="77777777" w:rsidR="00EA47B5" w:rsidRPr="003A3B6A" w:rsidRDefault="00EA47B5" w:rsidP="003356AE">
      <w:pPr>
        <w:pStyle w:val="VAHeadingLevel2"/>
        <w:spacing w:line="240" w:lineRule="auto"/>
      </w:pPr>
      <w:r w:rsidRPr="003A3B6A">
        <w:lastRenderedPageBreak/>
        <w:t xml:space="preserve">Creditors </w:t>
      </w:r>
    </w:p>
    <w:p w14:paraId="577C1E2C" w14:textId="77777777" w:rsidR="00EA47B5" w:rsidRPr="003A3B6A" w:rsidRDefault="00EA47B5" w:rsidP="003356AE">
      <w:pPr>
        <w:spacing w:line="240" w:lineRule="auto"/>
        <w:rPr>
          <w:bCs/>
        </w:rPr>
      </w:pPr>
      <w:r w:rsidRPr="003A3B6A">
        <w:rPr>
          <w:bCs/>
        </w:rPr>
        <w:t>Individuals or organisations to whom the OPFCC owes money.</w:t>
      </w:r>
    </w:p>
    <w:p w14:paraId="4F9E514E" w14:textId="77777777" w:rsidR="00EA47B5" w:rsidRPr="003A3B6A" w:rsidRDefault="00EA47B5" w:rsidP="003356AE">
      <w:pPr>
        <w:spacing w:line="240" w:lineRule="auto"/>
        <w:rPr>
          <w:bCs/>
        </w:rPr>
      </w:pPr>
    </w:p>
    <w:p w14:paraId="07A1F694" w14:textId="77777777" w:rsidR="00EA47B5" w:rsidRPr="003A3B6A" w:rsidRDefault="00EA47B5" w:rsidP="003356AE">
      <w:pPr>
        <w:pStyle w:val="VAHeadingLevel2"/>
        <w:spacing w:line="240" w:lineRule="auto"/>
      </w:pPr>
      <w:r w:rsidRPr="003A3B6A">
        <w:t xml:space="preserve">Current Assets and Liabilities </w:t>
      </w:r>
    </w:p>
    <w:p w14:paraId="6B7D4C0D" w14:textId="77777777" w:rsidR="00EA47B5" w:rsidRPr="003A3B6A" w:rsidRDefault="00EA47B5" w:rsidP="003356AE">
      <w:pPr>
        <w:spacing w:line="240" w:lineRule="auto"/>
        <w:rPr>
          <w:bCs/>
        </w:rPr>
      </w:pPr>
      <w:r w:rsidRPr="003A3B6A">
        <w:rPr>
          <w:bCs/>
        </w:rPr>
        <w:t>Current assets are items that can be readily converted into cash.  Current liabilities are items that are due immediately or in the short-term.</w:t>
      </w:r>
    </w:p>
    <w:p w14:paraId="40DB8915" w14:textId="77777777" w:rsidR="00EA47B5" w:rsidRPr="003A3B6A" w:rsidRDefault="00EA47B5" w:rsidP="003356AE">
      <w:pPr>
        <w:spacing w:line="240" w:lineRule="auto"/>
        <w:rPr>
          <w:bCs/>
        </w:rPr>
      </w:pPr>
    </w:p>
    <w:p w14:paraId="4126B5EF" w14:textId="77777777" w:rsidR="00EA47B5" w:rsidRPr="003A3B6A" w:rsidRDefault="00EA47B5" w:rsidP="003356AE">
      <w:pPr>
        <w:pStyle w:val="VAHeadingLevel2"/>
        <w:spacing w:line="240" w:lineRule="auto"/>
      </w:pPr>
      <w:r w:rsidRPr="003A3B6A">
        <w:t>Debtors</w:t>
      </w:r>
    </w:p>
    <w:p w14:paraId="051E5A5C" w14:textId="77777777" w:rsidR="00EA47B5" w:rsidRPr="003A3B6A" w:rsidRDefault="00EA47B5" w:rsidP="003356AE">
      <w:pPr>
        <w:spacing w:line="240" w:lineRule="auto"/>
        <w:rPr>
          <w:bCs/>
        </w:rPr>
      </w:pPr>
      <w:r w:rsidRPr="003A3B6A">
        <w:rPr>
          <w:bCs/>
        </w:rPr>
        <w:t>Individuals or organisations who owe the OPFCC money.</w:t>
      </w:r>
    </w:p>
    <w:p w14:paraId="787D284D" w14:textId="77777777" w:rsidR="00EA47B5" w:rsidRPr="003A3B6A" w:rsidRDefault="00EA47B5" w:rsidP="003356AE">
      <w:pPr>
        <w:spacing w:line="240" w:lineRule="auto"/>
        <w:rPr>
          <w:bCs/>
        </w:rPr>
      </w:pPr>
    </w:p>
    <w:p w14:paraId="74800A9B" w14:textId="77777777" w:rsidR="00EA47B5" w:rsidRPr="003A3B6A" w:rsidRDefault="00EA47B5" w:rsidP="003356AE">
      <w:pPr>
        <w:spacing w:line="240" w:lineRule="auto"/>
        <w:rPr>
          <w:rStyle w:val="VAHeadingLevel2Char"/>
          <w:rFonts w:asciiTheme="minorHAnsi" w:eastAsiaTheme="minorHAnsi" w:hAnsiTheme="minorHAnsi"/>
          <w:sz w:val="24"/>
        </w:rPr>
      </w:pPr>
      <w:r w:rsidRPr="003A3B6A">
        <w:rPr>
          <w:rStyle w:val="VAHeadingLevel2Char"/>
          <w:rFonts w:asciiTheme="minorHAnsi" w:eastAsiaTheme="minorHAnsi" w:hAnsiTheme="minorHAnsi"/>
          <w:sz w:val="24"/>
        </w:rPr>
        <w:t>Deferred Liabilities</w:t>
      </w:r>
    </w:p>
    <w:p w14:paraId="6F23C73B" w14:textId="77777777" w:rsidR="00EA47B5" w:rsidRPr="003A3B6A" w:rsidRDefault="00EA47B5" w:rsidP="003356AE">
      <w:pPr>
        <w:spacing w:line="240" w:lineRule="auto"/>
      </w:pPr>
      <w:r w:rsidRPr="003A3B6A">
        <w:t>Liabilities which by arrangement are payable beyond the next year at some point in the future or paid off by an annual sum over a period of time.</w:t>
      </w:r>
    </w:p>
    <w:p w14:paraId="4A9F0411" w14:textId="77777777" w:rsidR="00EA47B5" w:rsidRPr="003A3B6A" w:rsidRDefault="00EA47B5" w:rsidP="003356AE">
      <w:pPr>
        <w:spacing w:line="240" w:lineRule="auto"/>
      </w:pPr>
    </w:p>
    <w:p w14:paraId="516BCDBA" w14:textId="77777777" w:rsidR="00EA47B5" w:rsidRPr="003A3B6A" w:rsidRDefault="00EA47B5" w:rsidP="003356AE">
      <w:pPr>
        <w:pStyle w:val="VAHeadingLevel2"/>
        <w:spacing w:line="240" w:lineRule="auto"/>
        <w:rPr>
          <w:rFonts w:eastAsiaTheme="minorHAnsi"/>
        </w:rPr>
      </w:pPr>
      <w:r w:rsidRPr="003A3B6A">
        <w:rPr>
          <w:rFonts w:eastAsiaTheme="minorHAnsi"/>
        </w:rPr>
        <w:t>Earmarked Reserves</w:t>
      </w:r>
    </w:p>
    <w:p w14:paraId="2FC03256" w14:textId="77777777" w:rsidR="00EA47B5" w:rsidRPr="003A3B6A" w:rsidRDefault="00EA47B5" w:rsidP="003356AE">
      <w:pPr>
        <w:spacing w:line="240" w:lineRule="auto"/>
      </w:pPr>
      <w:r w:rsidRPr="003A3B6A">
        <w:t>Monies set aside that are intended to be used for a specific revenue or capital purpose.</w:t>
      </w:r>
    </w:p>
    <w:p w14:paraId="7B57D7F1" w14:textId="77777777" w:rsidR="00EA47B5" w:rsidRPr="003A3B6A" w:rsidRDefault="00EA47B5" w:rsidP="003356AE">
      <w:pPr>
        <w:spacing w:line="240" w:lineRule="auto"/>
      </w:pPr>
    </w:p>
    <w:p w14:paraId="74043C6C" w14:textId="77777777" w:rsidR="00EA47B5" w:rsidRPr="003A3B6A" w:rsidRDefault="00EA47B5" w:rsidP="003356AE">
      <w:pPr>
        <w:pStyle w:val="VAHeadingLevel2"/>
        <w:spacing w:line="240" w:lineRule="auto"/>
      </w:pPr>
      <w:r w:rsidRPr="003A3B6A">
        <w:t>Employee Costs</w:t>
      </w:r>
    </w:p>
    <w:p w14:paraId="618EEF72" w14:textId="77777777" w:rsidR="00EA47B5" w:rsidRPr="003A3B6A" w:rsidRDefault="00EA47B5" w:rsidP="003356AE">
      <w:pPr>
        <w:spacing w:line="240" w:lineRule="auto"/>
      </w:pPr>
      <w:r w:rsidRPr="003A3B6A">
        <w:t>The salaries and wages of employees together with national insurance, superannuation and all other pay-related allowances.  Training expenses and professional fees are also included.</w:t>
      </w:r>
    </w:p>
    <w:p w14:paraId="4384DE20" w14:textId="77777777" w:rsidR="00EA47B5" w:rsidRPr="003A3B6A" w:rsidRDefault="00EA47B5" w:rsidP="003356AE">
      <w:pPr>
        <w:spacing w:line="240" w:lineRule="auto"/>
      </w:pPr>
    </w:p>
    <w:p w14:paraId="5B4A592D" w14:textId="77777777" w:rsidR="00EA47B5" w:rsidRPr="003A3B6A" w:rsidRDefault="00EA47B5" w:rsidP="003356AE">
      <w:pPr>
        <w:pStyle w:val="VAHeadingLevel2"/>
        <w:spacing w:line="240" w:lineRule="auto"/>
      </w:pPr>
      <w:r w:rsidRPr="003A3B6A">
        <w:t>Finance Lease</w:t>
      </w:r>
    </w:p>
    <w:p w14:paraId="4E4BEE3C" w14:textId="77777777" w:rsidR="00EA47B5" w:rsidRPr="003A3B6A" w:rsidRDefault="00EA47B5" w:rsidP="003356AE">
      <w:pPr>
        <w:spacing w:line="240" w:lineRule="auto"/>
      </w:pPr>
      <w:r w:rsidRPr="003A3B6A">
        <w:t>A finance lease normally involves payment by a lessee to a lessor of the full cost of the asset, together with a return on the finance provided by the lessor.  The lessee has substantially all the risks and rewards associated with the ownership of an asset, other than legal title.</w:t>
      </w:r>
    </w:p>
    <w:p w14:paraId="51FF5A4C" w14:textId="77777777" w:rsidR="00EA47B5" w:rsidRPr="003A3B6A" w:rsidRDefault="00EA47B5" w:rsidP="003356AE">
      <w:pPr>
        <w:pStyle w:val="VAHeadingLevel2"/>
        <w:spacing w:line="240" w:lineRule="auto"/>
      </w:pPr>
    </w:p>
    <w:p w14:paraId="4C380208" w14:textId="77777777" w:rsidR="00EA47B5" w:rsidRPr="003A3B6A" w:rsidRDefault="00EA47B5" w:rsidP="003356AE">
      <w:pPr>
        <w:pStyle w:val="VAHeadingLevel2"/>
        <w:spacing w:line="240" w:lineRule="auto"/>
      </w:pPr>
      <w:r w:rsidRPr="003A3B6A">
        <w:t>International Financial Reporting Standards (IFRS)</w:t>
      </w:r>
    </w:p>
    <w:p w14:paraId="1BB2C061" w14:textId="77777777" w:rsidR="00EA47B5" w:rsidRPr="003A3B6A" w:rsidRDefault="00EA47B5" w:rsidP="003356AE">
      <w:pPr>
        <w:spacing w:line="240" w:lineRule="auto"/>
      </w:pPr>
      <w:r w:rsidRPr="003A3B6A">
        <w:t>These standards are developed by the Accounting Standards Board to regulate the preparation of financial statements.  The Companies Act 1985, which was later adopted by the SORP making it mandatory for Public Bodies and therefore requires compliance of these Standards or disclosures in the notes if there are any material departures from those standards.</w:t>
      </w:r>
    </w:p>
    <w:p w14:paraId="338B0A0D" w14:textId="77777777" w:rsidR="00EA47B5" w:rsidRPr="003A3B6A" w:rsidRDefault="00EA47B5" w:rsidP="003356AE">
      <w:pPr>
        <w:pStyle w:val="VAHeadingLevel2"/>
        <w:spacing w:line="240" w:lineRule="auto"/>
      </w:pPr>
    </w:p>
    <w:p w14:paraId="780D7321" w14:textId="77777777" w:rsidR="00EA47B5" w:rsidRPr="003A3B6A" w:rsidRDefault="00EA47B5" w:rsidP="003356AE">
      <w:pPr>
        <w:pStyle w:val="VAHeadingLevel2"/>
        <w:spacing w:line="240" w:lineRule="auto"/>
      </w:pPr>
      <w:r w:rsidRPr="003A3B6A">
        <w:t>Fixed Assets</w:t>
      </w:r>
    </w:p>
    <w:p w14:paraId="3706B419" w14:textId="77777777" w:rsidR="00EA47B5" w:rsidRPr="003A3B6A" w:rsidRDefault="00EA47B5" w:rsidP="003356AE">
      <w:pPr>
        <w:spacing w:line="240" w:lineRule="auto"/>
      </w:pPr>
      <w:r w:rsidRPr="003A3B6A">
        <w:t>These consist of: -</w:t>
      </w:r>
    </w:p>
    <w:p w14:paraId="1737E758" w14:textId="7F242478" w:rsidR="00EA47B5" w:rsidRPr="003A3B6A" w:rsidRDefault="00EA47B5" w:rsidP="003356AE">
      <w:pPr>
        <w:pStyle w:val="RedBullet"/>
        <w:spacing w:line="240" w:lineRule="auto"/>
      </w:pPr>
      <w:r w:rsidRPr="003A3B6A">
        <w:t>Tangible:  These are assets that yield benefits to the OPFCC for a period of more than one year (e.g. buildings and equipment)</w:t>
      </w:r>
    </w:p>
    <w:p w14:paraId="56B2E0A7" w14:textId="6E7D2171" w:rsidR="00EA47B5" w:rsidRPr="003A3B6A" w:rsidRDefault="00EA47B5" w:rsidP="003356AE">
      <w:pPr>
        <w:pStyle w:val="RedBullet"/>
        <w:spacing w:line="240" w:lineRule="auto"/>
      </w:pPr>
      <w:r w:rsidRPr="003A3B6A">
        <w:t>Intangible:  Under IAS 38 (Goodwill and Intangible Assets), intangible assets are those that do not have physical substance but are identifiable (e.g. software and software licences)</w:t>
      </w:r>
    </w:p>
    <w:p w14:paraId="27613DA9" w14:textId="77777777" w:rsidR="00EA47B5" w:rsidRPr="003A3B6A" w:rsidRDefault="00EA47B5" w:rsidP="003356AE">
      <w:pPr>
        <w:spacing w:line="240" w:lineRule="auto"/>
        <w:rPr>
          <w:bCs/>
        </w:rPr>
      </w:pPr>
    </w:p>
    <w:p w14:paraId="588751D0" w14:textId="77777777" w:rsidR="00EA47B5" w:rsidRPr="003A3B6A" w:rsidRDefault="00EA47B5" w:rsidP="003356AE">
      <w:pPr>
        <w:pStyle w:val="VAHeadingLevel2"/>
        <w:spacing w:line="240" w:lineRule="auto"/>
      </w:pPr>
      <w:r w:rsidRPr="003A3B6A">
        <w:t>Formula Grant Distribution System</w:t>
      </w:r>
    </w:p>
    <w:p w14:paraId="58F236E9" w14:textId="1CA4A5F1" w:rsidR="00EA47B5" w:rsidRDefault="00EA47B5" w:rsidP="003356AE">
      <w:pPr>
        <w:spacing w:line="240" w:lineRule="auto"/>
        <w:rPr>
          <w:bCs/>
        </w:rPr>
      </w:pPr>
      <w:r w:rsidRPr="003A3B6A">
        <w:rPr>
          <w:bCs/>
        </w:rPr>
        <w:t>A mechanism by which Central Government determines how much Revenue Support Grant, Home Office Police Grant and Business Rates each local OPFCC should receive in a given year to provide a common level of service.  For the police service it is principally based on the resident and daytime populations, plus relevant socio-economic characteristics, for the area covered by an OPFCC.</w:t>
      </w:r>
    </w:p>
    <w:p w14:paraId="41790407" w14:textId="77777777" w:rsidR="0078637F" w:rsidRPr="003A3B6A" w:rsidRDefault="0078637F" w:rsidP="003356AE">
      <w:pPr>
        <w:spacing w:line="240" w:lineRule="auto"/>
        <w:rPr>
          <w:bCs/>
        </w:rPr>
      </w:pPr>
    </w:p>
    <w:p w14:paraId="0E4FF1DD" w14:textId="77777777" w:rsidR="00701ACB" w:rsidRDefault="00701ACB">
      <w:pPr>
        <w:spacing w:after="0" w:line="240" w:lineRule="auto"/>
        <w:jc w:val="left"/>
        <w:rPr>
          <w:rFonts w:asciiTheme="minorHAnsi" w:eastAsia="Times New Roman" w:hAnsiTheme="minorHAnsi" w:cs="Times New Roman"/>
          <w:bCs/>
          <w:color w:val="25316C"/>
          <w:sz w:val="24"/>
        </w:rPr>
      </w:pPr>
      <w:r>
        <w:br w:type="page"/>
      </w:r>
    </w:p>
    <w:p w14:paraId="5F316F12" w14:textId="2D075B8D" w:rsidR="00EA47B5" w:rsidRPr="003A3B6A" w:rsidRDefault="00EA47B5" w:rsidP="003356AE">
      <w:pPr>
        <w:pStyle w:val="VAHeadingLevel2"/>
        <w:spacing w:line="240" w:lineRule="auto"/>
      </w:pPr>
      <w:r w:rsidRPr="003A3B6A">
        <w:lastRenderedPageBreak/>
        <w:t>IAS 19 Retirement Benefits</w:t>
      </w:r>
    </w:p>
    <w:p w14:paraId="067EEAFF" w14:textId="77777777" w:rsidR="00EA47B5" w:rsidRPr="003A3B6A" w:rsidRDefault="00EA47B5" w:rsidP="003356AE">
      <w:pPr>
        <w:spacing w:line="240" w:lineRule="auto"/>
        <w:rPr>
          <w:bCs/>
        </w:rPr>
      </w:pPr>
      <w:r w:rsidRPr="003A3B6A">
        <w:rPr>
          <w:bCs/>
        </w:rPr>
        <w:t>An accounting standard that requires the recognition of long-term commitments made to employees in respect of retirement benefits in the year in which they are earned.</w:t>
      </w:r>
    </w:p>
    <w:p w14:paraId="4E09E9DD" w14:textId="77777777" w:rsidR="00EA47B5" w:rsidRPr="003A3B6A" w:rsidRDefault="00EA47B5" w:rsidP="003356AE">
      <w:pPr>
        <w:spacing w:line="240" w:lineRule="auto"/>
        <w:rPr>
          <w:bCs/>
        </w:rPr>
      </w:pPr>
    </w:p>
    <w:p w14:paraId="6D5DAA16" w14:textId="77777777" w:rsidR="00EA47B5" w:rsidRPr="003A3B6A" w:rsidRDefault="00EA47B5" w:rsidP="003356AE">
      <w:pPr>
        <w:pStyle w:val="VAHeadingLevel2"/>
        <w:spacing w:line="240" w:lineRule="auto"/>
      </w:pPr>
      <w:r w:rsidRPr="003A3B6A">
        <w:t>Impairment</w:t>
      </w:r>
    </w:p>
    <w:p w14:paraId="3D52EFED" w14:textId="77777777" w:rsidR="00EA47B5" w:rsidRPr="003A3B6A" w:rsidRDefault="00EA47B5" w:rsidP="003356AE">
      <w:pPr>
        <w:spacing w:line="240" w:lineRule="auto"/>
      </w:pPr>
      <w:r w:rsidRPr="003A3B6A">
        <w:rPr>
          <w:bCs/>
        </w:rPr>
        <w:t>A reduction in value in an asset caused by a general fall in prices, obsolescence or a clear consumption of economic benefit.</w:t>
      </w:r>
    </w:p>
    <w:p w14:paraId="31CB1A29" w14:textId="77777777" w:rsidR="00EA47B5" w:rsidRPr="003A3B6A" w:rsidRDefault="00EA47B5" w:rsidP="003356AE">
      <w:pPr>
        <w:spacing w:line="240" w:lineRule="auto"/>
        <w:rPr>
          <w:bCs/>
        </w:rPr>
      </w:pPr>
    </w:p>
    <w:p w14:paraId="57B7602C" w14:textId="77777777" w:rsidR="00EA47B5" w:rsidRPr="003A3B6A" w:rsidRDefault="00EA47B5" w:rsidP="003356AE">
      <w:pPr>
        <w:pStyle w:val="VAHeadingLevel2"/>
        <w:spacing w:line="240" w:lineRule="auto"/>
      </w:pPr>
      <w:r w:rsidRPr="003A3B6A">
        <w:t>Interest Income</w:t>
      </w:r>
    </w:p>
    <w:p w14:paraId="30F16A8D" w14:textId="77777777" w:rsidR="00EA47B5" w:rsidRPr="003A3B6A" w:rsidRDefault="00EA47B5" w:rsidP="003356AE">
      <w:pPr>
        <w:spacing w:line="240" w:lineRule="auto"/>
        <w:rPr>
          <w:bCs/>
        </w:rPr>
      </w:pPr>
      <w:r w:rsidRPr="003A3B6A">
        <w:rPr>
          <w:bCs/>
        </w:rPr>
        <w:t>The money earned from the investment of surplus cash.</w:t>
      </w:r>
    </w:p>
    <w:p w14:paraId="389172A6" w14:textId="77777777" w:rsidR="00EA47B5" w:rsidRPr="003A3B6A" w:rsidRDefault="00EA47B5" w:rsidP="003356AE">
      <w:pPr>
        <w:spacing w:line="240" w:lineRule="auto"/>
        <w:rPr>
          <w:bCs/>
        </w:rPr>
      </w:pPr>
    </w:p>
    <w:p w14:paraId="3EE81276" w14:textId="77777777" w:rsidR="00EA47B5" w:rsidRPr="003A3B6A" w:rsidRDefault="00EA47B5" w:rsidP="003356AE">
      <w:pPr>
        <w:pStyle w:val="VAHeadingLevel2"/>
        <w:spacing w:line="240" w:lineRule="auto"/>
      </w:pPr>
      <w:r w:rsidRPr="003A3B6A">
        <w:t>Net Book Value</w:t>
      </w:r>
    </w:p>
    <w:p w14:paraId="68190FA2" w14:textId="77777777" w:rsidR="00EA47B5" w:rsidRPr="003A3B6A" w:rsidRDefault="00EA47B5" w:rsidP="003356AE">
      <w:pPr>
        <w:spacing w:line="240" w:lineRule="auto"/>
        <w:rPr>
          <w:bCs/>
        </w:rPr>
      </w:pPr>
      <w:r w:rsidRPr="003A3B6A">
        <w:rPr>
          <w:bCs/>
        </w:rPr>
        <w:t>The amount at which fixed assets are included in the balance sheet, i.e. their historical cost or current values less the cumulative amounts provided for depreciation.</w:t>
      </w:r>
    </w:p>
    <w:p w14:paraId="2479A0BB" w14:textId="77777777" w:rsidR="00EA47B5" w:rsidRPr="003A3B6A" w:rsidRDefault="00EA47B5" w:rsidP="003356AE">
      <w:pPr>
        <w:spacing w:line="240" w:lineRule="auto"/>
        <w:rPr>
          <w:bCs/>
        </w:rPr>
      </w:pPr>
    </w:p>
    <w:p w14:paraId="6917E878" w14:textId="77777777" w:rsidR="00EA47B5" w:rsidRPr="003A3B6A" w:rsidRDefault="00EA47B5" w:rsidP="003356AE">
      <w:pPr>
        <w:pStyle w:val="VAHeadingLevel2"/>
        <w:spacing w:line="240" w:lineRule="auto"/>
      </w:pPr>
      <w:r w:rsidRPr="003A3B6A">
        <w:t>Non-Distributed Costs</w:t>
      </w:r>
    </w:p>
    <w:p w14:paraId="553E28D2" w14:textId="77777777" w:rsidR="00EA47B5" w:rsidRPr="003A3B6A" w:rsidRDefault="00EA47B5" w:rsidP="003356AE">
      <w:pPr>
        <w:spacing w:line="240" w:lineRule="auto"/>
        <w:rPr>
          <w:bCs/>
        </w:rPr>
      </w:pPr>
      <w:r w:rsidRPr="003A3B6A">
        <w:rPr>
          <w:bCs/>
        </w:rPr>
        <w:t>This consists of charges for police officers and police staff early retirements.</w:t>
      </w:r>
    </w:p>
    <w:p w14:paraId="4CB0E957" w14:textId="77777777" w:rsidR="00EA47B5" w:rsidRPr="003A3B6A" w:rsidRDefault="00EA47B5" w:rsidP="003356AE">
      <w:pPr>
        <w:spacing w:line="240" w:lineRule="auto"/>
        <w:rPr>
          <w:bCs/>
        </w:rPr>
      </w:pPr>
    </w:p>
    <w:p w14:paraId="39F47B68" w14:textId="77777777" w:rsidR="00EA47B5" w:rsidRPr="003A3B6A" w:rsidRDefault="00EA47B5" w:rsidP="003356AE">
      <w:pPr>
        <w:pStyle w:val="VAHeadingLevel2"/>
        <w:spacing w:line="240" w:lineRule="auto"/>
      </w:pPr>
      <w:r w:rsidRPr="003A3B6A">
        <w:t>Operating Lease</w:t>
      </w:r>
    </w:p>
    <w:p w14:paraId="732F2596" w14:textId="77777777" w:rsidR="00EA47B5" w:rsidRPr="003A3B6A" w:rsidRDefault="00EA47B5" w:rsidP="003356AE">
      <w:pPr>
        <w:spacing w:line="240" w:lineRule="auto"/>
        <w:rPr>
          <w:bCs/>
        </w:rPr>
      </w:pPr>
      <w:r w:rsidRPr="003A3B6A">
        <w:rPr>
          <w:bCs/>
        </w:rPr>
        <w:t>An operating lease involves the lessee paying a rental for the hire of an asset for a period of time that is substantially less than its useful economic life.  The lessor retains most of the risks and rewards of ownership.</w:t>
      </w:r>
    </w:p>
    <w:p w14:paraId="72C1DF67" w14:textId="77777777" w:rsidR="00EA47B5" w:rsidRPr="003A3B6A" w:rsidRDefault="00EA47B5" w:rsidP="003356AE">
      <w:pPr>
        <w:spacing w:line="240" w:lineRule="auto"/>
        <w:rPr>
          <w:bCs/>
        </w:rPr>
      </w:pPr>
    </w:p>
    <w:p w14:paraId="12A472A0" w14:textId="77777777" w:rsidR="00EA47B5" w:rsidRPr="003A3B6A" w:rsidRDefault="00EA47B5" w:rsidP="003356AE">
      <w:pPr>
        <w:pStyle w:val="VAHeadingLevel2"/>
        <w:spacing w:line="240" w:lineRule="auto"/>
      </w:pPr>
      <w:r w:rsidRPr="003A3B6A">
        <w:t>Outturn</w:t>
      </w:r>
    </w:p>
    <w:p w14:paraId="49CE0F82" w14:textId="77777777" w:rsidR="00EA47B5" w:rsidRPr="003A3B6A" w:rsidRDefault="00EA47B5" w:rsidP="003356AE">
      <w:pPr>
        <w:spacing w:line="240" w:lineRule="auto"/>
        <w:rPr>
          <w:bCs/>
        </w:rPr>
      </w:pPr>
      <w:r w:rsidRPr="003A3B6A">
        <w:rPr>
          <w:bCs/>
        </w:rPr>
        <w:t>The actual amount spent in the financial year.</w:t>
      </w:r>
    </w:p>
    <w:p w14:paraId="0135CE97" w14:textId="77777777" w:rsidR="00EA47B5" w:rsidRPr="003A3B6A" w:rsidRDefault="00EA47B5" w:rsidP="003356AE">
      <w:pPr>
        <w:spacing w:line="240" w:lineRule="auto"/>
        <w:rPr>
          <w:bCs/>
        </w:rPr>
      </w:pPr>
    </w:p>
    <w:p w14:paraId="08431A9A" w14:textId="77777777" w:rsidR="00EA47B5" w:rsidRPr="003A3B6A" w:rsidRDefault="00EA47B5" w:rsidP="003356AE">
      <w:pPr>
        <w:pStyle w:val="VAHeadingLevel2"/>
        <w:spacing w:line="240" w:lineRule="auto"/>
      </w:pPr>
      <w:r w:rsidRPr="003A3B6A">
        <w:t>Payments in Advance</w:t>
      </w:r>
    </w:p>
    <w:p w14:paraId="11602BB7" w14:textId="77777777" w:rsidR="00EA47B5" w:rsidRPr="003A3B6A" w:rsidRDefault="00EA47B5" w:rsidP="003356AE">
      <w:pPr>
        <w:spacing w:line="240" w:lineRule="auto"/>
        <w:rPr>
          <w:bCs/>
        </w:rPr>
      </w:pPr>
      <w:r w:rsidRPr="003A3B6A">
        <w:rPr>
          <w:bCs/>
        </w:rPr>
        <w:t>These represent payments made prior to supplies and services received.</w:t>
      </w:r>
    </w:p>
    <w:p w14:paraId="3179B913" w14:textId="77777777" w:rsidR="00EA47B5" w:rsidRPr="003A3B6A" w:rsidRDefault="00EA47B5" w:rsidP="003356AE">
      <w:pPr>
        <w:spacing w:line="240" w:lineRule="auto"/>
        <w:rPr>
          <w:bCs/>
        </w:rPr>
      </w:pPr>
    </w:p>
    <w:p w14:paraId="25BDE8D4" w14:textId="77777777" w:rsidR="00EA47B5" w:rsidRPr="003A3B6A" w:rsidRDefault="00EA47B5" w:rsidP="003356AE">
      <w:pPr>
        <w:pStyle w:val="VAHeadingLevel2"/>
        <w:spacing w:line="240" w:lineRule="auto"/>
      </w:pPr>
      <w:r w:rsidRPr="003A3B6A">
        <w:t>Pension – Defined Benefit Scheme</w:t>
      </w:r>
    </w:p>
    <w:p w14:paraId="0199E3D3" w14:textId="77777777" w:rsidR="00EA47B5" w:rsidRPr="003A3B6A" w:rsidRDefault="00EA47B5" w:rsidP="003356AE">
      <w:pPr>
        <w:spacing w:line="240" w:lineRule="auto"/>
        <w:rPr>
          <w:bCs/>
        </w:rPr>
      </w:pPr>
      <w:r w:rsidRPr="003A3B6A">
        <w:rPr>
          <w:bCs/>
        </w:rPr>
        <w:t>A pension or other retirement benefit scheme other than a defined contribution scheme.  The scheme rules define the benefits independently of the contribution payable, and the benefits are not directly related to the investments of the scheme.  The scheme may be funded or unfunded.</w:t>
      </w:r>
    </w:p>
    <w:p w14:paraId="07C5C679" w14:textId="77777777" w:rsidR="00EA47B5" w:rsidRPr="003A3B6A" w:rsidRDefault="00EA47B5" w:rsidP="003356AE">
      <w:pPr>
        <w:spacing w:line="240" w:lineRule="auto"/>
        <w:rPr>
          <w:bCs/>
        </w:rPr>
      </w:pPr>
    </w:p>
    <w:p w14:paraId="495BBD41" w14:textId="77777777" w:rsidR="00EA47B5" w:rsidRPr="003A3B6A" w:rsidRDefault="00EA47B5" w:rsidP="003356AE">
      <w:pPr>
        <w:pStyle w:val="VAHeadingLevel2"/>
        <w:spacing w:line="240" w:lineRule="auto"/>
      </w:pPr>
      <w:r w:rsidRPr="003A3B6A">
        <w:t>Pension Assets – Expected Rate of Return</w:t>
      </w:r>
    </w:p>
    <w:p w14:paraId="5F78312A" w14:textId="77777777" w:rsidR="00EA47B5" w:rsidRPr="003A3B6A" w:rsidRDefault="00EA47B5" w:rsidP="003356AE">
      <w:pPr>
        <w:spacing w:line="240" w:lineRule="auto"/>
        <w:rPr>
          <w:bCs/>
        </w:rPr>
      </w:pPr>
      <w:r w:rsidRPr="003A3B6A">
        <w:rPr>
          <w:bCs/>
        </w:rPr>
        <w:t>For a funded defined benefits scheme, the average rate of return, including both income and changes in fair value but net of scheme expenses, expected over the remaining life of the related obligation on the actual assets held by the scheme.</w:t>
      </w:r>
    </w:p>
    <w:p w14:paraId="21030E32" w14:textId="77777777" w:rsidR="00EA47B5" w:rsidRPr="003A3B6A" w:rsidRDefault="00EA47B5" w:rsidP="003356AE">
      <w:pPr>
        <w:spacing w:line="240" w:lineRule="auto"/>
        <w:rPr>
          <w:bCs/>
        </w:rPr>
      </w:pPr>
    </w:p>
    <w:p w14:paraId="0D446A43" w14:textId="77777777" w:rsidR="00EA47B5" w:rsidRPr="003A3B6A" w:rsidRDefault="00EA47B5" w:rsidP="003356AE">
      <w:pPr>
        <w:pStyle w:val="VAHeadingLevel2"/>
        <w:spacing w:line="240" w:lineRule="auto"/>
      </w:pPr>
      <w:r w:rsidRPr="003A3B6A">
        <w:t>Pension – Interest Costs</w:t>
      </w:r>
    </w:p>
    <w:p w14:paraId="14AD3481" w14:textId="77777777" w:rsidR="00EA47B5" w:rsidRDefault="00EA47B5" w:rsidP="003356AE">
      <w:pPr>
        <w:spacing w:line="240" w:lineRule="auto"/>
        <w:rPr>
          <w:bCs/>
        </w:rPr>
      </w:pPr>
      <w:r w:rsidRPr="003A3B6A">
        <w:rPr>
          <w:bCs/>
        </w:rPr>
        <w:t>For a defined benefit scheme, the expected increase during the period in the present value of the scheme liabilities because the benefits are one period closer to settle.</w:t>
      </w:r>
    </w:p>
    <w:p w14:paraId="3BCE2D11" w14:textId="77777777" w:rsidR="0078637F" w:rsidRDefault="0078637F" w:rsidP="003356AE">
      <w:pPr>
        <w:spacing w:line="240" w:lineRule="auto"/>
        <w:rPr>
          <w:bCs/>
        </w:rPr>
      </w:pPr>
    </w:p>
    <w:p w14:paraId="76EC993E" w14:textId="77777777" w:rsidR="0078637F" w:rsidRDefault="0078637F" w:rsidP="003356AE">
      <w:pPr>
        <w:spacing w:line="240" w:lineRule="auto"/>
        <w:rPr>
          <w:bCs/>
        </w:rPr>
      </w:pPr>
    </w:p>
    <w:p w14:paraId="76442550" w14:textId="77777777" w:rsidR="0078637F" w:rsidRPr="003A3B6A" w:rsidRDefault="0078637F" w:rsidP="003356AE">
      <w:pPr>
        <w:spacing w:line="240" w:lineRule="auto"/>
        <w:rPr>
          <w:bCs/>
        </w:rPr>
      </w:pPr>
    </w:p>
    <w:p w14:paraId="53C3FA20" w14:textId="77777777" w:rsidR="00EA47B5" w:rsidRPr="003A3B6A" w:rsidRDefault="00EA47B5" w:rsidP="003356AE">
      <w:pPr>
        <w:spacing w:line="240" w:lineRule="auto"/>
        <w:rPr>
          <w:bCs/>
        </w:rPr>
      </w:pPr>
    </w:p>
    <w:p w14:paraId="205F7F7C" w14:textId="77777777" w:rsidR="00EA47B5" w:rsidRPr="003A3B6A" w:rsidRDefault="00EA47B5" w:rsidP="003356AE">
      <w:pPr>
        <w:pStyle w:val="VAHeadingLevel2"/>
        <w:spacing w:line="240" w:lineRule="auto"/>
      </w:pPr>
      <w:r w:rsidRPr="003A3B6A">
        <w:lastRenderedPageBreak/>
        <w:t>Pension – Past Service Costs</w:t>
      </w:r>
    </w:p>
    <w:p w14:paraId="0AAA7411" w14:textId="77777777" w:rsidR="00EA47B5" w:rsidRPr="003A3B6A" w:rsidRDefault="00EA47B5" w:rsidP="003356AE">
      <w:pPr>
        <w:spacing w:line="240" w:lineRule="auto"/>
        <w:rPr>
          <w:bCs/>
        </w:rPr>
      </w:pPr>
      <w:r w:rsidRPr="003A3B6A">
        <w:rPr>
          <w:bCs/>
        </w:rPr>
        <w:t xml:space="preserve">In a defined benefit scheme, the increase in the present value of the scheme liabilities related to employee service in prior periods arising in the current period as a result of the introduction of, or improvement to, retirement benefits.  </w:t>
      </w:r>
    </w:p>
    <w:p w14:paraId="4833769C" w14:textId="77777777" w:rsidR="00EA47B5" w:rsidRPr="003A3B6A" w:rsidRDefault="00EA47B5" w:rsidP="003356AE">
      <w:pPr>
        <w:spacing w:line="240" w:lineRule="auto"/>
      </w:pPr>
    </w:p>
    <w:p w14:paraId="795A0E9E" w14:textId="77777777" w:rsidR="00EA47B5" w:rsidRPr="003A3B6A" w:rsidRDefault="00EA47B5" w:rsidP="003356AE">
      <w:pPr>
        <w:pStyle w:val="VAHeadingLevel2"/>
        <w:spacing w:line="240" w:lineRule="auto"/>
      </w:pPr>
      <w:r w:rsidRPr="003A3B6A">
        <w:t>Pension Fund</w:t>
      </w:r>
    </w:p>
    <w:p w14:paraId="0EEFBC56" w14:textId="77777777" w:rsidR="00EA47B5" w:rsidRPr="003A3B6A" w:rsidRDefault="00EA47B5" w:rsidP="003356AE">
      <w:pPr>
        <w:spacing w:line="240" w:lineRule="auto"/>
        <w:rPr>
          <w:bCs/>
        </w:rPr>
      </w:pPr>
      <w:r w:rsidRPr="003A3B6A">
        <w:rPr>
          <w:bCs/>
        </w:rPr>
        <w:t>A fund which makes pension payments on retirement of its participants.</w:t>
      </w:r>
    </w:p>
    <w:p w14:paraId="1E18E950" w14:textId="77777777" w:rsidR="00EA47B5" w:rsidRPr="003A3B6A" w:rsidRDefault="00EA47B5" w:rsidP="003356AE">
      <w:pPr>
        <w:spacing w:line="240" w:lineRule="auto"/>
        <w:rPr>
          <w:bCs/>
        </w:rPr>
      </w:pPr>
    </w:p>
    <w:p w14:paraId="3CBB7323" w14:textId="77777777" w:rsidR="00EA47B5" w:rsidRPr="003A3B6A" w:rsidRDefault="00EA47B5" w:rsidP="003356AE">
      <w:pPr>
        <w:pStyle w:val="VAHeadingLevel2"/>
        <w:spacing w:line="240" w:lineRule="auto"/>
      </w:pPr>
      <w:r w:rsidRPr="003A3B6A">
        <w:t>Pensions Top-Up Grant (PTUG)</w:t>
      </w:r>
    </w:p>
    <w:p w14:paraId="7E3CCDB8" w14:textId="77777777" w:rsidR="00EA47B5" w:rsidRPr="003A3B6A" w:rsidRDefault="00EA47B5" w:rsidP="003356AE">
      <w:pPr>
        <w:spacing w:line="240" w:lineRule="auto"/>
        <w:rPr>
          <w:bCs/>
        </w:rPr>
      </w:pPr>
      <w:r w:rsidRPr="003A3B6A">
        <w:rPr>
          <w:bCs/>
        </w:rPr>
        <w:t>A grant from the Home Office that funds the difference between a nationally agreed employer’s contribution paid into the Pension Fund Account, employee contributions and benefits paid to pensioners during the year.</w:t>
      </w:r>
    </w:p>
    <w:p w14:paraId="7DACFB09" w14:textId="77777777" w:rsidR="00EA47B5" w:rsidRPr="003A3B6A" w:rsidRDefault="00EA47B5" w:rsidP="003356AE">
      <w:pPr>
        <w:spacing w:line="240" w:lineRule="auto"/>
        <w:rPr>
          <w:bCs/>
        </w:rPr>
      </w:pPr>
    </w:p>
    <w:p w14:paraId="70277763" w14:textId="77777777" w:rsidR="00EA47B5" w:rsidRPr="003A3B6A" w:rsidRDefault="00EA47B5" w:rsidP="003356AE">
      <w:pPr>
        <w:pStyle w:val="VAHeadingLevel2"/>
        <w:spacing w:line="240" w:lineRule="auto"/>
      </w:pPr>
      <w:r w:rsidRPr="003A3B6A">
        <w:t>Precept</w:t>
      </w:r>
    </w:p>
    <w:p w14:paraId="351BF931" w14:textId="77777777" w:rsidR="00EA47B5" w:rsidRPr="003A3B6A" w:rsidRDefault="00EA47B5" w:rsidP="003356AE">
      <w:pPr>
        <w:spacing w:line="240" w:lineRule="auto"/>
        <w:rPr>
          <w:bCs/>
        </w:rPr>
      </w:pPr>
      <w:r w:rsidRPr="003A3B6A">
        <w:rPr>
          <w:bCs/>
        </w:rPr>
        <w:t>The method by which the OPFCC obtains the income it requires from council tax via the collection Authorities (i.e. the unitary councils in Northamptonshire).</w:t>
      </w:r>
    </w:p>
    <w:p w14:paraId="0D3399C1" w14:textId="77777777" w:rsidR="00EA47B5" w:rsidRPr="003A3B6A" w:rsidRDefault="00EA47B5" w:rsidP="003356AE">
      <w:pPr>
        <w:spacing w:line="240" w:lineRule="auto"/>
        <w:rPr>
          <w:bCs/>
        </w:rPr>
      </w:pPr>
    </w:p>
    <w:p w14:paraId="0F9E497F" w14:textId="77777777" w:rsidR="00EA47B5" w:rsidRPr="003A3B6A" w:rsidRDefault="00EA47B5" w:rsidP="003356AE">
      <w:pPr>
        <w:pStyle w:val="VAHeadingLevel2"/>
        <w:spacing w:line="240" w:lineRule="auto"/>
      </w:pPr>
      <w:r w:rsidRPr="003A3B6A">
        <w:t>Provision</w:t>
      </w:r>
    </w:p>
    <w:p w14:paraId="46765272" w14:textId="77777777" w:rsidR="00EA47B5" w:rsidRPr="003A3B6A" w:rsidRDefault="00EA47B5" w:rsidP="003356AE">
      <w:pPr>
        <w:spacing w:line="240" w:lineRule="auto"/>
        <w:rPr>
          <w:bCs/>
        </w:rPr>
      </w:pPr>
      <w:r w:rsidRPr="003A3B6A">
        <w:rPr>
          <w:bCs/>
        </w:rPr>
        <w:t>An amount set aside to provide for a liability which is likely to be incurred but the exact amount and the date on which it will arise is uncertain.</w:t>
      </w:r>
    </w:p>
    <w:p w14:paraId="4445B9ED" w14:textId="77777777" w:rsidR="00EA47B5" w:rsidRPr="003A3B6A" w:rsidRDefault="00EA47B5" w:rsidP="003356AE">
      <w:pPr>
        <w:spacing w:line="240" w:lineRule="auto"/>
      </w:pPr>
    </w:p>
    <w:p w14:paraId="41FAA31F" w14:textId="77777777" w:rsidR="00EA47B5" w:rsidRPr="003A3B6A" w:rsidRDefault="00EA47B5" w:rsidP="003356AE">
      <w:pPr>
        <w:pStyle w:val="VAHeadingLevel2"/>
        <w:spacing w:line="240" w:lineRule="auto"/>
      </w:pPr>
      <w:r w:rsidRPr="003A3B6A">
        <w:t>Prudential Code</w:t>
      </w:r>
    </w:p>
    <w:p w14:paraId="4750B6ED" w14:textId="77777777" w:rsidR="00EA47B5" w:rsidRPr="003A3B6A" w:rsidRDefault="00EA47B5" w:rsidP="003356AE">
      <w:pPr>
        <w:spacing w:line="240" w:lineRule="auto"/>
        <w:rPr>
          <w:bCs/>
        </w:rPr>
      </w:pPr>
      <w:r w:rsidRPr="003A3B6A">
        <w:rPr>
          <w:bCs/>
        </w:rPr>
        <w:t>The code developed by CIPFA that sets out a framework for self-regulation of capital spending, in effect allowing OPFCC’s to invest in capital projects which best meet their service delivery objectives as long as they are affordable, prudent and sustainable.  The code came into Force from 1 April 2004 and is incorporated into the Local Government Act 2003 and associated regulations.</w:t>
      </w:r>
    </w:p>
    <w:p w14:paraId="7E8673B1" w14:textId="77777777" w:rsidR="00EA47B5" w:rsidRPr="003A3B6A" w:rsidRDefault="00EA47B5" w:rsidP="003356AE">
      <w:pPr>
        <w:spacing w:line="240" w:lineRule="auto"/>
        <w:rPr>
          <w:bCs/>
        </w:rPr>
      </w:pPr>
    </w:p>
    <w:p w14:paraId="07114617" w14:textId="77777777" w:rsidR="00EA47B5" w:rsidRPr="003A3B6A" w:rsidRDefault="00EA47B5" w:rsidP="003356AE">
      <w:pPr>
        <w:pStyle w:val="VAHeadingLevel2"/>
        <w:spacing w:line="240" w:lineRule="auto"/>
      </w:pPr>
      <w:r w:rsidRPr="003A3B6A">
        <w:t>Public Works Loan Board (PWLB)</w:t>
      </w:r>
    </w:p>
    <w:p w14:paraId="3CBA8C57" w14:textId="77777777" w:rsidR="00EA47B5" w:rsidRPr="003A3B6A" w:rsidRDefault="00EA47B5" w:rsidP="003356AE">
      <w:pPr>
        <w:spacing w:line="240" w:lineRule="auto"/>
        <w:rPr>
          <w:bCs/>
        </w:rPr>
      </w:pPr>
      <w:r w:rsidRPr="003A3B6A">
        <w:rPr>
          <w:bCs/>
        </w:rPr>
        <w:t>A government agency which provides longer-term loans to Local OPFCC’s at interest rates only slightly higher than those at which the government itself can borrow.</w:t>
      </w:r>
    </w:p>
    <w:p w14:paraId="5BA6B0FB" w14:textId="77777777" w:rsidR="00EA47B5" w:rsidRPr="003A3B6A" w:rsidRDefault="00EA47B5" w:rsidP="003356AE">
      <w:pPr>
        <w:spacing w:line="240" w:lineRule="auto"/>
        <w:rPr>
          <w:bCs/>
        </w:rPr>
      </w:pPr>
    </w:p>
    <w:p w14:paraId="24E0830C" w14:textId="77777777" w:rsidR="00EA47B5" w:rsidRPr="003A3B6A" w:rsidRDefault="00EA47B5" w:rsidP="003356AE">
      <w:pPr>
        <w:pStyle w:val="VAHeadingLevel2"/>
        <w:spacing w:line="240" w:lineRule="auto"/>
      </w:pPr>
      <w:r w:rsidRPr="003A3B6A">
        <w:t>Receipts in Advance</w:t>
      </w:r>
    </w:p>
    <w:p w14:paraId="5410327C" w14:textId="77777777" w:rsidR="00EA47B5" w:rsidRPr="003A3B6A" w:rsidRDefault="00EA47B5" w:rsidP="003356AE">
      <w:pPr>
        <w:spacing w:line="240" w:lineRule="auto"/>
        <w:rPr>
          <w:bCs/>
        </w:rPr>
      </w:pPr>
      <w:r w:rsidRPr="003A3B6A">
        <w:rPr>
          <w:bCs/>
        </w:rPr>
        <w:t>These represent income received prior to supplies and services being provided by the OPFCC.</w:t>
      </w:r>
    </w:p>
    <w:p w14:paraId="0C6D91B2" w14:textId="77777777" w:rsidR="00EA47B5" w:rsidRPr="003A3B6A" w:rsidRDefault="00EA47B5" w:rsidP="003356AE">
      <w:pPr>
        <w:spacing w:line="240" w:lineRule="auto"/>
        <w:rPr>
          <w:bCs/>
        </w:rPr>
      </w:pPr>
    </w:p>
    <w:p w14:paraId="627B1A8D" w14:textId="77777777" w:rsidR="00EA47B5" w:rsidRPr="003A3B6A" w:rsidRDefault="00EA47B5" w:rsidP="003356AE">
      <w:pPr>
        <w:pStyle w:val="VAHeadingLevel2"/>
        <w:spacing w:line="240" w:lineRule="auto"/>
      </w:pPr>
      <w:r w:rsidRPr="003A3B6A">
        <w:t>Receipts and Payments</w:t>
      </w:r>
    </w:p>
    <w:p w14:paraId="27B6789A" w14:textId="77777777" w:rsidR="00EA47B5" w:rsidRPr="003A3B6A" w:rsidRDefault="00EA47B5" w:rsidP="003356AE">
      <w:pPr>
        <w:spacing w:line="240" w:lineRule="auto"/>
        <w:rPr>
          <w:bCs/>
        </w:rPr>
      </w:pPr>
      <w:r w:rsidRPr="003A3B6A">
        <w:rPr>
          <w:bCs/>
        </w:rPr>
        <w:t>Amounts actually paid or received in a given accounting period irrespective of the period for which they are due.</w:t>
      </w:r>
    </w:p>
    <w:p w14:paraId="1E3D7C92" w14:textId="77777777" w:rsidR="00EA47B5" w:rsidRPr="003A3B6A" w:rsidRDefault="00EA47B5" w:rsidP="003356AE">
      <w:pPr>
        <w:spacing w:line="240" w:lineRule="auto"/>
        <w:rPr>
          <w:bCs/>
        </w:rPr>
      </w:pPr>
    </w:p>
    <w:p w14:paraId="37E0B199" w14:textId="77777777" w:rsidR="00EA47B5" w:rsidRPr="003A3B6A" w:rsidRDefault="00EA47B5" w:rsidP="003356AE">
      <w:pPr>
        <w:pStyle w:val="VAHeadingLevel2"/>
        <w:spacing w:line="240" w:lineRule="auto"/>
      </w:pPr>
      <w:r w:rsidRPr="003A3B6A">
        <w:t>Retirement Benefits</w:t>
      </w:r>
    </w:p>
    <w:p w14:paraId="420A1C24" w14:textId="77777777" w:rsidR="00EA47B5" w:rsidRPr="003A3B6A" w:rsidRDefault="00EA47B5" w:rsidP="003356AE">
      <w:pPr>
        <w:spacing w:line="240" w:lineRule="auto"/>
        <w:rPr>
          <w:bCs/>
        </w:rPr>
      </w:pPr>
      <w:r w:rsidRPr="003A3B6A">
        <w:rPr>
          <w:bCs/>
        </w:rPr>
        <w:t>All forms of consideration given by an employer in exchange for services rendered by employees that are payable after the completion of employment.</w:t>
      </w:r>
    </w:p>
    <w:p w14:paraId="18E65797" w14:textId="77777777" w:rsidR="00EA47B5" w:rsidRPr="003A3B6A" w:rsidRDefault="00EA47B5" w:rsidP="003356AE">
      <w:pPr>
        <w:spacing w:line="240" w:lineRule="auto"/>
        <w:rPr>
          <w:bCs/>
        </w:rPr>
      </w:pPr>
    </w:p>
    <w:p w14:paraId="57BAEC68" w14:textId="77777777" w:rsidR="00EA47B5" w:rsidRPr="003A3B6A" w:rsidRDefault="00EA47B5" w:rsidP="003356AE">
      <w:pPr>
        <w:pStyle w:val="VAHeadingLevel2"/>
        <w:spacing w:line="240" w:lineRule="auto"/>
      </w:pPr>
      <w:r w:rsidRPr="003A3B6A">
        <w:t>Revenue Contributions</w:t>
      </w:r>
    </w:p>
    <w:p w14:paraId="32F582FA" w14:textId="6BCA7AEA" w:rsidR="00EA47B5" w:rsidRPr="003A3B6A" w:rsidRDefault="00EA47B5" w:rsidP="003356AE">
      <w:pPr>
        <w:spacing w:line="240" w:lineRule="auto"/>
      </w:pPr>
      <w:r w:rsidRPr="003A3B6A">
        <w:rPr>
          <w:bCs/>
        </w:rPr>
        <w:t>Capital Expenditure funded from the Revenue Account which reduces the requirement to borrow.</w:t>
      </w:r>
    </w:p>
    <w:p w14:paraId="0FAE814C" w14:textId="77777777" w:rsidR="00EA47B5" w:rsidRPr="003A3B6A" w:rsidRDefault="00EA47B5" w:rsidP="003356AE">
      <w:pPr>
        <w:spacing w:line="240" w:lineRule="auto"/>
      </w:pPr>
    </w:p>
    <w:p w14:paraId="34A2F73C" w14:textId="77777777" w:rsidR="00EA47B5" w:rsidRPr="00EA31CE" w:rsidRDefault="00EA47B5" w:rsidP="003356AE">
      <w:pPr>
        <w:spacing w:line="240" w:lineRule="auto"/>
        <w:rPr>
          <w:highlight w:val="yellow"/>
        </w:rPr>
      </w:pPr>
    </w:p>
    <w:p w14:paraId="6AF37C3B" w14:textId="77777777" w:rsidR="00EA47B5" w:rsidRPr="00EA31CE" w:rsidRDefault="00EA47B5" w:rsidP="003356AE">
      <w:pPr>
        <w:spacing w:line="240" w:lineRule="auto"/>
        <w:rPr>
          <w:highlight w:val="yellow"/>
        </w:rPr>
      </w:pPr>
    </w:p>
    <w:p w14:paraId="45B8D284" w14:textId="75D509FE" w:rsidR="005C7F0A" w:rsidRDefault="005C7F0A" w:rsidP="003356AE">
      <w:pPr>
        <w:pStyle w:val="ChapterHeading"/>
        <w:spacing w:line="240" w:lineRule="auto"/>
      </w:pPr>
      <w:bookmarkStart w:id="268" w:name="_Toc231975679"/>
      <w:r>
        <w:lastRenderedPageBreak/>
        <w:t>Audit Report</w:t>
      </w:r>
      <w:bookmarkEnd w:id="255"/>
      <w:bookmarkEnd w:id="268"/>
    </w:p>
    <w:p w14:paraId="590F7F11" w14:textId="7BDF799B" w:rsidR="003D06FE" w:rsidRPr="003D06FE" w:rsidRDefault="003D06FE" w:rsidP="003356AE">
      <w:pPr>
        <w:spacing w:line="240" w:lineRule="auto"/>
        <w:rPr>
          <w:b/>
          <w:bCs/>
        </w:rPr>
      </w:pPr>
    </w:p>
    <w:p w14:paraId="428A9C1F" w14:textId="46D52073" w:rsidR="003D06FE" w:rsidRPr="003D06FE" w:rsidRDefault="003D06FE" w:rsidP="003356AE">
      <w:pPr>
        <w:spacing w:line="240" w:lineRule="auto"/>
        <w:jc w:val="left"/>
        <w:rPr>
          <w:rFonts w:asciiTheme="minorHAnsi" w:eastAsia="Times New Roman" w:hAnsiTheme="minorHAnsi" w:cs="Times New Roman"/>
          <w:b/>
          <w:bCs/>
          <w:smallCaps/>
          <w:color w:val="25316C"/>
          <w:sz w:val="32"/>
          <w:szCs w:val="32"/>
        </w:rPr>
      </w:pPr>
      <w:r w:rsidRPr="003D06FE">
        <w:rPr>
          <w:rFonts w:asciiTheme="minorHAnsi" w:eastAsia="Times New Roman" w:hAnsiTheme="minorHAnsi" w:cs="Times New Roman"/>
          <w:b/>
          <w:bCs/>
          <w:smallCaps/>
          <w:color w:val="25316C"/>
          <w:sz w:val="32"/>
          <w:szCs w:val="32"/>
        </w:rPr>
        <w:t>Independent auditor's report to the Chief Constable for Northamptonshire</w:t>
      </w:r>
    </w:p>
    <w:p w14:paraId="6D85B010" w14:textId="77777777" w:rsidR="003D06FE" w:rsidRDefault="003D06FE" w:rsidP="003356AE">
      <w:pPr>
        <w:spacing w:line="240" w:lineRule="auto"/>
        <w:rPr>
          <w:b/>
          <w:bCs/>
        </w:rPr>
      </w:pPr>
    </w:p>
    <w:p w14:paraId="38D35575" w14:textId="4F8FAF5D" w:rsidR="005C7F0A" w:rsidRPr="00C10B0A" w:rsidRDefault="003D06FE" w:rsidP="003356AE">
      <w:pPr>
        <w:spacing w:line="240" w:lineRule="auto"/>
        <w:jc w:val="left"/>
      </w:pPr>
      <w:r>
        <w:rPr>
          <w:noProof/>
        </w:rPr>
        <w:drawing>
          <wp:anchor distT="0" distB="0" distL="114300" distR="114300" simplePos="0" relativeHeight="251658244" behindDoc="0" locked="0" layoutInCell="1" allowOverlap="1" wp14:anchorId="13521698" wp14:editId="626FC21A">
            <wp:simplePos x="0" y="0"/>
            <wp:positionH relativeFrom="margin">
              <wp:posOffset>-954405</wp:posOffset>
            </wp:positionH>
            <wp:positionV relativeFrom="margin">
              <wp:posOffset>4421505</wp:posOffset>
            </wp:positionV>
            <wp:extent cx="7609840" cy="3723005"/>
            <wp:effectExtent l="0" t="0" r="0" b="0"/>
            <wp:wrapSquare wrapText="bothSides"/>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7609840" cy="3723005"/>
                    </a:xfrm>
                    <a:prstGeom prst="rect">
                      <a:avLst/>
                    </a:prstGeom>
                  </pic:spPr>
                </pic:pic>
              </a:graphicData>
            </a:graphic>
            <wp14:sizeRelH relativeFrom="margin">
              <wp14:pctWidth>0</wp14:pctWidth>
            </wp14:sizeRelH>
            <wp14:sizeRelV relativeFrom="margin">
              <wp14:pctHeight>0</wp14:pctHeight>
            </wp14:sizeRelV>
          </wp:anchor>
        </w:drawing>
      </w:r>
    </w:p>
    <w:sectPr w:rsidR="005C7F0A" w:rsidRPr="00C10B0A" w:rsidSect="008724C5">
      <w:headerReference w:type="even" r:id="rId27"/>
      <w:footerReference w:type="even" r:id="rId28"/>
      <w:pgSz w:w="11900" w:h="16840"/>
      <w:pgMar w:top="1418" w:right="1418" w:bottom="1418"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A57F" w14:textId="77777777" w:rsidR="00FD4467" w:rsidRDefault="00FD4467">
      <w:r>
        <w:separator/>
      </w:r>
    </w:p>
  </w:endnote>
  <w:endnote w:type="continuationSeparator" w:id="0">
    <w:p w14:paraId="7A10EBB1" w14:textId="77777777" w:rsidR="00FD4467" w:rsidRDefault="00FD4467">
      <w:r>
        <w:continuationSeparator/>
      </w:r>
    </w:p>
  </w:endnote>
  <w:endnote w:type="continuationNotice" w:id="1">
    <w:p w14:paraId="7EC8A762" w14:textId="77777777" w:rsidR="00FD4467" w:rsidRDefault="00FD44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D167" w14:textId="7A895F14" w:rsidR="00B57879" w:rsidRPr="00B57879" w:rsidRDefault="00B57879" w:rsidP="008C2A87">
    <w:pPr>
      <w:tabs>
        <w:tab w:val="center" w:pos="4513"/>
        <w:tab w:val="right" w:pos="9026"/>
      </w:tabs>
      <w:spacing w:line="240" w:lineRule="auto"/>
      <w:rPr>
        <w:rFonts w:eastAsia="Calibri" w:cs="Times New Roman"/>
        <w:color w:val="auto"/>
        <w:sz w:val="24"/>
      </w:rPr>
    </w:pPr>
    <w:r w:rsidRPr="00B57879">
      <w:rPr>
        <w:rFonts w:eastAsia="Calibri" w:cs="Times New Roman"/>
        <w:noProof/>
        <w:color w:val="FFFFFF" w:themeColor="background1"/>
        <w:sz w:val="24"/>
      </w:rPr>
      <w:drawing>
        <wp:anchor distT="0" distB="0" distL="114300" distR="114300" simplePos="0" relativeHeight="251655168" behindDoc="0" locked="0" layoutInCell="1" allowOverlap="1" wp14:anchorId="1260107F" wp14:editId="4E5F5FE4">
          <wp:simplePos x="0" y="0"/>
          <wp:positionH relativeFrom="column">
            <wp:posOffset>3709035</wp:posOffset>
          </wp:positionH>
          <wp:positionV relativeFrom="paragraph">
            <wp:posOffset>-81915</wp:posOffset>
          </wp:positionV>
          <wp:extent cx="2138045" cy="315595"/>
          <wp:effectExtent l="0" t="0" r="0" b="0"/>
          <wp:wrapSquare wrapText="bothSides"/>
          <wp:docPr id="1220421530" name="Picture 1220421530" descr="Northamptonshire Police footer with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orthamptonshire Police footer with badge"/>
                  <pic:cNvPicPr/>
                </pic:nvPicPr>
                <pic:blipFill>
                  <a:blip r:embed="rId1">
                    <a:extLst>
                      <a:ext uri="{28A0092B-C50C-407E-A947-70E740481C1C}">
                        <a14:useLocalDpi xmlns:a14="http://schemas.microsoft.com/office/drawing/2010/main" val="0"/>
                      </a:ext>
                    </a:extLst>
                  </a:blip>
                  <a:stretch>
                    <a:fillRect/>
                  </a:stretch>
                </pic:blipFill>
                <pic:spPr>
                  <a:xfrm>
                    <a:off x="0" y="0"/>
                    <a:ext cx="2138045" cy="315595"/>
                  </a:xfrm>
                  <a:prstGeom prst="rect">
                    <a:avLst/>
                  </a:prstGeom>
                </pic:spPr>
              </pic:pic>
            </a:graphicData>
          </a:graphic>
          <wp14:sizeRelH relativeFrom="page">
            <wp14:pctWidth>0</wp14:pctWidth>
          </wp14:sizeRelH>
          <wp14:sizeRelV relativeFrom="page">
            <wp14:pctHeight>0</wp14:pctHeight>
          </wp14:sizeRelV>
        </wp:anchor>
      </w:drawing>
    </w:r>
    <w:r>
      <w:rPr>
        <w:rFonts w:eastAsia="Calibri" w:cs="Times New Roman"/>
        <w:color w:val="202348"/>
        <w:sz w:val="22"/>
        <w:szCs w:val="22"/>
      </w:rPr>
      <w:tab/>
    </w:r>
    <w:r w:rsidRPr="00B57879">
      <w:rPr>
        <w:rFonts w:eastAsia="Calibri" w:cs="Times New Roman"/>
        <w:color w:val="202348"/>
        <w:sz w:val="22"/>
        <w:szCs w:val="22"/>
      </w:rPr>
      <w:fldChar w:fldCharType="begin"/>
    </w:r>
    <w:r w:rsidRPr="00B57879">
      <w:rPr>
        <w:rFonts w:eastAsia="Calibri" w:cs="Times New Roman"/>
        <w:color w:val="202348"/>
        <w:sz w:val="22"/>
        <w:szCs w:val="22"/>
      </w:rPr>
      <w:instrText xml:space="preserve"> PAGE   \* MERGEFORMAT </w:instrText>
    </w:r>
    <w:r w:rsidRPr="00B57879">
      <w:rPr>
        <w:rFonts w:eastAsia="Calibri" w:cs="Times New Roman"/>
        <w:color w:val="202348"/>
        <w:sz w:val="22"/>
        <w:szCs w:val="22"/>
      </w:rPr>
      <w:fldChar w:fldCharType="separate"/>
    </w:r>
    <w:r w:rsidRPr="00B57879">
      <w:rPr>
        <w:rFonts w:eastAsia="Calibri" w:cs="Times New Roman"/>
        <w:noProof/>
        <w:color w:val="202348"/>
        <w:sz w:val="22"/>
        <w:szCs w:val="22"/>
      </w:rPr>
      <w:t>1</w:t>
    </w:r>
    <w:r w:rsidRPr="00B57879">
      <w:rPr>
        <w:rFonts w:eastAsia="Calibri" w:cs="Times New Roman"/>
        <w:noProof/>
        <w:color w:val="202348"/>
        <w:sz w:val="22"/>
        <w:szCs w:val="22"/>
      </w:rPr>
      <w:fldChar w:fldCharType="end"/>
    </w:r>
  </w:p>
  <w:p w14:paraId="3B60F9B9" w14:textId="0FD44594" w:rsidR="00037DF2" w:rsidRDefault="00037DF2" w:rsidP="00B57879">
    <w:pPr>
      <w:tabs>
        <w:tab w:val="center" w:pos="4513"/>
        <w:tab w:val="right" w:pos="9026"/>
      </w:tabs>
      <w:spacing w:line="240"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3A84" w14:textId="77777777" w:rsidR="00C63119" w:rsidRPr="00B57879" w:rsidRDefault="00C63119">
    <w:pPr>
      <w:rPr>
        <w:color w:val="auto"/>
        <w:sz w:val="24"/>
      </w:rPr>
    </w:pPr>
    <w:r w:rsidRPr="00B57879">
      <w:rPr>
        <w:noProof/>
        <w:color w:val="FFFFFF" w:themeColor="background1"/>
        <w:sz w:val="24"/>
      </w:rPr>
      <w:drawing>
        <wp:anchor distT="0" distB="0" distL="114300" distR="114300" simplePos="0" relativeHeight="251658240" behindDoc="0" locked="0" layoutInCell="1" allowOverlap="1" wp14:anchorId="06E83B98" wp14:editId="0A6F067A">
          <wp:simplePos x="0" y="0"/>
          <wp:positionH relativeFrom="column">
            <wp:posOffset>3709035</wp:posOffset>
          </wp:positionH>
          <wp:positionV relativeFrom="paragraph">
            <wp:posOffset>-81915</wp:posOffset>
          </wp:positionV>
          <wp:extent cx="2138045" cy="315595"/>
          <wp:effectExtent l="0" t="0" r="0" b="0"/>
          <wp:wrapSquare wrapText="bothSides"/>
          <wp:docPr id="144160408" name="Picture 1441604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85753" name="Picture 137248575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38045" cy="315595"/>
                  </a:xfrm>
                  <a:prstGeom prst="rect">
                    <a:avLst/>
                  </a:prstGeom>
                </pic:spPr>
              </pic:pic>
            </a:graphicData>
          </a:graphic>
          <wp14:sizeRelH relativeFrom="page">
            <wp14:pctWidth>0</wp14:pctWidth>
          </wp14:sizeRelH>
          <wp14:sizeRelV relativeFrom="page">
            <wp14:pctHeight>0</wp14:pctHeight>
          </wp14:sizeRelV>
        </wp:anchor>
      </w:drawing>
    </w:r>
    <w:r>
      <w:tab/>
    </w:r>
    <w:r w:rsidRPr="00B57879">
      <w:fldChar w:fldCharType="begin"/>
    </w:r>
    <w:r w:rsidRPr="00B57879">
      <w:instrText xml:space="preserve"> PAGE   \* MERGEFORMAT </w:instrText>
    </w:r>
    <w:r w:rsidRPr="00B57879">
      <w:fldChar w:fldCharType="separate"/>
    </w:r>
    <w:r w:rsidRPr="00B57879">
      <w:rPr>
        <w:noProof/>
      </w:rPr>
      <w:t>1</w:t>
    </w:r>
    <w:r w:rsidRPr="00B57879">
      <w:rPr>
        <w:noProof/>
      </w:rPr>
      <w:fldChar w:fldCharType="end"/>
    </w:r>
  </w:p>
  <w:p w14:paraId="64659778" w14:textId="77777777" w:rsidR="00C63119" w:rsidRDefault="00C631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37F8" w14:textId="77777777" w:rsidR="0027013B" w:rsidRDefault="0027013B">
    <w:pPr>
      <w:pStyle w:val="Footer"/>
    </w:pPr>
  </w:p>
  <w:p w14:paraId="5BA40368" w14:textId="77777777" w:rsidR="005C68DA" w:rsidRDefault="005C68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86FE3" w14:textId="77777777" w:rsidR="00FD4467" w:rsidRDefault="00FD4467">
      <w:r>
        <w:separator/>
      </w:r>
    </w:p>
  </w:footnote>
  <w:footnote w:type="continuationSeparator" w:id="0">
    <w:p w14:paraId="5377CD74" w14:textId="77777777" w:rsidR="00FD4467" w:rsidRDefault="00FD4467">
      <w:r>
        <w:continuationSeparator/>
      </w:r>
    </w:p>
  </w:footnote>
  <w:footnote w:type="continuationNotice" w:id="1">
    <w:p w14:paraId="6463A44C" w14:textId="77777777" w:rsidR="00FD4467" w:rsidRDefault="00FD44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E7CA" w14:textId="770E85F4" w:rsidR="001E3E77" w:rsidRDefault="001E3E77">
    <w:pPr>
      <w:pStyle w:val="Header"/>
    </w:pPr>
    <w:r>
      <w:rPr>
        <w:noProof/>
      </w:rPr>
      <mc:AlternateContent>
        <mc:Choice Requires="wps">
          <w:drawing>
            <wp:anchor distT="0" distB="0" distL="0" distR="0" simplePos="0" relativeHeight="251660288" behindDoc="0" locked="0" layoutInCell="1" allowOverlap="1" wp14:anchorId="0335CCA4" wp14:editId="04B23F5E">
              <wp:simplePos x="635" y="635"/>
              <wp:positionH relativeFrom="page">
                <wp:align>right</wp:align>
              </wp:positionH>
              <wp:positionV relativeFrom="page">
                <wp:align>top</wp:align>
              </wp:positionV>
              <wp:extent cx="1431925" cy="333375"/>
              <wp:effectExtent l="0" t="0" r="0" b="9525"/>
              <wp:wrapNone/>
              <wp:docPr id="500991493" name="Text Box 9"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31925" cy="333375"/>
                      </a:xfrm>
                      <a:prstGeom prst="rect">
                        <a:avLst/>
                      </a:prstGeom>
                      <a:noFill/>
                      <a:ln>
                        <a:noFill/>
                      </a:ln>
                    </wps:spPr>
                    <wps:txbx>
                      <w:txbxContent>
                        <w:p w14:paraId="1E56D271" w14:textId="03D3FAEB" w:rsidR="001E3E77" w:rsidRPr="001E3E77" w:rsidRDefault="001E3E77" w:rsidP="001E3E77">
                          <w:pPr>
                            <w:rPr>
                              <w:rFonts w:ascii="Aptos" w:eastAsia="Aptos" w:hAnsi="Aptos" w:cs="Aptos"/>
                              <w:noProof/>
                              <w:color w:val="000000"/>
                              <w:sz w:val="16"/>
                              <w:szCs w:val="16"/>
                            </w:rPr>
                          </w:pPr>
                          <w:r w:rsidRPr="001E3E77">
                            <w:rPr>
                              <w:rFonts w:ascii="Aptos" w:eastAsia="Aptos" w:hAnsi="Aptos" w:cs="Aptos"/>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35CCA4" id="_x0000_t202" coordsize="21600,21600" o:spt="202" path="m,l,21600r21600,l21600,xe">
              <v:stroke joinstyle="miter"/>
              <v:path gradientshapeok="t" o:connecttype="rect"/>
            </v:shapetype>
            <v:shape id="Text Box 9" o:spid="_x0000_s1026" type="#_x0000_t202" alt="Commercial in Confidence" style="position:absolute;left:0;text-align:left;margin-left:61.55pt;margin-top:0;width:112.75pt;height:26.2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" filled="f" stroked="f">
              <v:textbox style="mso-fit-shape-to-text:t" inset="0,15pt,20pt,0">
                <w:txbxContent>
                  <w:p w14:paraId="1E56D271" w14:textId="03D3FAEB" w:rsidR="001E3E77" w:rsidRPr="001E3E77" w:rsidRDefault="001E3E77" w:rsidP="001E3E77">
                    <w:pPr>
                      <w:rPr>
                        <w:rFonts w:ascii="Aptos" w:eastAsia="Aptos" w:hAnsi="Aptos" w:cs="Aptos"/>
                        <w:noProof/>
                        <w:color w:val="000000"/>
                        <w:sz w:val="16"/>
                        <w:szCs w:val="16"/>
                      </w:rPr>
                    </w:pPr>
                    <w:r w:rsidRPr="001E3E77">
                      <w:rPr>
                        <w:rFonts w:ascii="Aptos" w:eastAsia="Aptos" w:hAnsi="Aptos" w:cs="Aptos"/>
                        <w:noProof/>
                        <w:color w:val="000000"/>
                        <w:sz w:val="16"/>
                        <w:szCs w:val="16"/>
                      </w:rPr>
                      <w:t>Commercial in 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2E14" w14:textId="23AA4FD4" w:rsidR="0027013B" w:rsidRDefault="009A19EA" w:rsidP="002522D4">
    <w:pPr>
      <w:pStyle w:val="Header"/>
      <w:jc w:val="right"/>
    </w:pPr>
    <w:r>
      <w:rPr>
        <w:noProof/>
        <w:lang w:eastAsia="en-GB"/>
      </w:rPr>
      <mc:AlternateContent>
        <mc:Choice Requires="wps">
          <w:drawing>
            <wp:anchor distT="0" distB="0" distL="114300" distR="114300" simplePos="0" relativeHeight="251653120" behindDoc="0" locked="0" layoutInCell="0" allowOverlap="1" wp14:anchorId="3C94892E" wp14:editId="0238D572">
              <wp:simplePos x="0" y="0"/>
              <wp:positionH relativeFrom="page">
                <wp:align>left</wp:align>
              </wp:positionH>
              <wp:positionV relativeFrom="topMargin">
                <wp:posOffset>272283</wp:posOffset>
              </wp:positionV>
              <wp:extent cx="5675795" cy="427355"/>
              <wp:effectExtent l="0" t="0" r="127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795" cy="427355"/>
                      </a:xfrm>
                      <a:prstGeom prst="rect">
                        <a:avLst/>
                      </a:prstGeom>
                      <a:solidFill>
                        <a:srgbClr val="000099"/>
                      </a:solidFill>
                    </wps:spPr>
                    <wps:txbx>
                      <w:txbxContent>
                        <w:p w14:paraId="50FEE5F6" w14:textId="3A38796E" w:rsidR="0027013B" w:rsidRDefault="009A19EA" w:rsidP="00CE40D4">
                          <w:pPr>
                            <w:shd w:val="clear" w:color="auto" w:fill="000099"/>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7E77B4">
                            <w:rPr>
                              <w:b/>
                              <w:color w:val="FFFFFF" w:themeColor="background1"/>
                              <w14:numForm w14:val="lining"/>
                            </w:rPr>
                            <w:t>POLICE, FIRE &amp; CRIME COMMISSIONER FOR NORTHAMPTONSHIRE</w:t>
                          </w:r>
                          <w:r w:rsidRPr="00D57C79">
                            <w:rPr>
                              <w:b/>
                              <w:color w:val="FFFFFF" w:themeColor="background1"/>
                              <w14:numForm w14:val="lining"/>
                            </w:rPr>
                            <w:fldChar w:fldCharType="end"/>
                          </w:r>
                          <w:r>
                            <w:rPr>
                              <w:b/>
                              <w:color w:val="FFFFFF" w:themeColor="background1"/>
                              <w14:numForm w14:val="lining"/>
                            </w:rPr>
                            <w:t xml:space="preserve"> </w:t>
                          </w:r>
                          <w:r w:rsidR="009739FE">
                            <w:rPr>
                              <w:b/>
                              <w:color w:val="FFFFFF" w:themeColor="background1"/>
                              <w14:numForm w14:val="lining"/>
                            </w:rPr>
                            <w:t>CHIEF CONSTABLE</w:t>
                          </w:r>
                        </w:p>
                        <w:p w14:paraId="5DC8F026" w14:textId="0D593C16" w:rsidR="0027013B" w:rsidRPr="00D57C79" w:rsidRDefault="0027013B" w:rsidP="00CE40D4">
                          <w:pPr>
                            <w:shd w:val="clear" w:color="auto" w:fill="000099"/>
                            <w:ind w:left="851"/>
                            <w:rPr>
                              <w:b/>
                              <w:color w:val="FFFFFF" w:themeColor="background1"/>
                              <w14:numForm w14:val="lining"/>
                            </w:rPr>
                          </w:pPr>
                          <w:r>
                            <w:rPr>
                              <w:b/>
                              <w:color w:val="FFFFFF" w:themeColor="background1"/>
                              <w14:numForm w14:val="lining"/>
                            </w:rPr>
                            <w:t>ANNUAL STATEMENT OF ACCOUNTS – 202</w:t>
                          </w:r>
                          <w:r w:rsidR="000E2186">
                            <w:rPr>
                              <w:b/>
                              <w:color w:val="FFFFFF" w:themeColor="background1"/>
                              <w14:numForm w14:val="lining"/>
                            </w:rPr>
                            <w:t>5</w:t>
                          </w:r>
                          <w:r>
                            <w:rPr>
                              <w:b/>
                              <w:color w:val="FFFFFF" w:themeColor="background1"/>
                              <w14:numForm w14:val="lining"/>
                            </w:rPr>
                            <w:t>/2</w:t>
                          </w:r>
                          <w:r w:rsidR="000E2186">
                            <w:rPr>
                              <w:b/>
                              <w:color w:val="FFFFFF" w:themeColor="background1"/>
                              <w14:numForm w14:val="lining"/>
                            </w:rPr>
                            <w:t>6</w:t>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w14:anchorId="3C94892E" id="_x0000_t202" coordsize="21600,21600" o:spt="202" path="m,l,21600r21600,l21600,xe">
              <v:stroke joinstyle="miter"/>
              <v:path gradientshapeok="t" o:connecttype="rect"/>
            </v:shapetype>
            <v:shape id="Text Box 20" o:spid="_x0000_s1027" type="#_x0000_t202" style="position:absolute;left:0;text-align:left;margin-left:0;margin-top:21.45pt;width:446.9pt;height:33.6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" o:allowincell="f" fillcolor="#009" stroked="f">
              <v:textbox inset=",0,,0">
                <w:txbxContent>
                  <w:p w14:paraId="50FEE5F6" w14:textId="3A38796E" w:rsidR="0027013B" w:rsidRDefault="009A19EA" w:rsidP="00CE40D4">
                    <w:pPr>
                      <w:shd w:val="clear" w:color="auto" w:fill="000099"/>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7E77B4">
                      <w:rPr>
                        <w:b/>
                        <w:color w:val="FFFFFF" w:themeColor="background1"/>
                        <w14:numForm w14:val="lining"/>
                      </w:rPr>
                      <w:t>POLICE, FIRE &amp; CRIME COMMISSIONER FOR NORTHAMPTONSHIRE</w:t>
                    </w:r>
                    <w:r w:rsidRPr="00D57C79">
                      <w:rPr>
                        <w:b/>
                        <w:color w:val="FFFFFF" w:themeColor="background1"/>
                        <w14:numForm w14:val="lining"/>
                      </w:rPr>
                      <w:fldChar w:fldCharType="end"/>
                    </w:r>
                    <w:r>
                      <w:rPr>
                        <w:b/>
                        <w:color w:val="FFFFFF" w:themeColor="background1"/>
                        <w14:numForm w14:val="lining"/>
                      </w:rPr>
                      <w:t xml:space="preserve"> </w:t>
                    </w:r>
                    <w:r w:rsidR="009739FE">
                      <w:rPr>
                        <w:b/>
                        <w:color w:val="FFFFFF" w:themeColor="background1"/>
                        <w14:numForm w14:val="lining"/>
                      </w:rPr>
                      <w:t>CHIEF CONSTABLE</w:t>
                    </w:r>
                  </w:p>
                  <w:p w14:paraId="5DC8F026" w14:textId="0D593C16" w:rsidR="0027013B" w:rsidRPr="00D57C79" w:rsidRDefault="0027013B" w:rsidP="00CE40D4">
                    <w:pPr>
                      <w:shd w:val="clear" w:color="auto" w:fill="000099"/>
                      <w:ind w:left="851"/>
                      <w:rPr>
                        <w:b/>
                        <w:color w:val="FFFFFF" w:themeColor="background1"/>
                        <w14:numForm w14:val="lining"/>
                      </w:rPr>
                    </w:pPr>
                    <w:r>
                      <w:rPr>
                        <w:b/>
                        <w:color w:val="FFFFFF" w:themeColor="background1"/>
                        <w14:numForm w14:val="lining"/>
                      </w:rPr>
                      <w:t>ANNUAL STATEMENT OF ACCOUNTS – 202</w:t>
                    </w:r>
                    <w:r w:rsidR="000E2186">
                      <w:rPr>
                        <w:b/>
                        <w:color w:val="FFFFFF" w:themeColor="background1"/>
                        <w14:numForm w14:val="lining"/>
                      </w:rPr>
                      <w:t>5</w:t>
                    </w:r>
                    <w:r>
                      <w:rPr>
                        <w:b/>
                        <w:color w:val="FFFFFF" w:themeColor="background1"/>
                        <w14:numForm w14:val="lining"/>
                      </w:rPr>
                      <w:t>/2</w:t>
                    </w:r>
                    <w:r w:rsidR="000E2186">
                      <w:rPr>
                        <w:b/>
                        <w:color w:val="FFFFFF" w:themeColor="background1"/>
                        <w14:numForm w14:val="lining"/>
                      </w:rPr>
                      <w:t>6</w:t>
                    </w:r>
                  </w:p>
                </w:txbxContent>
              </v:textbox>
              <w10:wrap anchorx="page" anchory="margin"/>
            </v:shape>
          </w:pict>
        </mc:Fallback>
      </mc:AlternateContent>
    </w:r>
    <w:sdt>
      <w:sdtPr>
        <w:id w:val="396709655"/>
        <w:docPartObj>
          <w:docPartGallery w:val="Watermarks"/>
          <w:docPartUnique/>
        </w:docPartObj>
      </w:sdtPr>
      <w:sdtEndPr/>
      <w:sdtContent>
        <w:r w:rsidR="00BB3A52">
          <w:pict w14:anchorId="0F5C0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57879" w:rsidRPr="00B57879">
      <w:rPr>
        <w:noProof/>
      </w:rPr>
      <w:drawing>
        <wp:anchor distT="0" distB="0" distL="114300" distR="114300" simplePos="0" relativeHeight="251656192" behindDoc="0" locked="0" layoutInCell="1" allowOverlap="1" wp14:anchorId="76AA7724" wp14:editId="7AA97767">
          <wp:simplePos x="0" y="0"/>
          <wp:positionH relativeFrom="column">
            <wp:posOffset>5563870</wp:posOffset>
          </wp:positionH>
          <wp:positionV relativeFrom="paragraph">
            <wp:posOffset>-262255</wp:posOffset>
          </wp:positionV>
          <wp:extent cx="431165" cy="527685"/>
          <wp:effectExtent l="0" t="0" r="6985" b="5715"/>
          <wp:wrapThrough wrapText="bothSides">
            <wp:wrapPolygon edited="0">
              <wp:start x="21600" y="21600"/>
              <wp:lineTo x="21600" y="546"/>
              <wp:lineTo x="604" y="546"/>
              <wp:lineTo x="604" y="21600"/>
              <wp:lineTo x="21600" y="21600"/>
            </wp:wrapPolygon>
          </wp:wrapThrough>
          <wp:docPr id="2041875231" name="Picture 2041875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75918" name="Picture 15342759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31165" cy="5276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C77C" w14:textId="5ED245EF" w:rsidR="001E3E77" w:rsidRDefault="001E3E77">
    <w:pPr>
      <w:pStyle w:val="Header"/>
    </w:pPr>
    <w:r>
      <w:rPr>
        <w:noProof/>
      </w:rPr>
      <mc:AlternateContent>
        <mc:Choice Requires="wps">
          <w:drawing>
            <wp:anchor distT="0" distB="0" distL="0" distR="0" simplePos="0" relativeHeight="251659264" behindDoc="0" locked="0" layoutInCell="1" allowOverlap="1" wp14:anchorId="43D1D5F7" wp14:editId="70376ADF">
              <wp:simplePos x="904875" y="447675"/>
              <wp:positionH relativeFrom="page">
                <wp:align>right</wp:align>
              </wp:positionH>
              <wp:positionV relativeFrom="page">
                <wp:align>top</wp:align>
              </wp:positionV>
              <wp:extent cx="1431925" cy="333375"/>
              <wp:effectExtent l="0" t="0" r="0" b="9525"/>
              <wp:wrapNone/>
              <wp:docPr id="794101441" name="Text Box 8"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31925" cy="333375"/>
                      </a:xfrm>
                      <a:prstGeom prst="rect">
                        <a:avLst/>
                      </a:prstGeom>
                      <a:noFill/>
                      <a:ln>
                        <a:noFill/>
                      </a:ln>
                    </wps:spPr>
                    <wps:txbx>
                      <w:txbxContent>
                        <w:p w14:paraId="4F656052" w14:textId="77777777" w:rsidR="001E3E77" w:rsidRPr="001E3E77" w:rsidRDefault="001E3E77" w:rsidP="001E3E77">
                          <w:pPr>
                            <w:rPr>
                              <w:rFonts w:ascii="Aptos" w:eastAsia="Aptos" w:hAnsi="Aptos" w:cs="Aptos"/>
                              <w:noProof/>
                              <w:color w:val="000000"/>
                              <w:sz w:val="16"/>
                              <w:szCs w:val="16"/>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3D1D5F7" id="_x0000_t202" coordsize="21600,21600" o:spt="202" path="m,l,21600r21600,l21600,xe">
              <v:stroke joinstyle="miter"/>
              <v:path gradientshapeok="t" o:connecttype="rect"/>
            </v:shapetype>
            <v:shape id="Text Box 8" o:spid="_x0000_s1028" type="#_x0000_t202" alt="Commercial in Confidence" style="position:absolute;left:0;text-align:left;margin-left:61.55pt;margin-top:0;width:112.75pt;height:26.2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" filled="f" stroked="f">
              <v:textbox style="mso-fit-shape-to-text:t" inset="0,15pt,20pt,0">
                <w:txbxContent>
                  <w:p w14:paraId="4F656052" w14:textId="77777777" w:rsidR="001E3E77" w:rsidRPr="001E3E77" w:rsidRDefault="001E3E77" w:rsidP="001E3E77">
                    <w:pPr>
                      <w:rPr>
                        <w:rFonts w:ascii="Aptos" w:eastAsia="Aptos" w:hAnsi="Aptos" w:cs="Aptos"/>
                        <w:noProof/>
                        <w:color w:val="000000"/>
                        <w:sz w:val="16"/>
                        <w:szCs w:val="16"/>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1A6B" w14:textId="362BD82C" w:rsidR="009301E0" w:rsidRDefault="00B71294" w:rsidP="002522D4">
    <w:pPr>
      <w:pStyle w:val="Header"/>
      <w:jc w:val="right"/>
    </w:pPr>
    <w:r w:rsidRPr="00B57879">
      <w:rPr>
        <w:noProof/>
      </w:rPr>
      <w:drawing>
        <wp:anchor distT="0" distB="0" distL="114300" distR="114300" simplePos="0" relativeHeight="251657216" behindDoc="0" locked="0" layoutInCell="1" allowOverlap="1" wp14:anchorId="58A57D16" wp14:editId="4B10D55E">
          <wp:simplePos x="0" y="0"/>
          <wp:positionH relativeFrom="column">
            <wp:posOffset>5546785</wp:posOffset>
          </wp:positionH>
          <wp:positionV relativeFrom="paragraph">
            <wp:posOffset>-268234</wp:posOffset>
          </wp:positionV>
          <wp:extent cx="431165" cy="527685"/>
          <wp:effectExtent l="0" t="0" r="6985" b="5715"/>
          <wp:wrapThrough wrapText="bothSides">
            <wp:wrapPolygon edited="0">
              <wp:start x="21600" y="21600"/>
              <wp:lineTo x="21600" y="546"/>
              <wp:lineTo x="604" y="546"/>
              <wp:lineTo x="604" y="21600"/>
              <wp:lineTo x="21600" y="21600"/>
            </wp:wrapPolygon>
          </wp:wrapThrough>
          <wp:docPr id="1240665840" name="Picture 12406658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31165" cy="527685"/>
                  </a:xfrm>
                  <a:prstGeom prst="rect">
                    <a:avLst/>
                  </a:prstGeom>
                </pic:spPr>
              </pic:pic>
            </a:graphicData>
          </a:graphic>
          <wp14:sizeRelH relativeFrom="margin">
            <wp14:pctWidth>0</wp14:pctWidth>
          </wp14:sizeRelH>
          <wp14:sizeRelV relativeFrom="margin">
            <wp14:pctHeight>0</wp14:pctHeight>
          </wp14:sizeRelV>
        </wp:anchor>
      </w:drawing>
    </w:r>
    <w:r w:rsidR="009301E0">
      <w:rPr>
        <w:noProof/>
        <w:lang w:eastAsia="en-GB"/>
      </w:rPr>
      <mc:AlternateContent>
        <mc:Choice Requires="wps">
          <w:drawing>
            <wp:anchor distT="0" distB="0" distL="114300" distR="114300" simplePos="0" relativeHeight="251654144" behindDoc="0" locked="0" layoutInCell="0" allowOverlap="1" wp14:anchorId="39636484" wp14:editId="5867F902">
              <wp:simplePos x="0" y="0"/>
              <wp:positionH relativeFrom="page">
                <wp:posOffset>-11875</wp:posOffset>
              </wp:positionH>
              <wp:positionV relativeFrom="topMargin">
                <wp:posOffset>261257</wp:posOffset>
              </wp:positionV>
              <wp:extent cx="5675795" cy="427355"/>
              <wp:effectExtent l="0" t="0" r="127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795" cy="427355"/>
                      </a:xfrm>
                      <a:prstGeom prst="rect">
                        <a:avLst/>
                      </a:prstGeom>
                      <a:solidFill>
                        <a:srgbClr val="000099"/>
                      </a:solidFill>
                    </wps:spPr>
                    <wps:txbx>
                      <w:txbxContent>
                        <w:p w14:paraId="09A6C3E1" w14:textId="149F0B07" w:rsidR="00AA25FE" w:rsidRDefault="00AA25FE" w:rsidP="00AA25FE">
                          <w:pPr>
                            <w:shd w:val="clear" w:color="auto" w:fill="000099"/>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7E77B4">
                            <w:rPr>
                              <w:b/>
                              <w:color w:val="FFFFFF" w:themeColor="background1"/>
                              <w14:numForm w14:val="lining"/>
                            </w:rPr>
                            <w:t>POLICE, FIRE &amp; CRIME COMMISSIONER FOR NORTHAMPTONSHIRE</w:t>
                          </w:r>
                          <w:r w:rsidRPr="00D57C79">
                            <w:rPr>
                              <w:b/>
                              <w:color w:val="FFFFFF" w:themeColor="background1"/>
                              <w14:numForm w14:val="lining"/>
                            </w:rPr>
                            <w:fldChar w:fldCharType="end"/>
                          </w:r>
                          <w:r>
                            <w:rPr>
                              <w:b/>
                              <w:color w:val="FFFFFF" w:themeColor="background1"/>
                              <w14:numForm w14:val="lining"/>
                            </w:rPr>
                            <w:t xml:space="preserve"> CHIEF CONSTABLE</w:t>
                          </w:r>
                        </w:p>
                        <w:p w14:paraId="7D86826F" w14:textId="134F60B9" w:rsidR="009301E0" w:rsidRPr="00D57C79" w:rsidRDefault="00AA25FE" w:rsidP="00AA25FE">
                          <w:pPr>
                            <w:shd w:val="clear" w:color="auto" w:fill="000099"/>
                            <w:ind w:left="851"/>
                            <w:rPr>
                              <w:b/>
                              <w:color w:val="FFFFFF" w:themeColor="background1"/>
                              <w14:numForm w14:val="lining"/>
                            </w:rPr>
                          </w:pPr>
                          <w:r>
                            <w:rPr>
                              <w:b/>
                              <w:color w:val="FFFFFF" w:themeColor="background1"/>
                              <w14:numForm w14:val="lining"/>
                            </w:rPr>
                            <w:t>ANNUAL STATEMENT OF ACCOUNTS – 2025/26</w:t>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w14:anchorId="39636484" id="_x0000_t202" coordsize="21600,21600" o:spt="202" path="m,l,21600r21600,l21600,xe">
              <v:stroke joinstyle="miter"/>
              <v:path gradientshapeok="t" o:connecttype="rect"/>
            </v:shapetype>
            <v:shape id="Text Box 33" o:spid="_x0000_s1029" type="#_x0000_t202" style="position:absolute;left:0;text-align:left;margin-left:-.95pt;margin-top:20.55pt;width:446.9pt;height:33.6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" o:allowincell="f" fillcolor="#009" stroked="f">
              <v:textbox inset=",0,,0">
                <w:txbxContent>
                  <w:p w14:paraId="09A6C3E1" w14:textId="149F0B07" w:rsidR="00AA25FE" w:rsidRDefault="00AA25FE" w:rsidP="00AA25FE">
                    <w:pPr>
                      <w:shd w:val="clear" w:color="auto" w:fill="000099"/>
                      <w:ind w:left="851"/>
                      <w:rPr>
                        <w:b/>
                        <w:color w:val="FFFFFF" w:themeColor="background1"/>
                        <w14:numForm w14:val="lining"/>
                      </w:rPr>
                    </w:pPr>
                    <w:r w:rsidRPr="00D57C79">
                      <w:rPr>
                        <w:b/>
                        <w:color w:val="FFFFFF" w:themeColor="background1"/>
                        <w14:numForm w14:val="lining"/>
                      </w:rPr>
                      <w:fldChar w:fldCharType="begin"/>
                    </w:r>
                    <w:r w:rsidRPr="00D57C79">
                      <w:rPr>
                        <w:b/>
                        <w:color w:val="FFFFFF" w:themeColor="background1"/>
                        <w14:numForm w14:val="lining"/>
                      </w:rPr>
                      <w:instrText xml:space="preserve"> TITLE  "Police, Fire &amp; Crime Commissioner for Northamptonshire" \* Upper  \* MERGEFORMAT </w:instrText>
                    </w:r>
                    <w:r w:rsidRPr="00D57C79">
                      <w:rPr>
                        <w:b/>
                        <w:color w:val="FFFFFF" w:themeColor="background1"/>
                        <w14:numForm w14:val="lining"/>
                      </w:rPr>
                      <w:fldChar w:fldCharType="separate"/>
                    </w:r>
                    <w:r w:rsidR="007E77B4">
                      <w:rPr>
                        <w:b/>
                        <w:color w:val="FFFFFF" w:themeColor="background1"/>
                        <w14:numForm w14:val="lining"/>
                      </w:rPr>
                      <w:t>POLICE, FIRE &amp; CRIME COMMISSIONER FOR NORTHAMPTONSHIRE</w:t>
                    </w:r>
                    <w:r w:rsidRPr="00D57C79">
                      <w:rPr>
                        <w:b/>
                        <w:color w:val="FFFFFF" w:themeColor="background1"/>
                        <w14:numForm w14:val="lining"/>
                      </w:rPr>
                      <w:fldChar w:fldCharType="end"/>
                    </w:r>
                    <w:r>
                      <w:rPr>
                        <w:b/>
                        <w:color w:val="FFFFFF" w:themeColor="background1"/>
                        <w14:numForm w14:val="lining"/>
                      </w:rPr>
                      <w:t xml:space="preserve"> CHIEF CONSTABLE</w:t>
                    </w:r>
                  </w:p>
                  <w:p w14:paraId="7D86826F" w14:textId="134F60B9" w:rsidR="009301E0" w:rsidRPr="00D57C79" w:rsidRDefault="00AA25FE" w:rsidP="00AA25FE">
                    <w:pPr>
                      <w:shd w:val="clear" w:color="auto" w:fill="000099"/>
                      <w:ind w:left="851"/>
                      <w:rPr>
                        <w:b/>
                        <w:color w:val="FFFFFF" w:themeColor="background1"/>
                        <w14:numForm w14:val="lining"/>
                      </w:rPr>
                    </w:pPr>
                    <w:r>
                      <w:rPr>
                        <w:b/>
                        <w:color w:val="FFFFFF" w:themeColor="background1"/>
                        <w14:numForm w14:val="lining"/>
                      </w:rPr>
                      <w:t>ANNUAL STATEMENT OF ACCOUNTS – 2025/26</w:t>
                    </w:r>
                  </w:p>
                </w:txbxContent>
              </v:textbox>
              <w10:wrap anchorx="page"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540F" w14:textId="5F40FA9C" w:rsidR="0027013B" w:rsidRDefault="001E3E77">
    <w:pPr>
      <w:pStyle w:val="Header"/>
    </w:pPr>
    <w:r>
      <w:rPr>
        <w:noProof/>
      </w:rPr>
      <mc:AlternateContent>
        <mc:Choice Requires="wps">
          <w:drawing>
            <wp:anchor distT="0" distB="0" distL="0" distR="0" simplePos="0" relativeHeight="251661312" behindDoc="0" locked="0" layoutInCell="1" allowOverlap="1" wp14:anchorId="5ADB0C36" wp14:editId="022DAA40">
              <wp:simplePos x="635" y="635"/>
              <wp:positionH relativeFrom="page">
                <wp:align>right</wp:align>
              </wp:positionH>
              <wp:positionV relativeFrom="page">
                <wp:align>top</wp:align>
              </wp:positionV>
              <wp:extent cx="1431925" cy="333375"/>
              <wp:effectExtent l="0" t="0" r="0" b="9525"/>
              <wp:wrapNone/>
              <wp:docPr id="245325227" name="Text Box 12" descr="Commercial in 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31925" cy="333375"/>
                      </a:xfrm>
                      <a:prstGeom prst="rect">
                        <a:avLst/>
                      </a:prstGeom>
                      <a:noFill/>
                      <a:ln>
                        <a:noFill/>
                      </a:ln>
                    </wps:spPr>
                    <wps:txbx>
                      <w:txbxContent>
                        <w:p w14:paraId="2502915A" w14:textId="6E8EDD2B" w:rsidR="001E3E77" w:rsidRPr="001E3E77" w:rsidRDefault="001E3E77" w:rsidP="001E3E77">
                          <w:pPr>
                            <w:rPr>
                              <w:rFonts w:ascii="Aptos" w:eastAsia="Aptos" w:hAnsi="Aptos" w:cs="Aptos"/>
                              <w:noProof/>
                              <w:color w:val="000000"/>
                              <w:sz w:val="16"/>
                              <w:szCs w:val="16"/>
                            </w:rPr>
                          </w:pPr>
                          <w:r w:rsidRPr="001E3E77">
                            <w:rPr>
                              <w:rFonts w:ascii="Aptos" w:eastAsia="Aptos" w:hAnsi="Aptos" w:cs="Aptos"/>
                              <w:noProof/>
                              <w:color w:val="000000"/>
                              <w:sz w:val="16"/>
                              <w:szCs w:val="16"/>
                            </w:rPr>
                            <w:t>Commercial in Confidence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ADB0C36" id="_x0000_t202" coordsize="21600,21600" o:spt="202" path="m,l,21600r21600,l21600,xe">
              <v:stroke joinstyle="miter"/>
              <v:path gradientshapeok="t" o:connecttype="rect"/>
            </v:shapetype>
            <v:shape id="Text Box 12" o:spid="_x0000_s1030" type="#_x0000_t202" alt="Commercial in Confidence" style="position:absolute;left:0;text-align:left;margin-left:61.55pt;margin-top:0;width:112.75pt;height:26.2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" filled="f" stroked="f">
              <v:textbox style="mso-fit-shape-to-text:t" inset="0,15pt,20pt,0">
                <w:txbxContent>
                  <w:p w14:paraId="2502915A" w14:textId="6E8EDD2B" w:rsidR="001E3E77" w:rsidRPr="001E3E77" w:rsidRDefault="001E3E77" w:rsidP="001E3E77">
                    <w:pPr>
                      <w:rPr>
                        <w:rFonts w:ascii="Aptos" w:eastAsia="Aptos" w:hAnsi="Aptos" w:cs="Aptos"/>
                        <w:noProof/>
                        <w:color w:val="000000"/>
                        <w:sz w:val="16"/>
                        <w:szCs w:val="16"/>
                      </w:rPr>
                    </w:pPr>
                    <w:r w:rsidRPr="001E3E77">
                      <w:rPr>
                        <w:rFonts w:ascii="Aptos" w:eastAsia="Aptos" w:hAnsi="Aptos" w:cs="Aptos"/>
                        <w:noProof/>
                        <w:color w:val="000000"/>
                        <w:sz w:val="16"/>
                        <w:szCs w:val="16"/>
                      </w:rPr>
                      <w:t>Commercial in Confidence</w:t>
                    </w:r>
                  </w:p>
                </w:txbxContent>
              </v:textbox>
              <w10:wrap anchorx="page" anchory="page"/>
            </v:shape>
          </w:pict>
        </mc:Fallback>
      </mc:AlternateContent>
    </w:r>
  </w:p>
  <w:p w14:paraId="20A21B45" w14:textId="77777777" w:rsidR="005C68DA" w:rsidRDefault="005C68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24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7D4B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84896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2A01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AAB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0EF2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708A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1207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70AC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CA40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E44A9"/>
    <w:multiLevelType w:val="multilevel"/>
    <w:tmpl w:val="D14ABCB6"/>
    <w:lvl w:ilvl="0">
      <w:start w:val="1"/>
      <w:numFmt w:val="decimal"/>
      <w:pStyle w:val="heading10"/>
      <w:lvlText w:val="%1."/>
      <w:lvlJc w:val="left"/>
      <w:pPr>
        <w:ind w:left="36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inBody"/>
      <w:lvlText w:val="%1.%2."/>
      <w:lvlJc w:val="left"/>
      <w:pPr>
        <w:ind w:left="792" w:hanging="432"/>
      </w:pPr>
      <w:rPr>
        <w:rFonts w:asciiTheme="minorHAnsi" w:hAnsiTheme="minorHAnsi" w:cstheme="minorHAnsi" w:hint="default"/>
        <w:b w:val="0"/>
        <w:sz w:val="24"/>
        <w:szCs w:val="24"/>
      </w:rPr>
    </w:lvl>
    <w:lvl w:ilvl="2">
      <w:start w:val="1"/>
      <w:numFmt w:val="decimal"/>
      <w:pStyle w:val="Subheading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AE0378"/>
    <w:multiLevelType w:val="hybridMultilevel"/>
    <w:tmpl w:val="A986F91C"/>
    <w:lvl w:ilvl="0" w:tplc="4E22D4EE">
      <w:start w:val="1"/>
      <w:numFmt w:val="bullet"/>
      <w:lvlText w:val="•"/>
      <w:lvlJc w:val="left"/>
      <w:pPr>
        <w:ind w:left="2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3E1D3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C0E07A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E323FD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66B69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E6C358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266FAB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5DC6B0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CE03C6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0FF271B6"/>
    <w:multiLevelType w:val="hybridMultilevel"/>
    <w:tmpl w:val="14CAE656"/>
    <w:lvl w:ilvl="0" w:tplc="1F208B32">
      <w:start w:val="1"/>
      <w:numFmt w:val="bullet"/>
      <w:pStyle w:val="Bulletscoloured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152B8"/>
    <w:multiLevelType w:val="hybridMultilevel"/>
    <w:tmpl w:val="93965C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12155AF"/>
    <w:multiLevelType w:val="hybridMultilevel"/>
    <w:tmpl w:val="9E6C41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9D0F26"/>
    <w:multiLevelType w:val="hybridMultilevel"/>
    <w:tmpl w:val="C4A212A6"/>
    <w:lvl w:ilvl="0" w:tplc="CEB0CBF2">
      <w:start w:val="1"/>
      <w:numFmt w:val="decimal"/>
      <w:pStyle w:val="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6B56C4"/>
    <w:multiLevelType w:val="hybridMultilevel"/>
    <w:tmpl w:val="E5D24AF8"/>
    <w:lvl w:ilvl="0" w:tplc="A3C8C2C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B2817AE">
      <w:start w:val="1"/>
      <w:numFmt w:val="bullet"/>
      <w:lvlText w:val="-"/>
      <w:lvlJc w:val="left"/>
      <w:pPr>
        <w:ind w:left="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A067E34">
      <w:start w:val="1"/>
      <w:numFmt w:val="bullet"/>
      <w:lvlText w:val="▪"/>
      <w:lvlJc w:val="left"/>
      <w:pPr>
        <w:ind w:left="1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F2056BC">
      <w:start w:val="1"/>
      <w:numFmt w:val="bullet"/>
      <w:lvlText w:val="•"/>
      <w:lvlJc w:val="left"/>
      <w:pPr>
        <w:ind w:left="2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A48803C">
      <w:start w:val="1"/>
      <w:numFmt w:val="bullet"/>
      <w:lvlText w:val="o"/>
      <w:lvlJc w:val="left"/>
      <w:pPr>
        <w:ind w:left="2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AE2BD6">
      <w:start w:val="1"/>
      <w:numFmt w:val="bullet"/>
      <w:lvlText w:val="▪"/>
      <w:lvlJc w:val="left"/>
      <w:pPr>
        <w:ind w:left="3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BFEE2DA">
      <w:start w:val="1"/>
      <w:numFmt w:val="bullet"/>
      <w:lvlText w:val="•"/>
      <w:lvlJc w:val="left"/>
      <w:pPr>
        <w:ind w:left="4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86654A0">
      <w:start w:val="1"/>
      <w:numFmt w:val="bullet"/>
      <w:lvlText w:val="o"/>
      <w:lvlJc w:val="left"/>
      <w:pPr>
        <w:ind w:left="5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0689CEA">
      <w:start w:val="1"/>
      <w:numFmt w:val="bullet"/>
      <w:lvlText w:val="▪"/>
      <w:lvlJc w:val="left"/>
      <w:pPr>
        <w:ind w:left="5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A2270A0"/>
    <w:multiLevelType w:val="multilevel"/>
    <w:tmpl w:val="6E24C886"/>
    <w:lvl w:ilvl="0">
      <w:start w:val="1"/>
      <w:numFmt w:val="decimal"/>
      <w:pStyle w:val="Outline1ai-1"/>
      <w:lvlText w:val="%1"/>
      <w:lvlJc w:val="left"/>
      <w:pPr>
        <w:tabs>
          <w:tab w:val="num" w:pos="720"/>
        </w:tabs>
        <w:ind w:left="720" w:hanging="720"/>
      </w:pPr>
      <w:rPr>
        <w:b w:val="0"/>
        <w:i w:val="0"/>
      </w:rPr>
    </w:lvl>
    <w:lvl w:ilvl="1">
      <w:start w:val="1"/>
      <w:numFmt w:val="none"/>
      <w:lvlText w:val=""/>
      <w:lvlJc w:val="left"/>
      <w:pPr>
        <w:tabs>
          <w:tab w:val="num" w:pos="720"/>
        </w:tabs>
        <w:ind w:left="720" w:hanging="720"/>
      </w:pPr>
      <w:rPr>
        <w:b w:val="0"/>
        <w:i w:val="0"/>
        <w:position w:val="0"/>
      </w:rPr>
    </w:lvl>
    <w:lvl w:ilvl="2">
      <w:start w:val="1"/>
      <w:numFmt w:val="decimal"/>
      <w:pStyle w:val="Outline1ai-11"/>
      <w:lvlText w:val="%1.%3"/>
      <w:lvlJc w:val="left"/>
      <w:pPr>
        <w:tabs>
          <w:tab w:val="num" w:pos="720"/>
        </w:tabs>
        <w:ind w:left="720" w:hanging="720"/>
      </w:pPr>
    </w:lvl>
    <w:lvl w:ilvl="3">
      <w:start w:val="1"/>
      <w:numFmt w:val="none"/>
      <w:pStyle w:val="Indent11"/>
      <w:lvlText w:val="%4"/>
      <w:lvlJc w:val="left"/>
      <w:pPr>
        <w:tabs>
          <w:tab w:val="num" w:pos="720"/>
        </w:tabs>
        <w:ind w:left="720" w:hanging="720"/>
      </w:pPr>
    </w:lvl>
    <w:lvl w:ilvl="4">
      <w:start w:val="1"/>
      <w:numFmt w:val="lowerLetter"/>
      <w:pStyle w:val="Outline1ai-a"/>
      <w:lvlText w:val="%5)"/>
      <w:lvlJc w:val="left"/>
      <w:pPr>
        <w:tabs>
          <w:tab w:val="num" w:pos="1440"/>
        </w:tabs>
        <w:ind w:left="1440" w:hanging="720"/>
      </w:pPr>
    </w:lvl>
    <w:lvl w:ilvl="5">
      <w:start w:val="1"/>
      <w:numFmt w:val="none"/>
      <w:pStyle w:val="Indenta"/>
      <w:lvlText w:val=""/>
      <w:lvlJc w:val="left"/>
      <w:pPr>
        <w:tabs>
          <w:tab w:val="num" w:pos="1440"/>
        </w:tabs>
        <w:ind w:left="1440" w:hanging="720"/>
      </w:pPr>
    </w:lvl>
    <w:lvl w:ilvl="6">
      <w:start w:val="1"/>
      <w:numFmt w:val="lowerRoman"/>
      <w:pStyle w:val="Outline1ai-i"/>
      <w:lvlText w:val="%7)"/>
      <w:lvlJc w:val="left"/>
      <w:pPr>
        <w:tabs>
          <w:tab w:val="num" w:pos="2160"/>
        </w:tabs>
        <w:ind w:left="2160" w:hanging="720"/>
      </w:pPr>
    </w:lvl>
    <w:lvl w:ilvl="7">
      <w:start w:val="1"/>
      <w:numFmt w:val="none"/>
      <w:lvlText w:val=""/>
      <w:lvlJc w:val="left"/>
      <w:pPr>
        <w:tabs>
          <w:tab w:val="num" w:pos="2160"/>
        </w:tabs>
        <w:ind w:left="2160" w:hanging="720"/>
      </w:pPr>
    </w:lvl>
    <w:lvl w:ilvl="8">
      <w:start w:val="1"/>
      <w:numFmt w:val="decimal"/>
      <w:lvlText w:val="%1.%2.%3.%4.%5.%6.%7.%8.%9."/>
      <w:lvlJc w:val="left"/>
      <w:pPr>
        <w:tabs>
          <w:tab w:val="num" w:pos="5040"/>
        </w:tabs>
        <w:ind w:left="4320" w:hanging="1440"/>
      </w:pPr>
    </w:lvl>
  </w:abstractNum>
  <w:abstractNum w:abstractNumId="18" w15:restartNumberingAfterBreak="0">
    <w:nsid w:val="46E6362A"/>
    <w:multiLevelType w:val="hybridMultilevel"/>
    <w:tmpl w:val="607E3280"/>
    <w:lvl w:ilvl="0" w:tplc="E8A248C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56605F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E66477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7E0EF7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74108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8D82F2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CD84C0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86860D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E86234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8145E7E"/>
    <w:multiLevelType w:val="hybridMultilevel"/>
    <w:tmpl w:val="B890DFAC"/>
    <w:lvl w:ilvl="0" w:tplc="51A69F36">
      <w:start w:val="1"/>
      <w:numFmt w:val="bullet"/>
      <w:lvlText w:val="•"/>
      <w:lvlJc w:val="left"/>
      <w:pPr>
        <w:ind w:left="2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ACC732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29E873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A5E041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94C945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FD6EA1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62C140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1EEF6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9DCD2E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E5A23BF"/>
    <w:multiLevelType w:val="hybridMultilevel"/>
    <w:tmpl w:val="26D884C8"/>
    <w:lvl w:ilvl="0" w:tplc="9672F99A">
      <w:start w:val="1"/>
      <w:numFmt w:val="bullet"/>
      <w:pStyle w:val="RedBullet"/>
      <w:lvlText w:val=""/>
      <w:lvlJc w:val="left"/>
      <w:pPr>
        <w:ind w:left="720" w:hanging="360"/>
      </w:pPr>
      <w:rPr>
        <w:rFonts w:ascii="Symbol" w:hAnsi="Symbol" w:hint="default"/>
        <w:color w:val="0000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501D12"/>
    <w:multiLevelType w:val="hybridMultilevel"/>
    <w:tmpl w:val="8496F7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154668"/>
    <w:multiLevelType w:val="hybridMultilevel"/>
    <w:tmpl w:val="6414A94A"/>
    <w:lvl w:ilvl="0" w:tplc="EBF846B6">
      <w:start w:val="1"/>
      <w:numFmt w:val="bullet"/>
      <w:pStyle w:val="Bulletcoloured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9F3744"/>
    <w:multiLevelType w:val="hybridMultilevel"/>
    <w:tmpl w:val="B9F6A6C6"/>
    <w:lvl w:ilvl="0" w:tplc="7924DB42">
      <w:start w:val="1"/>
      <w:numFmt w:val="bullet"/>
      <w:lvlText w:val="•"/>
      <w:lvlJc w:val="left"/>
      <w:pPr>
        <w:ind w:left="3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3F6777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9E68B2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D764CC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644FF5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0FE580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534C03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50F01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6B01A3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379312B"/>
    <w:multiLevelType w:val="hybridMultilevel"/>
    <w:tmpl w:val="1CC07D2C"/>
    <w:lvl w:ilvl="0" w:tplc="8A4AAA26">
      <w:start w:val="1"/>
      <w:numFmt w:val="bullet"/>
      <w:pStyle w:val="Firebullet"/>
      <w:lvlText w:val=""/>
      <w:lvlJc w:val="left"/>
      <w:pPr>
        <w:ind w:left="721"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0A3FEB"/>
    <w:multiLevelType w:val="hybridMultilevel"/>
    <w:tmpl w:val="DC36B0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D76E03"/>
    <w:multiLevelType w:val="hybridMultilevel"/>
    <w:tmpl w:val="E45ACC0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5952196">
    <w:abstractNumId w:val="17"/>
  </w:num>
  <w:num w:numId="2" w16cid:durableId="514854560">
    <w:abstractNumId w:val="20"/>
  </w:num>
  <w:num w:numId="3" w16cid:durableId="222327395">
    <w:abstractNumId w:val="15"/>
  </w:num>
  <w:num w:numId="4" w16cid:durableId="1368218360">
    <w:abstractNumId w:val="22"/>
  </w:num>
  <w:num w:numId="5" w16cid:durableId="700324298">
    <w:abstractNumId w:val="12"/>
  </w:num>
  <w:num w:numId="6" w16cid:durableId="1169830873">
    <w:abstractNumId w:val="14"/>
  </w:num>
  <w:num w:numId="7" w16cid:durableId="675621799">
    <w:abstractNumId w:val="24"/>
  </w:num>
  <w:num w:numId="8" w16cid:durableId="1084573617">
    <w:abstractNumId w:val="10"/>
  </w:num>
  <w:num w:numId="9" w16cid:durableId="205025361">
    <w:abstractNumId w:val="9"/>
  </w:num>
  <w:num w:numId="10" w16cid:durableId="47923474">
    <w:abstractNumId w:val="7"/>
  </w:num>
  <w:num w:numId="11" w16cid:durableId="1407993808">
    <w:abstractNumId w:val="6"/>
  </w:num>
  <w:num w:numId="12" w16cid:durableId="2127381793">
    <w:abstractNumId w:val="5"/>
  </w:num>
  <w:num w:numId="13" w16cid:durableId="760877367">
    <w:abstractNumId w:val="4"/>
  </w:num>
  <w:num w:numId="14" w16cid:durableId="673343552">
    <w:abstractNumId w:val="8"/>
  </w:num>
  <w:num w:numId="15" w16cid:durableId="302463909">
    <w:abstractNumId w:val="3"/>
  </w:num>
  <w:num w:numId="16" w16cid:durableId="666861129">
    <w:abstractNumId w:val="2"/>
  </w:num>
  <w:num w:numId="17" w16cid:durableId="261955317">
    <w:abstractNumId w:val="1"/>
  </w:num>
  <w:num w:numId="18" w16cid:durableId="1499229125">
    <w:abstractNumId w:val="0"/>
  </w:num>
  <w:num w:numId="19" w16cid:durableId="411900791">
    <w:abstractNumId w:val="19"/>
  </w:num>
  <w:num w:numId="20" w16cid:durableId="197595300">
    <w:abstractNumId w:val="11"/>
  </w:num>
  <w:num w:numId="21" w16cid:durableId="1963294709">
    <w:abstractNumId w:val="23"/>
  </w:num>
  <w:num w:numId="22" w16cid:durableId="1750880004">
    <w:abstractNumId w:val="16"/>
  </w:num>
  <w:num w:numId="23" w16cid:durableId="1751275143">
    <w:abstractNumId w:val="18"/>
  </w:num>
  <w:num w:numId="24" w16cid:durableId="1130393195">
    <w:abstractNumId w:val="21"/>
  </w:num>
  <w:num w:numId="25" w16cid:durableId="1762408460">
    <w:abstractNumId w:val="25"/>
  </w:num>
  <w:num w:numId="26" w16cid:durableId="881018677">
    <w:abstractNumId w:val="26"/>
  </w:num>
  <w:num w:numId="27" w16cid:durableId="149910864">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A5"/>
    <w:rsid w:val="00000A2D"/>
    <w:rsid w:val="00000F2B"/>
    <w:rsid w:val="00001006"/>
    <w:rsid w:val="00001B69"/>
    <w:rsid w:val="00003BDF"/>
    <w:rsid w:val="00004D5B"/>
    <w:rsid w:val="00004E1A"/>
    <w:rsid w:val="0000512C"/>
    <w:rsid w:val="000051EE"/>
    <w:rsid w:val="0000576E"/>
    <w:rsid w:val="00005D1F"/>
    <w:rsid w:val="00006193"/>
    <w:rsid w:val="00007708"/>
    <w:rsid w:val="0000794D"/>
    <w:rsid w:val="00007E18"/>
    <w:rsid w:val="00010C7F"/>
    <w:rsid w:val="00011AFB"/>
    <w:rsid w:val="000125FF"/>
    <w:rsid w:val="0001284F"/>
    <w:rsid w:val="000129C3"/>
    <w:rsid w:val="00012B9C"/>
    <w:rsid w:val="00012C29"/>
    <w:rsid w:val="00012D74"/>
    <w:rsid w:val="0001346B"/>
    <w:rsid w:val="0001495B"/>
    <w:rsid w:val="00014F7A"/>
    <w:rsid w:val="00015F9C"/>
    <w:rsid w:val="000165B0"/>
    <w:rsid w:val="00016A13"/>
    <w:rsid w:val="00016B93"/>
    <w:rsid w:val="00016F4E"/>
    <w:rsid w:val="00020078"/>
    <w:rsid w:val="000208B5"/>
    <w:rsid w:val="0002366C"/>
    <w:rsid w:val="000237FE"/>
    <w:rsid w:val="00024099"/>
    <w:rsid w:val="00024283"/>
    <w:rsid w:val="00024CE6"/>
    <w:rsid w:val="00025530"/>
    <w:rsid w:val="000264EF"/>
    <w:rsid w:val="0002674E"/>
    <w:rsid w:val="00026828"/>
    <w:rsid w:val="000268BE"/>
    <w:rsid w:val="00027331"/>
    <w:rsid w:val="000273BD"/>
    <w:rsid w:val="00027499"/>
    <w:rsid w:val="000300BF"/>
    <w:rsid w:val="000301D8"/>
    <w:rsid w:val="0003126E"/>
    <w:rsid w:val="000323BF"/>
    <w:rsid w:val="00032816"/>
    <w:rsid w:val="00032CCC"/>
    <w:rsid w:val="00033AA1"/>
    <w:rsid w:val="00033CB2"/>
    <w:rsid w:val="0003419F"/>
    <w:rsid w:val="000342AE"/>
    <w:rsid w:val="000345B2"/>
    <w:rsid w:val="00034FA4"/>
    <w:rsid w:val="00035144"/>
    <w:rsid w:val="000353A7"/>
    <w:rsid w:val="0003541F"/>
    <w:rsid w:val="000356FD"/>
    <w:rsid w:val="000357C3"/>
    <w:rsid w:val="00035909"/>
    <w:rsid w:val="00036D5F"/>
    <w:rsid w:val="00037536"/>
    <w:rsid w:val="00037BB2"/>
    <w:rsid w:val="00037C48"/>
    <w:rsid w:val="00037DF2"/>
    <w:rsid w:val="00040483"/>
    <w:rsid w:val="00040EE5"/>
    <w:rsid w:val="00041EFE"/>
    <w:rsid w:val="00042532"/>
    <w:rsid w:val="00042706"/>
    <w:rsid w:val="000436E7"/>
    <w:rsid w:val="000437F1"/>
    <w:rsid w:val="000438DA"/>
    <w:rsid w:val="000438F2"/>
    <w:rsid w:val="00043E68"/>
    <w:rsid w:val="00044B13"/>
    <w:rsid w:val="00044CA4"/>
    <w:rsid w:val="00045D27"/>
    <w:rsid w:val="0004625D"/>
    <w:rsid w:val="00046494"/>
    <w:rsid w:val="00046567"/>
    <w:rsid w:val="000465DA"/>
    <w:rsid w:val="00047855"/>
    <w:rsid w:val="00047D07"/>
    <w:rsid w:val="00047E3A"/>
    <w:rsid w:val="000508BD"/>
    <w:rsid w:val="00050980"/>
    <w:rsid w:val="00051309"/>
    <w:rsid w:val="00051975"/>
    <w:rsid w:val="00052327"/>
    <w:rsid w:val="00052569"/>
    <w:rsid w:val="0005297F"/>
    <w:rsid w:val="00052AC4"/>
    <w:rsid w:val="0005436D"/>
    <w:rsid w:val="00054718"/>
    <w:rsid w:val="000552F6"/>
    <w:rsid w:val="00055543"/>
    <w:rsid w:val="00055899"/>
    <w:rsid w:val="00056497"/>
    <w:rsid w:val="000564CF"/>
    <w:rsid w:val="000565DF"/>
    <w:rsid w:val="00056656"/>
    <w:rsid w:val="00056739"/>
    <w:rsid w:val="00056E54"/>
    <w:rsid w:val="000573DD"/>
    <w:rsid w:val="00057A48"/>
    <w:rsid w:val="00057A91"/>
    <w:rsid w:val="000605CA"/>
    <w:rsid w:val="000621A8"/>
    <w:rsid w:val="00062327"/>
    <w:rsid w:val="000625A5"/>
    <w:rsid w:val="000625AC"/>
    <w:rsid w:val="000629B1"/>
    <w:rsid w:val="00062B53"/>
    <w:rsid w:val="00063B8B"/>
    <w:rsid w:val="00063D4C"/>
    <w:rsid w:val="000678CC"/>
    <w:rsid w:val="00067A9E"/>
    <w:rsid w:val="00067F4D"/>
    <w:rsid w:val="00071CA4"/>
    <w:rsid w:val="00073348"/>
    <w:rsid w:val="000737CA"/>
    <w:rsid w:val="00073906"/>
    <w:rsid w:val="00074B56"/>
    <w:rsid w:val="00075725"/>
    <w:rsid w:val="00075794"/>
    <w:rsid w:val="0007628E"/>
    <w:rsid w:val="000765C6"/>
    <w:rsid w:val="00080B85"/>
    <w:rsid w:val="0008172C"/>
    <w:rsid w:val="00082174"/>
    <w:rsid w:val="00083390"/>
    <w:rsid w:val="00083B94"/>
    <w:rsid w:val="00083C5D"/>
    <w:rsid w:val="00083E5E"/>
    <w:rsid w:val="000842EA"/>
    <w:rsid w:val="00084926"/>
    <w:rsid w:val="00084B76"/>
    <w:rsid w:val="00085256"/>
    <w:rsid w:val="00085DF7"/>
    <w:rsid w:val="00086A58"/>
    <w:rsid w:val="000873E5"/>
    <w:rsid w:val="00087660"/>
    <w:rsid w:val="000879BF"/>
    <w:rsid w:val="00087C2E"/>
    <w:rsid w:val="00087EEB"/>
    <w:rsid w:val="00090587"/>
    <w:rsid w:val="00090967"/>
    <w:rsid w:val="00090E14"/>
    <w:rsid w:val="00090F1F"/>
    <w:rsid w:val="00091563"/>
    <w:rsid w:val="00091A57"/>
    <w:rsid w:val="00091B0B"/>
    <w:rsid w:val="00091CD2"/>
    <w:rsid w:val="00091D9C"/>
    <w:rsid w:val="00092B67"/>
    <w:rsid w:val="00092EF7"/>
    <w:rsid w:val="00093BC8"/>
    <w:rsid w:val="00093D87"/>
    <w:rsid w:val="00094518"/>
    <w:rsid w:val="0009479F"/>
    <w:rsid w:val="00094B14"/>
    <w:rsid w:val="00095F38"/>
    <w:rsid w:val="00095F67"/>
    <w:rsid w:val="00096BBE"/>
    <w:rsid w:val="00097B71"/>
    <w:rsid w:val="000A0751"/>
    <w:rsid w:val="000A096E"/>
    <w:rsid w:val="000A213B"/>
    <w:rsid w:val="000A31F8"/>
    <w:rsid w:val="000A4057"/>
    <w:rsid w:val="000A4F4F"/>
    <w:rsid w:val="000A5A16"/>
    <w:rsid w:val="000A6090"/>
    <w:rsid w:val="000A6109"/>
    <w:rsid w:val="000A7587"/>
    <w:rsid w:val="000A75C9"/>
    <w:rsid w:val="000A796E"/>
    <w:rsid w:val="000A7FCA"/>
    <w:rsid w:val="000B0738"/>
    <w:rsid w:val="000B1110"/>
    <w:rsid w:val="000B12AC"/>
    <w:rsid w:val="000B13D4"/>
    <w:rsid w:val="000B23BC"/>
    <w:rsid w:val="000B2433"/>
    <w:rsid w:val="000B273C"/>
    <w:rsid w:val="000B33BD"/>
    <w:rsid w:val="000B3855"/>
    <w:rsid w:val="000B41D3"/>
    <w:rsid w:val="000B4D06"/>
    <w:rsid w:val="000B4E1E"/>
    <w:rsid w:val="000B5590"/>
    <w:rsid w:val="000B55DE"/>
    <w:rsid w:val="000B5DEF"/>
    <w:rsid w:val="000B6968"/>
    <w:rsid w:val="000B6D5E"/>
    <w:rsid w:val="000B731D"/>
    <w:rsid w:val="000B79EC"/>
    <w:rsid w:val="000C0FFE"/>
    <w:rsid w:val="000C1691"/>
    <w:rsid w:val="000C1FDE"/>
    <w:rsid w:val="000C20C5"/>
    <w:rsid w:val="000C269C"/>
    <w:rsid w:val="000C2D10"/>
    <w:rsid w:val="000C3218"/>
    <w:rsid w:val="000C338E"/>
    <w:rsid w:val="000C3A87"/>
    <w:rsid w:val="000C3AAB"/>
    <w:rsid w:val="000C3BF3"/>
    <w:rsid w:val="000C4A32"/>
    <w:rsid w:val="000C4E64"/>
    <w:rsid w:val="000C5015"/>
    <w:rsid w:val="000C586D"/>
    <w:rsid w:val="000C70A3"/>
    <w:rsid w:val="000C7E5C"/>
    <w:rsid w:val="000D00FF"/>
    <w:rsid w:val="000D0ABB"/>
    <w:rsid w:val="000D0ECE"/>
    <w:rsid w:val="000D14AF"/>
    <w:rsid w:val="000D23D8"/>
    <w:rsid w:val="000D3A81"/>
    <w:rsid w:val="000D3D3D"/>
    <w:rsid w:val="000D3E17"/>
    <w:rsid w:val="000D6871"/>
    <w:rsid w:val="000D6E36"/>
    <w:rsid w:val="000D6F0E"/>
    <w:rsid w:val="000D73EF"/>
    <w:rsid w:val="000D76BC"/>
    <w:rsid w:val="000D7E80"/>
    <w:rsid w:val="000E0091"/>
    <w:rsid w:val="000E08D0"/>
    <w:rsid w:val="000E09C1"/>
    <w:rsid w:val="000E17F3"/>
    <w:rsid w:val="000E2186"/>
    <w:rsid w:val="000E275D"/>
    <w:rsid w:val="000E306D"/>
    <w:rsid w:val="000E4B64"/>
    <w:rsid w:val="000E5ABA"/>
    <w:rsid w:val="000E5CC6"/>
    <w:rsid w:val="000E64A7"/>
    <w:rsid w:val="000E6B0C"/>
    <w:rsid w:val="000E6D5E"/>
    <w:rsid w:val="000E78D7"/>
    <w:rsid w:val="000E78FE"/>
    <w:rsid w:val="000E7FCF"/>
    <w:rsid w:val="000F1688"/>
    <w:rsid w:val="000F2209"/>
    <w:rsid w:val="000F2606"/>
    <w:rsid w:val="000F3BE5"/>
    <w:rsid w:val="000F43C9"/>
    <w:rsid w:val="000F43E7"/>
    <w:rsid w:val="000F47EA"/>
    <w:rsid w:val="000F5BAE"/>
    <w:rsid w:val="000F5C71"/>
    <w:rsid w:val="000F5F5A"/>
    <w:rsid w:val="000F63E0"/>
    <w:rsid w:val="000F76E7"/>
    <w:rsid w:val="000F7E38"/>
    <w:rsid w:val="001004CD"/>
    <w:rsid w:val="00101832"/>
    <w:rsid w:val="00101A81"/>
    <w:rsid w:val="00101F62"/>
    <w:rsid w:val="00102598"/>
    <w:rsid w:val="00102C94"/>
    <w:rsid w:val="00103511"/>
    <w:rsid w:val="00103EFF"/>
    <w:rsid w:val="0010479B"/>
    <w:rsid w:val="00105AAB"/>
    <w:rsid w:val="00105BBE"/>
    <w:rsid w:val="00105FDE"/>
    <w:rsid w:val="00107B8C"/>
    <w:rsid w:val="0011067A"/>
    <w:rsid w:val="001107EC"/>
    <w:rsid w:val="00110B9E"/>
    <w:rsid w:val="00110D7E"/>
    <w:rsid w:val="0011138E"/>
    <w:rsid w:val="00111E0F"/>
    <w:rsid w:val="00111FE3"/>
    <w:rsid w:val="00112A66"/>
    <w:rsid w:val="00112DBD"/>
    <w:rsid w:val="00113ACE"/>
    <w:rsid w:val="00113B34"/>
    <w:rsid w:val="00114CE8"/>
    <w:rsid w:val="00115333"/>
    <w:rsid w:val="00115CAC"/>
    <w:rsid w:val="00115F60"/>
    <w:rsid w:val="00116066"/>
    <w:rsid w:val="001162DE"/>
    <w:rsid w:val="00116350"/>
    <w:rsid w:val="001168CF"/>
    <w:rsid w:val="00117E9F"/>
    <w:rsid w:val="00117EB5"/>
    <w:rsid w:val="00120234"/>
    <w:rsid w:val="001202C3"/>
    <w:rsid w:val="001203B4"/>
    <w:rsid w:val="0012073E"/>
    <w:rsid w:val="00121360"/>
    <w:rsid w:val="0012186E"/>
    <w:rsid w:val="00121F0A"/>
    <w:rsid w:val="001220A0"/>
    <w:rsid w:val="00122294"/>
    <w:rsid w:val="001224B6"/>
    <w:rsid w:val="0012490D"/>
    <w:rsid w:val="00124BA7"/>
    <w:rsid w:val="00125499"/>
    <w:rsid w:val="00125502"/>
    <w:rsid w:val="001259CF"/>
    <w:rsid w:val="00125BFF"/>
    <w:rsid w:val="00125D89"/>
    <w:rsid w:val="00125F8A"/>
    <w:rsid w:val="0012631E"/>
    <w:rsid w:val="00127155"/>
    <w:rsid w:val="00130091"/>
    <w:rsid w:val="00131E01"/>
    <w:rsid w:val="001321FB"/>
    <w:rsid w:val="0013270E"/>
    <w:rsid w:val="00132757"/>
    <w:rsid w:val="00133329"/>
    <w:rsid w:val="00133F06"/>
    <w:rsid w:val="0013618E"/>
    <w:rsid w:val="0013672D"/>
    <w:rsid w:val="00137C2B"/>
    <w:rsid w:val="0013EC61"/>
    <w:rsid w:val="0014060C"/>
    <w:rsid w:val="0014074C"/>
    <w:rsid w:val="00140E1B"/>
    <w:rsid w:val="00141338"/>
    <w:rsid w:val="00142C56"/>
    <w:rsid w:val="001436BF"/>
    <w:rsid w:val="0014387A"/>
    <w:rsid w:val="00143C63"/>
    <w:rsid w:val="00143EA3"/>
    <w:rsid w:val="0014457F"/>
    <w:rsid w:val="00144778"/>
    <w:rsid w:val="001447BE"/>
    <w:rsid w:val="00146822"/>
    <w:rsid w:val="00147C5C"/>
    <w:rsid w:val="00151565"/>
    <w:rsid w:val="00151740"/>
    <w:rsid w:val="00151BDF"/>
    <w:rsid w:val="00152532"/>
    <w:rsid w:val="001532D7"/>
    <w:rsid w:val="00153B28"/>
    <w:rsid w:val="00153D74"/>
    <w:rsid w:val="00153DF2"/>
    <w:rsid w:val="00154ABE"/>
    <w:rsid w:val="00155219"/>
    <w:rsid w:val="001557A0"/>
    <w:rsid w:val="00155B8D"/>
    <w:rsid w:val="00155E21"/>
    <w:rsid w:val="00156457"/>
    <w:rsid w:val="00156A2C"/>
    <w:rsid w:val="00157568"/>
    <w:rsid w:val="00157FF6"/>
    <w:rsid w:val="00160221"/>
    <w:rsid w:val="00160CDA"/>
    <w:rsid w:val="00160D13"/>
    <w:rsid w:val="0016131F"/>
    <w:rsid w:val="00161C3D"/>
    <w:rsid w:val="00161E23"/>
    <w:rsid w:val="00162E80"/>
    <w:rsid w:val="00163209"/>
    <w:rsid w:val="00163379"/>
    <w:rsid w:val="00163819"/>
    <w:rsid w:val="00164386"/>
    <w:rsid w:val="00164C2A"/>
    <w:rsid w:val="00165AAC"/>
    <w:rsid w:val="00165CEB"/>
    <w:rsid w:val="001660F7"/>
    <w:rsid w:val="0016630F"/>
    <w:rsid w:val="0016646A"/>
    <w:rsid w:val="00166493"/>
    <w:rsid w:val="00166707"/>
    <w:rsid w:val="00166BA7"/>
    <w:rsid w:val="001674FD"/>
    <w:rsid w:val="0016752D"/>
    <w:rsid w:val="001702FB"/>
    <w:rsid w:val="001710B8"/>
    <w:rsid w:val="001710CC"/>
    <w:rsid w:val="0017114D"/>
    <w:rsid w:val="001713A8"/>
    <w:rsid w:val="0017155E"/>
    <w:rsid w:val="00172002"/>
    <w:rsid w:val="0017416D"/>
    <w:rsid w:val="0017485E"/>
    <w:rsid w:val="00174DC5"/>
    <w:rsid w:val="00175090"/>
    <w:rsid w:val="00175161"/>
    <w:rsid w:val="0017568C"/>
    <w:rsid w:val="00175729"/>
    <w:rsid w:val="00176389"/>
    <w:rsid w:val="00176A4E"/>
    <w:rsid w:val="00177041"/>
    <w:rsid w:val="001778F7"/>
    <w:rsid w:val="001800AE"/>
    <w:rsid w:val="00180D3E"/>
    <w:rsid w:val="00181F23"/>
    <w:rsid w:val="001830EC"/>
    <w:rsid w:val="00183BA8"/>
    <w:rsid w:val="00183FD8"/>
    <w:rsid w:val="00184E8B"/>
    <w:rsid w:val="00185BBD"/>
    <w:rsid w:val="00185DC6"/>
    <w:rsid w:val="00185E02"/>
    <w:rsid w:val="00185EFD"/>
    <w:rsid w:val="00186269"/>
    <w:rsid w:val="001872D4"/>
    <w:rsid w:val="0018763C"/>
    <w:rsid w:val="00187F9D"/>
    <w:rsid w:val="00190E26"/>
    <w:rsid w:val="00191A39"/>
    <w:rsid w:val="00191B99"/>
    <w:rsid w:val="00191D9D"/>
    <w:rsid w:val="00191F5A"/>
    <w:rsid w:val="00192384"/>
    <w:rsid w:val="0019253F"/>
    <w:rsid w:val="0019312F"/>
    <w:rsid w:val="001933B0"/>
    <w:rsid w:val="00193728"/>
    <w:rsid w:val="00193CDE"/>
    <w:rsid w:val="00194237"/>
    <w:rsid w:val="0019491D"/>
    <w:rsid w:val="00195161"/>
    <w:rsid w:val="00195449"/>
    <w:rsid w:val="00195EC4"/>
    <w:rsid w:val="00196601"/>
    <w:rsid w:val="00196BF1"/>
    <w:rsid w:val="00197281"/>
    <w:rsid w:val="00197378"/>
    <w:rsid w:val="00197640"/>
    <w:rsid w:val="00197DDD"/>
    <w:rsid w:val="001A07A4"/>
    <w:rsid w:val="001A089E"/>
    <w:rsid w:val="001A0916"/>
    <w:rsid w:val="001A0AF0"/>
    <w:rsid w:val="001A19C7"/>
    <w:rsid w:val="001A1FAE"/>
    <w:rsid w:val="001A21B4"/>
    <w:rsid w:val="001A2C5C"/>
    <w:rsid w:val="001A30B5"/>
    <w:rsid w:val="001A30D2"/>
    <w:rsid w:val="001A39AD"/>
    <w:rsid w:val="001A4454"/>
    <w:rsid w:val="001A4459"/>
    <w:rsid w:val="001A46D7"/>
    <w:rsid w:val="001A4745"/>
    <w:rsid w:val="001A51D4"/>
    <w:rsid w:val="001A56BE"/>
    <w:rsid w:val="001A69FB"/>
    <w:rsid w:val="001A6D41"/>
    <w:rsid w:val="001A73D0"/>
    <w:rsid w:val="001A7400"/>
    <w:rsid w:val="001A79C9"/>
    <w:rsid w:val="001B000D"/>
    <w:rsid w:val="001B1830"/>
    <w:rsid w:val="001B1D72"/>
    <w:rsid w:val="001B2866"/>
    <w:rsid w:val="001B2BEB"/>
    <w:rsid w:val="001B2F64"/>
    <w:rsid w:val="001B488E"/>
    <w:rsid w:val="001B58EA"/>
    <w:rsid w:val="001B5F69"/>
    <w:rsid w:val="001B63EB"/>
    <w:rsid w:val="001B64EC"/>
    <w:rsid w:val="001B6995"/>
    <w:rsid w:val="001B7116"/>
    <w:rsid w:val="001B71E5"/>
    <w:rsid w:val="001B727D"/>
    <w:rsid w:val="001C0314"/>
    <w:rsid w:val="001C09A0"/>
    <w:rsid w:val="001C09C4"/>
    <w:rsid w:val="001C19B4"/>
    <w:rsid w:val="001C1B10"/>
    <w:rsid w:val="001C1E5A"/>
    <w:rsid w:val="001C269B"/>
    <w:rsid w:val="001C2AF4"/>
    <w:rsid w:val="001C2C9E"/>
    <w:rsid w:val="001C3EE8"/>
    <w:rsid w:val="001C5AFF"/>
    <w:rsid w:val="001C5C21"/>
    <w:rsid w:val="001C6416"/>
    <w:rsid w:val="001C68EA"/>
    <w:rsid w:val="001C7399"/>
    <w:rsid w:val="001C77DA"/>
    <w:rsid w:val="001D13EF"/>
    <w:rsid w:val="001D2682"/>
    <w:rsid w:val="001D2A7E"/>
    <w:rsid w:val="001D2D0F"/>
    <w:rsid w:val="001D390A"/>
    <w:rsid w:val="001D3A64"/>
    <w:rsid w:val="001D4146"/>
    <w:rsid w:val="001D45B5"/>
    <w:rsid w:val="001D45D4"/>
    <w:rsid w:val="001D5265"/>
    <w:rsid w:val="001D52A9"/>
    <w:rsid w:val="001D5E17"/>
    <w:rsid w:val="001D61CD"/>
    <w:rsid w:val="001D66EB"/>
    <w:rsid w:val="001D7B4F"/>
    <w:rsid w:val="001E06F5"/>
    <w:rsid w:val="001E0FBB"/>
    <w:rsid w:val="001E111C"/>
    <w:rsid w:val="001E166C"/>
    <w:rsid w:val="001E1996"/>
    <w:rsid w:val="001E1D44"/>
    <w:rsid w:val="001E3E77"/>
    <w:rsid w:val="001E4213"/>
    <w:rsid w:val="001E4580"/>
    <w:rsid w:val="001E45D4"/>
    <w:rsid w:val="001E4E2C"/>
    <w:rsid w:val="001E5202"/>
    <w:rsid w:val="001E5BC3"/>
    <w:rsid w:val="001E5F6D"/>
    <w:rsid w:val="001E665B"/>
    <w:rsid w:val="001E7C45"/>
    <w:rsid w:val="001F0287"/>
    <w:rsid w:val="001F0A40"/>
    <w:rsid w:val="001F0E4E"/>
    <w:rsid w:val="001F16C7"/>
    <w:rsid w:val="001F1A34"/>
    <w:rsid w:val="001F1B11"/>
    <w:rsid w:val="001F2118"/>
    <w:rsid w:val="001F29CE"/>
    <w:rsid w:val="001F36E9"/>
    <w:rsid w:val="001F3887"/>
    <w:rsid w:val="001F3913"/>
    <w:rsid w:val="001F44D6"/>
    <w:rsid w:val="001F462A"/>
    <w:rsid w:val="001F4866"/>
    <w:rsid w:val="001F6194"/>
    <w:rsid w:val="001F665F"/>
    <w:rsid w:val="001F6CAE"/>
    <w:rsid w:val="001F6DA7"/>
    <w:rsid w:val="001F6DDF"/>
    <w:rsid w:val="001F76AD"/>
    <w:rsid w:val="001F79DC"/>
    <w:rsid w:val="0020027D"/>
    <w:rsid w:val="0020117E"/>
    <w:rsid w:val="00201CC1"/>
    <w:rsid w:val="00202270"/>
    <w:rsid w:val="00202427"/>
    <w:rsid w:val="00202567"/>
    <w:rsid w:val="0020397B"/>
    <w:rsid w:val="00203CD6"/>
    <w:rsid w:val="00203D03"/>
    <w:rsid w:val="00203E94"/>
    <w:rsid w:val="00204159"/>
    <w:rsid w:val="00206B2B"/>
    <w:rsid w:val="002070E7"/>
    <w:rsid w:val="00207791"/>
    <w:rsid w:val="0021041D"/>
    <w:rsid w:val="002107AF"/>
    <w:rsid w:val="00210D0D"/>
    <w:rsid w:val="00211463"/>
    <w:rsid w:val="00211A1C"/>
    <w:rsid w:val="00211B3D"/>
    <w:rsid w:val="00212B14"/>
    <w:rsid w:val="0021309D"/>
    <w:rsid w:val="0021310E"/>
    <w:rsid w:val="00213865"/>
    <w:rsid w:val="00213956"/>
    <w:rsid w:val="002149F8"/>
    <w:rsid w:val="00214EC5"/>
    <w:rsid w:val="00214F54"/>
    <w:rsid w:val="00216209"/>
    <w:rsid w:val="0021625E"/>
    <w:rsid w:val="00216354"/>
    <w:rsid w:val="002164E0"/>
    <w:rsid w:val="0021656B"/>
    <w:rsid w:val="0021687B"/>
    <w:rsid w:val="00216EC6"/>
    <w:rsid w:val="00216F2D"/>
    <w:rsid w:val="002178D3"/>
    <w:rsid w:val="002205E8"/>
    <w:rsid w:val="00220B1B"/>
    <w:rsid w:val="0022201A"/>
    <w:rsid w:val="00222B89"/>
    <w:rsid w:val="00222F8F"/>
    <w:rsid w:val="002232EA"/>
    <w:rsid w:val="00224B94"/>
    <w:rsid w:val="00224E53"/>
    <w:rsid w:val="0022509A"/>
    <w:rsid w:val="0022511B"/>
    <w:rsid w:val="00225277"/>
    <w:rsid w:val="002266C9"/>
    <w:rsid w:val="00226D2F"/>
    <w:rsid w:val="00227259"/>
    <w:rsid w:val="0022775C"/>
    <w:rsid w:val="0022781C"/>
    <w:rsid w:val="0022798F"/>
    <w:rsid w:val="00230240"/>
    <w:rsid w:val="00230CCB"/>
    <w:rsid w:val="00230CEB"/>
    <w:rsid w:val="0023127B"/>
    <w:rsid w:val="002319EA"/>
    <w:rsid w:val="0023225D"/>
    <w:rsid w:val="002334D9"/>
    <w:rsid w:val="002335E0"/>
    <w:rsid w:val="00233AB8"/>
    <w:rsid w:val="002349EB"/>
    <w:rsid w:val="00234C78"/>
    <w:rsid w:val="00234D9C"/>
    <w:rsid w:val="002351DB"/>
    <w:rsid w:val="002351FB"/>
    <w:rsid w:val="002357A0"/>
    <w:rsid w:val="0023605E"/>
    <w:rsid w:val="00236333"/>
    <w:rsid w:val="00237F72"/>
    <w:rsid w:val="0024078C"/>
    <w:rsid w:val="00242417"/>
    <w:rsid w:val="00242F3D"/>
    <w:rsid w:val="00243571"/>
    <w:rsid w:val="00243C66"/>
    <w:rsid w:val="00244177"/>
    <w:rsid w:val="002452AA"/>
    <w:rsid w:val="0024602B"/>
    <w:rsid w:val="002461EC"/>
    <w:rsid w:val="002462D5"/>
    <w:rsid w:val="0024643F"/>
    <w:rsid w:val="0024701B"/>
    <w:rsid w:val="00247103"/>
    <w:rsid w:val="00247559"/>
    <w:rsid w:val="00247C93"/>
    <w:rsid w:val="00250392"/>
    <w:rsid w:val="0025100D"/>
    <w:rsid w:val="002517CD"/>
    <w:rsid w:val="002522D4"/>
    <w:rsid w:val="0025279D"/>
    <w:rsid w:val="00252A62"/>
    <w:rsid w:val="00253098"/>
    <w:rsid w:val="0025409B"/>
    <w:rsid w:val="002557CC"/>
    <w:rsid w:val="002558E8"/>
    <w:rsid w:val="0025594C"/>
    <w:rsid w:val="00255CB3"/>
    <w:rsid w:val="00255E54"/>
    <w:rsid w:val="0025680F"/>
    <w:rsid w:val="00256C91"/>
    <w:rsid w:val="002575CB"/>
    <w:rsid w:val="002576F3"/>
    <w:rsid w:val="0025781E"/>
    <w:rsid w:val="00257C01"/>
    <w:rsid w:val="00257F78"/>
    <w:rsid w:val="002607F4"/>
    <w:rsid w:val="00261A74"/>
    <w:rsid w:val="00261B82"/>
    <w:rsid w:val="00262298"/>
    <w:rsid w:val="002627AA"/>
    <w:rsid w:val="002627B9"/>
    <w:rsid w:val="00262B98"/>
    <w:rsid w:val="00262C57"/>
    <w:rsid w:val="00263A97"/>
    <w:rsid w:val="00263AB9"/>
    <w:rsid w:val="0026500B"/>
    <w:rsid w:val="00265B39"/>
    <w:rsid w:val="00266074"/>
    <w:rsid w:val="00266215"/>
    <w:rsid w:val="002662A3"/>
    <w:rsid w:val="00266806"/>
    <w:rsid w:val="0026738C"/>
    <w:rsid w:val="00267698"/>
    <w:rsid w:val="00267920"/>
    <w:rsid w:val="0027013B"/>
    <w:rsid w:val="002713DA"/>
    <w:rsid w:val="002718CB"/>
    <w:rsid w:val="00271D31"/>
    <w:rsid w:val="00271FA1"/>
    <w:rsid w:val="002720C6"/>
    <w:rsid w:val="00273118"/>
    <w:rsid w:val="002746BF"/>
    <w:rsid w:val="00275D16"/>
    <w:rsid w:val="002763B9"/>
    <w:rsid w:val="002765FA"/>
    <w:rsid w:val="002771CF"/>
    <w:rsid w:val="002776F9"/>
    <w:rsid w:val="00277817"/>
    <w:rsid w:val="00277EF1"/>
    <w:rsid w:val="00280277"/>
    <w:rsid w:val="00280DA9"/>
    <w:rsid w:val="0028141D"/>
    <w:rsid w:val="002818A4"/>
    <w:rsid w:val="00281ACD"/>
    <w:rsid w:val="00282122"/>
    <w:rsid w:val="0028226D"/>
    <w:rsid w:val="00282A5C"/>
    <w:rsid w:val="00282F25"/>
    <w:rsid w:val="00282F63"/>
    <w:rsid w:val="002836D0"/>
    <w:rsid w:val="002840BC"/>
    <w:rsid w:val="0028492C"/>
    <w:rsid w:val="002853B3"/>
    <w:rsid w:val="00285AAD"/>
    <w:rsid w:val="00285C53"/>
    <w:rsid w:val="00285F2A"/>
    <w:rsid w:val="00286218"/>
    <w:rsid w:val="002864CB"/>
    <w:rsid w:val="00287EFC"/>
    <w:rsid w:val="00290296"/>
    <w:rsid w:val="00291E58"/>
    <w:rsid w:val="002927AE"/>
    <w:rsid w:val="0029288F"/>
    <w:rsid w:val="002929EB"/>
    <w:rsid w:val="002934EB"/>
    <w:rsid w:val="002947FA"/>
    <w:rsid w:val="00295700"/>
    <w:rsid w:val="002960C7"/>
    <w:rsid w:val="00297773"/>
    <w:rsid w:val="002A0D71"/>
    <w:rsid w:val="002A1C34"/>
    <w:rsid w:val="002A2980"/>
    <w:rsid w:val="002A362C"/>
    <w:rsid w:val="002A3DB3"/>
    <w:rsid w:val="002A47DB"/>
    <w:rsid w:val="002A4A89"/>
    <w:rsid w:val="002A4E82"/>
    <w:rsid w:val="002A5191"/>
    <w:rsid w:val="002A51AB"/>
    <w:rsid w:val="002A554A"/>
    <w:rsid w:val="002A63FF"/>
    <w:rsid w:val="002A6673"/>
    <w:rsid w:val="002A6780"/>
    <w:rsid w:val="002A7B57"/>
    <w:rsid w:val="002A7B59"/>
    <w:rsid w:val="002B04EB"/>
    <w:rsid w:val="002B0D1F"/>
    <w:rsid w:val="002B121F"/>
    <w:rsid w:val="002B1419"/>
    <w:rsid w:val="002B1571"/>
    <w:rsid w:val="002B2195"/>
    <w:rsid w:val="002B2D17"/>
    <w:rsid w:val="002B5276"/>
    <w:rsid w:val="002B6683"/>
    <w:rsid w:val="002B6791"/>
    <w:rsid w:val="002B6C81"/>
    <w:rsid w:val="002B7729"/>
    <w:rsid w:val="002B7A92"/>
    <w:rsid w:val="002C018B"/>
    <w:rsid w:val="002C0D14"/>
    <w:rsid w:val="002C2234"/>
    <w:rsid w:val="002C25FB"/>
    <w:rsid w:val="002C2B8B"/>
    <w:rsid w:val="002C3194"/>
    <w:rsid w:val="002C32D7"/>
    <w:rsid w:val="002C3A59"/>
    <w:rsid w:val="002C3ABD"/>
    <w:rsid w:val="002C3DAB"/>
    <w:rsid w:val="002C4828"/>
    <w:rsid w:val="002C4AD7"/>
    <w:rsid w:val="002C603D"/>
    <w:rsid w:val="002C642C"/>
    <w:rsid w:val="002C6B54"/>
    <w:rsid w:val="002D1C73"/>
    <w:rsid w:val="002D22B8"/>
    <w:rsid w:val="002D2C24"/>
    <w:rsid w:val="002D335B"/>
    <w:rsid w:val="002D3672"/>
    <w:rsid w:val="002D38CB"/>
    <w:rsid w:val="002D3CCC"/>
    <w:rsid w:val="002D3E8B"/>
    <w:rsid w:val="002D47CD"/>
    <w:rsid w:val="002D4EEF"/>
    <w:rsid w:val="002D52F2"/>
    <w:rsid w:val="002D5402"/>
    <w:rsid w:val="002D59D4"/>
    <w:rsid w:val="002D5CE9"/>
    <w:rsid w:val="002D6171"/>
    <w:rsid w:val="002D697B"/>
    <w:rsid w:val="002E0F66"/>
    <w:rsid w:val="002E108A"/>
    <w:rsid w:val="002E119B"/>
    <w:rsid w:val="002E1208"/>
    <w:rsid w:val="002E1C9B"/>
    <w:rsid w:val="002E21DA"/>
    <w:rsid w:val="002E319F"/>
    <w:rsid w:val="002E3A99"/>
    <w:rsid w:val="002E59F2"/>
    <w:rsid w:val="002E5B09"/>
    <w:rsid w:val="002E7462"/>
    <w:rsid w:val="002E7B5F"/>
    <w:rsid w:val="002E7BE8"/>
    <w:rsid w:val="002F005B"/>
    <w:rsid w:val="002F049C"/>
    <w:rsid w:val="002F0EED"/>
    <w:rsid w:val="002F11AF"/>
    <w:rsid w:val="002F1730"/>
    <w:rsid w:val="002F1871"/>
    <w:rsid w:val="002F2034"/>
    <w:rsid w:val="002F6D54"/>
    <w:rsid w:val="002F788E"/>
    <w:rsid w:val="002F78DA"/>
    <w:rsid w:val="002F7C4C"/>
    <w:rsid w:val="00302182"/>
    <w:rsid w:val="00302289"/>
    <w:rsid w:val="003034AE"/>
    <w:rsid w:val="003036A4"/>
    <w:rsid w:val="0030413B"/>
    <w:rsid w:val="00304144"/>
    <w:rsid w:val="003042BC"/>
    <w:rsid w:val="003048A0"/>
    <w:rsid w:val="003049C5"/>
    <w:rsid w:val="00305211"/>
    <w:rsid w:val="00305856"/>
    <w:rsid w:val="00306824"/>
    <w:rsid w:val="00307164"/>
    <w:rsid w:val="003075C1"/>
    <w:rsid w:val="0030774C"/>
    <w:rsid w:val="00310005"/>
    <w:rsid w:val="00310BDC"/>
    <w:rsid w:val="00310BF7"/>
    <w:rsid w:val="00310E16"/>
    <w:rsid w:val="003113BD"/>
    <w:rsid w:val="0031168D"/>
    <w:rsid w:val="00311794"/>
    <w:rsid w:val="00312795"/>
    <w:rsid w:val="003129F3"/>
    <w:rsid w:val="003148FA"/>
    <w:rsid w:val="0031510B"/>
    <w:rsid w:val="003153A9"/>
    <w:rsid w:val="003154DD"/>
    <w:rsid w:val="00315A76"/>
    <w:rsid w:val="00315B45"/>
    <w:rsid w:val="003163E8"/>
    <w:rsid w:val="0031647A"/>
    <w:rsid w:val="003168F4"/>
    <w:rsid w:val="00316E98"/>
    <w:rsid w:val="0031763A"/>
    <w:rsid w:val="0031771B"/>
    <w:rsid w:val="00317A56"/>
    <w:rsid w:val="00317A73"/>
    <w:rsid w:val="0032002D"/>
    <w:rsid w:val="003218E9"/>
    <w:rsid w:val="003219BE"/>
    <w:rsid w:val="00321F7D"/>
    <w:rsid w:val="00322A02"/>
    <w:rsid w:val="00323C68"/>
    <w:rsid w:val="00324BCD"/>
    <w:rsid w:val="00324DF7"/>
    <w:rsid w:val="003260D7"/>
    <w:rsid w:val="0032640A"/>
    <w:rsid w:val="003267A1"/>
    <w:rsid w:val="00327904"/>
    <w:rsid w:val="003279EF"/>
    <w:rsid w:val="00330381"/>
    <w:rsid w:val="003306C2"/>
    <w:rsid w:val="00330E23"/>
    <w:rsid w:val="00331247"/>
    <w:rsid w:val="003316D8"/>
    <w:rsid w:val="00331A64"/>
    <w:rsid w:val="00331CA1"/>
    <w:rsid w:val="00332C42"/>
    <w:rsid w:val="00332CE5"/>
    <w:rsid w:val="0033327D"/>
    <w:rsid w:val="00333BE3"/>
    <w:rsid w:val="0033438C"/>
    <w:rsid w:val="00334CD3"/>
    <w:rsid w:val="00335550"/>
    <w:rsid w:val="003356AE"/>
    <w:rsid w:val="00336065"/>
    <w:rsid w:val="003363FA"/>
    <w:rsid w:val="00336C06"/>
    <w:rsid w:val="00336E57"/>
    <w:rsid w:val="0033776C"/>
    <w:rsid w:val="003378EA"/>
    <w:rsid w:val="00337970"/>
    <w:rsid w:val="003400BA"/>
    <w:rsid w:val="00340477"/>
    <w:rsid w:val="003405B6"/>
    <w:rsid w:val="0034137A"/>
    <w:rsid w:val="00341A3B"/>
    <w:rsid w:val="003426C0"/>
    <w:rsid w:val="0034338D"/>
    <w:rsid w:val="00344850"/>
    <w:rsid w:val="00344F22"/>
    <w:rsid w:val="00345807"/>
    <w:rsid w:val="0034584A"/>
    <w:rsid w:val="00345936"/>
    <w:rsid w:val="00346E0A"/>
    <w:rsid w:val="0034701E"/>
    <w:rsid w:val="00347402"/>
    <w:rsid w:val="003477A9"/>
    <w:rsid w:val="00350083"/>
    <w:rsid w:val="00350301"/>
    <w:rsid w:val="00350A2D"/>
    <w:rsid w:val="0035206A"/>
    <w:rsid w:val="00352D15"/>
    <w:rsid w:val="00353005"/>
    <w:rsid w:val="00353CD9"/>
    <w:rsid w:val="00353D5C"/>
    <w:rsid w:val="003547E6"/>
    <w:rsid w:val="003549AD"/>
    <w:rsid w:val="00354E03"/>
    <w:rsid w:val="00355111"/>
    <w:rsid w:val="003559E1"/>
    <w:rsid w:val="00355B28"/>
    <w:rsid w:val="003561BC"/>
    <w:rsid w:val="00356AD4"/>
    <w:rsid w:val="00356CBE"/>
    <w:rsid w:val="00356EB5"/>
    <w:rsid w:val="00357288"/>
    <w:rsid w:val="003572A3"/>
    <w:rsid w:val="00357E81"/>
    <w:rsid w:val="003607E0"/>
    <w:rsid w:val="003618DB"/>
    <w:rsid w:val="00362554"/>
    <w:rsid w:val="00362772"/>
    <w:rsid w:val="0036297F"/>
    <w:rsid w:val="00362FD7"/>
    <w:rsid w:val="00363580"/>
    <w:rsid w:val="00363A0B"/>
    <w:rsid w:val="003646AA"/>
    <w:rsid w:val="003651FC"/>
    <w:rsid w:val="00366680"/>
    <w:rsid w:val="00366D18"/>
    <w:rsid w:val="00367A16"/>
    <w:rsid w:val="003700EC"/>
    <w:rsid w:val="00370460"/>
    <w:rsid w:val="00370F89"/>
    <w:rsid w:val="00370FC2"/>
    <w:rsid w:val="003715B2"/>
    <w:rsid w:val="00372F7D"/>
    <w:rsid w:val="00373635"/>
    <w:rsid w:val="003738E7"/>
    <w:rsid w:val="0037434C"/>
    <w:rsid w:val="00374C83"/>
    <w:rsid w:val="00375B2B"/>
    <w:rsid w:val="00376004"/>
    <w:rsid w:val="00376EF4"/>
    <w:rsid w:val="003773B7"/>
    <w:rsid w:val="00380897"/>
    <w:rsid w:val="00380B9B"/>
    <w:rsid w:val="00380DEE"/>
    <w:rsid w:val="0038149E"/>
    <w:rsid w:val="00381D10"/>
    <w:rsid w:val="00383592"/>
    <w:rsid w:val="003836F0"/>
    <w:rsid w:val="003840F2"/>
    <w:rsid w:val="00384B13"/>
    <w:rsid w:val="00384D8C"/>
    <w:rsid w:val="00384E95"/>
    <w:rsid w:val="0038573F"/>
    <w:rsid w:val="003869DE"/>
    <w:rsid w:val="00386BAA"/>
    <w:rsid w:val="00386FB7"/>
    <w:rsid w:val="00387A57"/>
    <w:rsid w:val="00387A62"/>
    <w:rsid w:val="00390120"/>
    <w:rsid w:val="00390384"/>
    <w:rsid w:val="00390763"/>
    <w:rsid w:val="00390CFE"/>
    <w:rsid w:val="00390D3D"/>
    <w:rsid w:val="003912B8"/>
    <w:rsid w:val="003926EB"/>
    <w:rsid w:val="00392A6E"/>
    <w:rsid w:val="00392D1E"/>
    <w:rsid w:val="003933D9"/>
    <w:rsid w:val="00393DA5"/>
    <w:rsid w:val="00394228"/>
    <w:rsid w:val="0039468B"/>
    <w:rsid w:val="00395DA1"/>
    <w:rsid w:val="0039612D"/>
    <w:rsid w:val="003961FB"/>
    <w:rsid w:val="00397A3A"/>
    <w:rsid w:val="003A042D"/>
    <w:rsid w:val="003A1148"/>
    <w:rsid w:val="003A18BD"/>
    <w:rsid w:val="003A1917"/>
    <w:rsid w:val="003A1B4D"/>
    <w:rsid w:val="003A1DDA"/>
    <w:rsid w:val="003A2215"/>
    <w:rsid w:val="003A2DDA"/>
    <w:rsid w:val="003A2E0F"/>
    <w:rsid w:val="003A3B6A"/>
    <w:rsid w:val="003A445D"/>
    <w:rsid w:val="003A4595"/>
    <w:rsid w:val="003A477C"/>
    <w:rsid w:val="003A4EAE"/>
    <w:rsid w:val="003A5234"/>
    <w:rsid w:val="003A523F"/>
    <w:rsid w:val="003A5581"/>
    <w:rsid w:val="003A6D05"/>
    <w:rsid w:val="003A705E"/>
    <w:rsid w:val="003A74A7"/>
    <w:rsid w:val="003A7BC7"/>
    <w:rsid w:val="003B020C"/>
    <w:rsid w:val="003B02CD"/>
    <w:rsid w:val="003B09EE"/>
    <w:rsid w:val="003B0D50"/>
    <w:rsid w:val="003B26FC"/>
    <w:rsid w:val="003B2AEA"/>
    <w:rsid w:val="003B2ED5"/>
    <w:rsid w:val="003B2FBF"/>
    <w:rsid w:val="003B32F8"/>
    <w:rsid w:val="003B35F5"/>
    <w:rsid w:val="003B39C2"/>
    <w:rsid w:val="003B40D0"/>
    <w:rsid w:val="003B4988"/>
    <w:rsid w:val="003B518F"/>
    <w:rsid w:val="003B5412"/>
    <w:rsid w:val="003B6500"/>
    <w:rsid w:val="003B74F3"/>
    <w:rsid w:val="003B787E"/>
    <w:rsid w:val="003B7A85"/>
    <w:rsid w:val="003B7CC8"/>
    <w:rsid w:val="003C020F"/>
    <w:rsid w:val="003C030C"/>
    <w:rsid w:val="003C09E9"/>
    <w:rsid w:val="003C0B6D"/>
    <w:rsid w:val="003C0CE9"/>
    <w:rsid w:val="003C0E60"/>
    <w:rsid w:val="003C1215"/>
    <w:rsid w:val="003C1288"/>
    <w:rsid w:val="003C16E7"/>
    <w:rsid w:val="003C1779"/>
    <w:rsid w:val="003C1837"/>
    <w:rsid w:val="003C183B"/>
    <w:rsid w:val="003C21A0"/>
    <w:rsid w:val="003C2227"/>
    <w:rsid w:val="003C4B58"/>
    <w:rsid w:val="003C4EA4"/>
    <w:rsid w:val="003C4EFF"/>
    <w:rsid w:val="003C58DF"/>
    <w:rsid w:val="003C5C01"/>
    <w:rsid w:val="003C604D"/>
    <w:rsid w:val="003C664D"/>
    <w:rsid w:val="003C68E0"/>
    <w:rsid w:val="003C6B62"/>
    <w:rsid w:val="003C71C2"/>
    <w:rsid w:val="003C7356"/>
    <w:rsid w:val="003C735D"/>
    <w:rsid w:val="003D0535"/>
    <w:rsid w:val="003D06FE"/>
    <w:rsid w:val="003D08A9"/>
    <w:rsid w:val="003D0C13"/>
    <w:rsid w:val="003D101B"/>
    <w:rsid w:val="003D11E7"/>
    <w:rsid w:val="003D1283"/>
    <w:rsid w:val="003D167C"/>
    <w:rsid w:val="003D30A0"/>
    <w:rsid w:val="003D38CF"/>
    <w:rsid w:val="003D4BF4"/>
    <w:rsid w:val="003D5999"/>
    <w:rsid w:val="003D6247"/>
    <w:rsid w:val="003D6A8F"/>
    <w:rsid w:val="003D6BC5"/>
    <w:rsid w:val="003D6C68"/>
    <w:rsid w:val="003D741E"/>
    <w:rsid w:val="003D7D70"/>
    <w:rsid w:val="003E0834"/>
    <w:rsid w:val="003E0B63"/>
    <w:rsid w:val="003E0D96"/>
    <w:rsid w:val="003E0FD3"/>
    <w:rsid w:val="003E1103"/>
    <w:rsid w:val="003E1253"/>
    <w:rsid w:val="003E1566"/>
    <w:rsid w:val="003E15CD"/>
    <w:rsid w:val="003E160D"/>
    <w:rsid w:val="003E173F"/>
    <w:rsid w:val="003E1D97"/>
    <w:rsid w:val="003E1E0C"/>
    <w:rsid w:val="003E22B0"/>
    <w:rsid w:val="003E2FF1"/>
    <w:rsid w:val="003E3BEC"/>
    <w:rsid w:val="003E3D4A"/>
    <w:rsid w:val="003E3F40"/>
    <w:rsid w:val="003E541E"/>
    <w:rsid w:val="003E5633"/>
    <w:rsid w:val="003E58EF"/>
    <w:rsid w:val="003E5EEA"/>
    <w:rsid w:val="003E7A2F"/>
    <w:rsid w:val="003F03C7"/>
    <w:rsid w:val="003F145C"/>
    <w:rsid w:val="003F19CA"/>
    <w:rsid w:val="003F2127"/>
    <w:rsid w:val="003F2B5F"/>
    <w:rsid w:val="003F3273"/>
    <w:rsid w:val="003F3A88"/>
    <w:rsid w:val="003F3C2B"/>
    <w:rsid w:val="003F3E73"/>
    <w:rsid w:val="003F3F57"/>
    <w:rsid w:val="003F4E9E"/>
    <w:rsid w:val="003F60E0"/>
    <w:rsid w:val="003F6B7B"/>
    <w:rsid w:val="003F6F6A"/>
    <w:rsid w:val="003F7450"/>
    <w:rsid w:val="003F7B21"/>
    <w:rsid w:val="003F7C73"/>
    <w:rsid w:val="0040003B"/>
    <w:rsid w:val="0040081B"/>
    <w:rsid w:val="004011CF"/>
    <w:rsid w:val="00401C38"/>
    <w:rsid w:val="00401C8D"/>
    <w:rsid w:val="00401EAF"/>
    <w:rsid w:val="00401F4A"/>
    <w:rsid w:val="004024D0"/>
    <w:rsid w:val="00402639"/>
    <w:rsid w:val="004028A7"/>
    <w:rsid w:val="00403D91"/>
    <w:rsid w:val="00404369"/>
    <w:rsid w:val="004044F8"/>
    <w:rsid w:val="0040499F"/>
    <w:rsid w:val="00405718"/>
    <w:rsid w:val="004061F5"/>
    <w:rsid w:val="0040784A"/>
    <w:rsid w:val="00410B9D"/>
    <w:rsid w:val="004111A4"/>
    <w:rsid w:val="004119E9"/>
    <w:rsid w:val="004135DD"/>
    <w:rsid w:val="00413957"/>
    <w:rsid w:val="00413B15"/>
    <w:rsid w:val="00413B28"/>
    <w:rsid w:val="00413EB6"/>
    <w:rsid w:val="00414CC9"/>
    <w:rsid w:val="00414CFA"/>
    <w:rsid w:val="004159DD"/>
    <w:rsid w:val="004167A5"/>
    <w:rsid w:val="00416BD8"/>
    <w:rsid w:val="00416CFA"/>
    <w:rsid w:val="00417401"/>
    <w:rsid w:val="00417AE1"/>
    <w:rsid w:val="00420773"/>
    <w:rsid w:val="00421CEA"/>
    <w:rsid w:val="00421D27"/>
    <w:rsid w:val="00422003"/>
    <w:rsid w:val="004223A3"/>
    <w:rsid w:val="004231FF"/>
    <w:rsid w:val="00423AB3"/>
    <w:rsid w:val="00423B5F"/>
    <w:rsid w:val="00423E56"/>
    <w:rsid w:val="00423F77"/>
    <w:rsid w:val="0042413E"/>
    <w:rsid w:val="00424A25"/>
    <w:rsid w:val="004258F7"/>
    <w:rsid w:val="004259E0"/>
    <w:rsid w:val="00425E87"/>
    <w:rsid w:val="00426C43"/>
    <w:rsid w:val="00427855"/>
    <w:rsid w:val="00427874"/>
    <w:rsid w:val="00427FC0"/>
    <w:rsid w:val="00430473"/>
    <w:rsid w:val="004308E6"/>
    <w:rsid w:val="00430DF5"/>
    <w:rsid w:val="00431430"/>
    <w:rsid w:val="00431BE1"/>
    <w:rsid w:val="004323F4"/>
    <w:rsid w:val="00432817"/>
    <w:rsid w:val="004328A9"/>
    <w:rsid w:val="00432C4D"/>
    <w:rsid w:val="0043308A"/>
    <w:rsid w:val="0043342A"/>
    <w:rsid w:val="0043360E"/>
    <w:rsid w:val="00433C19"/>
    <w:rsid w:val="00433C4D"/>
    <w:rsid w:val="00433E65"/>
    <w:rsid w:val="00434D6F"/>
    <w:rsid w:val="004358CD"/>
    <w:rsid w:val="00435C05"/>
    <w:rsid w:val="00436FF3"/>
    <w:rsid w:val="00437020"/>
    <w:rsid w:val="0043793E"/>
    <w:rsid w:val="00437B7C"/>
    <w:rsid w:val="00437DEA"/>
    <w:rsid w:val="004404A5"/>
    <w:rsid w:val="00440703"/>
    <w:rsid w:val="0044084F"/>
    <w:rsid w:val="00441B83"/>
    <w:rsid w:val="00441C67"/>
    <w:rsid w:val="004420B6"/>
    <w:rsid w:val="00443708"/>
    <w:rsid w:val="0044381B"/>
    <w:rsid w:val="00443841"/>
    <w:rsid w:val="00443B50"/>
    <w:rsid w:val="0044408E"/>
    <w:rsid w:val="00444E92"/>
    <w:rsid w:val="0044506E"/>
    <w:rsid w:val="00445661"/>
    <w:rsid w:val="00445B0A"/>
    <w:rsid w:val="00445D5F"/>
    <w:rsid w:val="004462AA"/>
    <w:rsid w:val="00446BD0"/>
    <w:rsid w:val="00446CAC"/>
    <w:rsid w:val="00446F9B"/>
    <w:rsid w:val="00447290"/>
    <w:rsid w:val="00447850"/>
    <w:rsid w:val="00447B31"/>
    <w:rsid w:val="00447F9B"/>
    <w:rsid w:val="00453A1D"/>
    <w:rsid w:val="00453B24"/>
    <w:rsid w:val="00454103"/>
    <w:rsid w:val="00454159"/>
    <w:rsid w:val="00454BF8"/>
    <w:rsid w:val="00454C73"/>
    <w:rsid w:val="00454CDF"/>
    <w:rsid w:val="00454D1D"/>
    <w:rsid w:val="004558D0"/>
    <w:rsid w:val="00455DCD"/>
    <w:rsid w:val="00456222"/>
    <w:rsid w:val="004574DE"/>
    <w:rsid w:val="00457B67"/>
    <w:rsid w:val="00460887"/>
    <w:rsid w:val="00460A5D"/>
    <w:rsid w:val="00460E3B"/>
    <w:rsid w:val="00460F6E"/>
    <w:rsid w:val="00461318"/>
    <w:rsid w:val="00462627"/>
    <w:rsid w:val="00463228"/>
    <w:rsid w:val="0046430F"/>
    <w:rsid w:val="004645F6"/>
    <w:rsid w:val="00465B1E"/>
    <w:rsid w:val="00465D5A"/>
    <w:rsid w:val="00466036"/>
    <w:rsid w:val="004679A0"/>
    <w:rsid w:val="00470014"/>
    <w:rsid w:val="00470124"/>
    <w:rsid w:val="004720F6"/>
    <w:rsid w:val="004725E6"/>
    <w:rsid w:val="00473A97"/>
    <w:rsid w:val="00473B01"/>
    <w:rsid w:val="00474467"/>
    <w:rsid w:val="00475C4C"/>
    <w:rsid w:val="004766F5"/>
    <w:rsid w:val="00477EC8"/>
    <w:rsid w:val="00477EE0"/>
    <w:rsid w:val="00480441"/>
    <w:rsid w:val="00480920"/>
    <w:rsid w:val="004809C8"/>
    <w:rsid w:val="004817AF"/>
    <w:rsid w:val="00481ECF"/>
    <w:rsid w:val="0048226C"/>
    <w:rsid w:val="00482840"/>
    <w:rsid w:val="00483168"/>
    <w:rsid w:val="0048343F"/>
    <w:rsid w:val="00483999"/>
    <w:rsid w:val="004844E9"/>
    <w:rsid w:val="004845B1"/>
    <w:rsid w:val="00484DBB"/>
    <w:rsid w:val="004865CB"/>
    <w:rsid w:val="0048685A"/>
    <w:rsid w:val="00486A29"/>
    <w:rsid w:val="00486CE7"/>
    <w:rsid w:val="00486CF5"/>
    <w:rsid w:val="004870DF"/>
    <w:rsid w:val="004877B1"/>
    <w:rsid w:val="004878D8"/>
    <w:rsid w:val="0049154F"/>
    <w:rsid w:val="004924EF"/>
    <w:rsid w:val="00492C03"/>
    <w:rsid w:val="0049402C"/>
    <w:rsid w:val="004941A0"/>
    <w:rsid w:val="00494EFA"/>
    <w:rsid w:val="00495503"/>
    <w:rsid w:val="00495655"/>
    <w:rsid w:val="00495EE0"/>
    <w:rsid w:val="00495FFF"/>
    <w:rsid w:val="00496CF0"/>
    <w:rsid w:val="004A04E3"/>
    <w:rsid w:val="004A04F4"/>
    <w:rsid w:val="004A0C25"/>
    <w:rsid w:val="004A250D"/>
    <w:rsid w:val="004A2979"/>
    <w:rsid w:val="004A2AE8"/>
    <w:rsid w:val="004A3202"/>
    <w:rsid w:val="004A3243"/>
    <w:rsid w:val="004A359A"/>
    <w:rsid w:val="004A35E8"/>
    <w:rsid w:val="004A3733"/>
    <w:rsid w:val="004A3865"/>
    <w:rsid w:val="004A462B"/>
    <w:rsid w:val="004A5421"/>
    <w:rsid w:val="004A5641"/>
    <w:rsid w:val="004A5C41"/>
    <w:rsid w:val="004A68F2"/>
    <w:rsid w:val="004A70F9"/>
    <w:rsid w:val="004B028E"/>
    <w:rsid w:val="004B06DE"/>
    <w:rsid w:val="004B1225"/>
    <w:rsid w:val="004B1939"/>
    <w:rsid w:val="004B1B59"/>
    <w:rsid w:val="004B1C35"/>
    <w:rsid w:val="004B1C7A"/>
    <w:rsid w:val="004B2193"/>
    <w:rsid w:val="004B29AC"/>
    <w:rsid w:val="004B334D"/>
    <w:rsid w:val="004B3DE4"/>
    <w:rsid w:val="004B3FA7"/>
    <w:rsid w:val="004B5361"/>
    <w:rsid w:val="004B675C"/>
    <w:rsid w:val="004B6BDB"/>
    <w:rsid w:val="004B7395"/>
    <w:rsid w:val="004B7587"/>
    <w:rsid w:val="004C1B7F"/>
    <w:rsid w:val="004C1CEF"/>
    <w:rsid w:val="004C2470"/>
    <w:rsid w:val="004C2D13"/>
    <w:rsid w:val="004C2E82"/>
    <w:rsid w:val="004C31A9"/>
    <w:rsid w:val="004C37C9"/>
    <w:rsid w:val="004C37D2"/>
    <w:rsid w:val="004C3D5D"/>
    <w:rsid w:val="004C459C"/>
    <w:rsid w:val="004C4657"/>
    <w:rsid w:val="004C4C5E"/>
    <w:rsid w:val="004C508F"/>
    <w:rsid w:val="004C65B1"/>
    <w:rsid w:val="004C6E7F"/>
    <w:rsid w:val="004C6FB1"/>
    <w:rsid w:val="004C739A"/>
    <w:rsid w:val="004C7AC3"/>
    <w:rsid w:val="004C7D1C"/>
    <w:rsid w:val="004D0023"/>
    <w:rsid w:val="004D039D"/>
    <w:rsid w:val="004D0641"/>
    <w:rsid w:val="004D0F00"/>
    <w:rsid w:val="004D1B3A"/>
    <w:rsid w:val="004D1FEF"/>
    <w:rsid w:val="004D2429"/>
    <w:rsid w:val="004D293B"/>
    <w:rsid w:val="004D2C9A"/>
    <w:rsid w:val="004D2EE7"/>
    <w:rsid w:val="004D3D3D"/>
    <w:rsid w:val="004D49B1"/>
    <w:rsid w:val="004D4D25"/>
    <w:rsid w:val="004D5331"/>
    <w:rsid w:val="004D57AC"/>
    <w:rsid w:val="004D7014"/>
    <w:rsid w:val="004D74D0"/>
    <w:rsid w:val="004D766A"/>
    <w:rsid w:val="004E15D4"/>
    <w:rsid w:val="004E1DF6"/>
    <w:rsid w:val="004E2923"/>
    <w:rsid w:val="004E295E"/>
    <w:rsid w:val="004E3267"/>
    <w:rsid w:val="004E400E"/>
    <w:rsid w:val="004E5450"/>
    <w:rsid w:val="004E58DC"/>
    <w:rsid w:val="004E5CDE"/>
    <w:rsid w:val="004E6938"/>
    <w:rsid w:val="004E77CF"/>
    <w:rsid w:val="004E79E3"/>
    <w:rsid w:val="004F0EA3"/>
    <w:rsid w:val="004F227C"/>
    <w:rsid w:val="004F3A02"/>
    <w:rsid w:val="004F43C3"/>
    <w:rsid w:val="004F45B4"/>
    <w:rsid w:val="004F47A2"/>
    <w:rsid w:val="004F47FE"/>
    <w:rsid w:val="004F48B5"/>
    <w:rsid w:val="004F4BEB"/>
    <w:rsid w:val="004F4D14"/>
    <w:rsid w:val="004F54FD"/>
    <w:rsid w:val="004F5525"/>
    <w:rsid w:val="004F5793"/>
    <w:rsid w:val="004F5CA2"/>
    <w:rsid w:val="004F5EBD"/>
    <w:rsid w:val="004F654C"/>
    <w:rsid w:val="004F6958"/>
    <w:rsid w:val="004F6BDE"/>
    <w:rsid w:val="004F746A"/>
    <w:rsid w:val="004F7E1B"/>
    <w:rsid w:val="00500E5B"/>
    <w:rsid w:val="0050131D"/>
    <w:rsid w:val="005027A5"/>
    <w:rsid w:val="00502B14"/>
    <w:rsid w:val="00502DDB"/>
    <w:rsid w:val="00503560"/>
    <w:rsid w:val="00503709"/>
    <w:rsid w:val="005040D1"/>
    <w:rsid w:val="005042CE"/>
    <w:rsid w:val="005042E4"/>
    <w:rsid w:val="0050526D"/>
    <w:rsid w:val="00506CF7"/>
    <w:rsid w:val="00507001"/>
    <w:rsid w:val="00507186"/>
    <w:rsid w:val="00507D1B"/>
    <w:rsid w:val="00511E81"/>
    <w:rsid w:val="005131FA"/>
    <w:rsid w:val="005132DD"/>
    <w:rsid w:val="00514127"/>
    <w:rsid w:val="0051434E"/>
    <w:rsid w:val="00515535"/>
    <w:rsid w:val="005156BC"/>
    <w:rsid w:val="00515920"/>
    <w:rsid w:val="005166D3"/>
    <w:rsid w:val="00517189"/>
    <w:rsid w:val="005178BA"/>
    <w:rsid w:val="005208ED"/>
    <w:rsid w:val="005226F4"/>
    <w:rsid w:val="0052280B"/>
    <w:rsid w:val="00523741"/>
    <w:rsid w:val="00523D5D"/>
    <w:rsid w:val="00524D2D"/>
    <w:rsid w:val="0052532B"/>
    <w:rsid w:val="005259BF"/>
    <w:rsid w:val="0052618E"/>
    <w:rsid w:val="00527164"/>
    <w:rsid w:val="00527661"/>
    <w:rsid w:val="0052783B"/>
    <w:rsid w:val="005279F6"/>
    <w:rsid w:val="00527C99"/>
    <w:rsid w:val="005300B8"/>
    <w:rsid w:val="005303A9"/>
    <w:rsid w:val="00530462"/>
    <w:rsid w:val="00531A42"/>
    <w:rsid w:val="005323EC"/>
    <w:rsid w:val="00532E78"/>
    <w:rsid w:val="005332C1"/>
    <w:rsid w:val="00534D1C"/>
    <w:rsid w:val="00534FC0"/>
    <w:rsid w:val="005350C0"/>
    <w:rsid w:val="00535CA2"/>
    <w:rsid w:val="005371F5"/>
    <w:rsid w:val="0053756E"/>
    <w:rsid w:val="00537893"/>
    <w:rsid w:val="00537A0A"/>
    <w:rsid w:val="00537F1C"/>
    <w:rsid w:val="00540D97"/>
    <w:rsid w:val="0054179F"/>
    <w:rsid w:val="00541F0D"/>
    <w:rsid w:val="0054288A"/>
    <w:rsid w:val="005433C7"/>
    <w:rsid w:val="00543AF2"/>
    <w:rsid w:val="005445F6"/>
    <w:rsid w:val="0054461E"/>
    <w:rsid w:val="00545AD0"/>
    <w:rsid w:val="005465DD"/>
    <w:rsid w:val="005466C0"/>
    <w:rsid w:val="00546B92"/>
    <w:rsid w:val="00550492"/>
    <w:rsid w:val="00550924"/>
    <w:rsid w:val="00551A14"/>
    <w:rsid w:val="00551AB0"/>
    <w:rsid w:val="00551BA9"/>
    <w:rsid w:val="00551CBB"/>
    <w:rsid w:val="00553FB2"/>
    <w:rsid w:val="00554CA7"/>
    <w:rsid w:val="0055501C"/>
    <w:rsid w:val="0055524E"/>
    <w:rsid w:val="005556D8"/>
    <w:rsid w:val="00555800"/>
    <w:rsid w:val="00555E59"/>
    <w:rsid w:val="00555E86"/>
    <w:rsid w:val="005568D8"/>
    <w:rsid w:val="0055758F"/>
    <w:rsid w:val="00557A65"/>
    <w:rsid w:val="005606EE"/>
    <w:rsid w:val="00560C6A"/>
    <w:rsid w:val="00561211"/>
    <w:rsid w:val="0056132A"/>
    <w:rsid w:val="005614B6"/>
    <w:rsid w:val="00561673"/>
    <w:rsid w:val="00562FE9"/>
    <w:rsid w:val="0056327D"/>
    <w:rsid w:val="0056338F"/>
    <w:rsid w:val="005634EC"/>
    <w:rsid w:val="0056422E"/>
    <w:rsid w:val="0056528E"/>
    <w:rsid w:val="005657FB"/>
    <w:rsid w:val="00565C19"/>
    <w:rsid w:val="00566479"/>
    <w:rsid w:val="0056654F"/>
    <w:rsid w:val="005671DE"/>
    <w:rsid w:val="00567CA5"/>
    <w:rsid w:val="005704EA"/>
    <w:rsid w:val="005711AB"/>
    <w:rsid w:val="00571B68"/>
    <w:rsid w:val="00571C52"/>
    <w:rsid w:val="00573068"/>
    <w:rsid w:val="00573BFD"/>
    <w:rsid w:val="0057400B"/>
    <w:rsid w:val="0057419E"/>
    <w:rsid w:val="005743E8"/>
    <w:rsid w:val="0057472A"/>
    <w:rsid w:val="005749AA"/>
    <w:rsid w:val="00576DBE"/>
    <w:rsid w:val="00576EFE"/>
    <w:rsid w:val="00576F71"/>
    <w:rsid w:val="0057725B"/>
    <w:rsid w:val="005774AD"/>
    <w:rsid w:val="00577E9F"/>
    <w:rsid w:val="005807C2"/>
    <w:rsid w:val="00580B2E"/>
    <w:rsid w:val="00580E68"/>
    <w:rsid w:val="005813FF"/>
    <w:rsid w:val="0058193A"/>
    <w:rsid w:val="00583002"/>
    <w:rsid w:val="00583BA1"/>
    <w:rsid w:val="00583C55"/>
    <w:rsid w:val="00583CD7"/>
    <w:rsid w:val="00583CE2"/>
    <w:rsid w:val="0058400C"/>
    <w:rsid w:val="005852D7"/>
    <w:rsid w:val="00586918"/>
    <w:rsid w:val="00586C36"/>
    <w:rsid w:val="00586FCC"/>
    <w:rsid w:val="00590068"/>
    <w:rsid w:val="00590CCA"/>
    <w:rsid w:val="0059118A"/>
    <w:rsid w:val="005916F6"/>
    <w:rsid w:val="00591DFF"/>
    <w:rsid w:val="00592859"/>
    <w:rsid w:val="00592D67"/>
    <w:rsid w:val="005934E1"/>
    <w:rsid w:val="00593CA2"/>
    <w:rsid w:val="00593F62"/>
    <w:rsid w:val="00595878"/>
    <w:rsid w:val="00595D46"/>
    <w:rsid w:val="0059684C"/>
    <w:rsid w:val="005974D2"/>
    <w:rsid w:val="005A1201"/>
    <w:rsid w:val="005A1324"/>
    <w:rsid w:val="005A1550"/>
    <w:rsid w:val="005A20AD"/>
    <w:rsid w:val="005A34AB"/>
    <w:rsid w:val="005A3806"/>
    <w:rsid w:val="005A4F99"/>
    <w:rsid w:val="005A56B7"/>
    <w:rsid w:val="005A5B25"/>
    <w:rsid w:val="005A79A6"/>
    <w:rsid w:val="005B09C7"/>
    <w:rsid w:val="005B17BA"/>
    <w:rsid w:val="005B2B95"/>
    <w:rsid w:val="005B3D4F"/>
    <w:rsid w:val="005B4D7B"/>
    <w:rsid w:val="005B5660"/>
    <w:rsid w:val="005B5FC5"/>
    <w:rsid w:val="005B60D9"/>
    <w:rsid w:val="005B61BE"/>
    <w:rsid w:val="005B645D"/>
    <w:rsid w:val="005B6961"/>
    <w:rsid w:val="005B6C6D"/>
    <w:rsid w:val="005B7508"/>
    <w:rsid w:val="005B79F6"/>
    <w:rsid w:val="005C12EF"/>
    <w:rsid w:val="005C13F6"/>
    <w:rsid w:val="005C156B"/>
    <w:rsid w:val="005C1A9C"/>
    <w:rsid w:val="005C1AB0"/>
    <w:rsid w:val="005C1B06"/>
    <w:rsid w:val="005C2385"/>
    <w:rsid w:val="005C329D"/>
    <w:rsid w:val="005C446C"/>
    <w:rsid w:val="005C4922"/>
    <w:rsid w:val="005C4C3A"/>
    <w:rsid w:val="005C4F75"/>
    <w:rsid w:val="005C58AB"/>
    <w:rsid w:val="005C5B6E"/>
    <w:rsid w:val="005C5D09"/>
    <w:rsid w:val="005C617A"/>
    <w:rsid w:val="005C688C"/>
    <w:rsid w:val="005C68DA"/>
    <w:rsid w:val="005C711D"/>
    <w:rsid w:val="005C7218"/>
    <w:rsid w:val="005C7293"/>
    <w:rsid w:val="005C7402"/>
    <w:rsid w:val="005C7E83"/>
    <w:rsid w:val="005C7F0A"/>
    <w:rsid w:val="005D0192"/>
    <w:rsid w:val="005D09A8"/>
    <w:rsid w:val="005D0B4A"/>
    <w:rsid w:val="005D0BB5"/>
    <w:rsid w:val="005D0E99"/>
    <w:rsid w:val="005D0F8B"/>
    <w:rsid w:val="005D2549"/>
    <w:rsid w:val="005D27AD"/>
    <w:rsid w:val="005D3878"/>
    <w:rsid w:val="005D3C42"/>
    <w:rsid w:val="005D4190"/>
    <w:rsid w:val="005D454C"/>
    <w:rsid w:val="005D57C1"/>
    <w:rsid w:val="005D5809"/>
    <w:rsid w:val="005D60CA"/>
    <w:rsid w:val="005D773B"/>
    <w:rsid w:val="005D7B0E"/>
    <w:rsid w:val="005D7F95"/>
    <w:rsid w:val="005E002E"/>
    <w:rsid w:val="005E0950"/>
    <w:rsid w:val="005E0C40"/>
    <w:rsid w:val="005E0EF1"/>
    <w:rsid w:val="005E1309"/>
    <w:rsid w:val="005E16D0"/>
    <w:rsid w:val="005E1710"/>
    <w:rsid w:val="005E1F64"/>
    <w:rsid w:val="005E1F7E"/>
    <w:rsid w:val="005E4463"/>
    <w:rsid w:val="005E46D1"/>
    <w:rsid w:val="005E4C7F"/>
    <w:rsid w:val="005E55B9"/>
    <w:rsid w:val="005E5716"/>
    <w:rsid w:val="005E5AAD"/>
    <w:rsid w:val="005E5C3A"/>
    <w:rsid w:val="005E6949"/>
    <w:rsid w:val="005E71DA"/>
    <w:rsid w:val="005E764E"/>
    <w:rsid w:val="005E7A69"/>
    <w:rsid w:val="005E7FB9"/>
    <w:rsid w:val="005F0ADD"/>
    <w:rsid w:val="005F17BF"/>
    <w:rsid w:val="005F20F8"/>
    <w:rsid w:val="005F3926"/>
    <w:rsid w:val="005F41F0"/>
    <w:rsid w:val="005F426E"/>
    <w:rsid w:val="005F464D"/>
    <w:rsid w:val="005F467D"/>
    <w:rsid w:val="005F4F29"/>
    <w:rsid w:val="005F500F"/>
    <w:rsid w:val="005F5247"/>
    <w:rsid w:val="005F5631"/>
    <w:rsid w:val="005F6BD0"/>
    <w:rsid w:val="005F7261"/>
    <w:rsid w:val="005F7C29"/>
    <w:rsid w:val="005F7E23"/>
    <w:rsid w:val="006002FF"/>
    <w:rsid w:val="00600324"/>
    <w:rsid w:val="00600383"/>
    <w:rsid w:val="00600C2A"/>
    <w:rsid w:val="0060155C"/>
    <w:rsid w:val="00601854"/>
    <w:rsid w:val="00602229"/>
    <w:rsid w:val="00602EAF"/>
    <w:rsid w:val="00604814"/>
    <w:rsid w:val="00604860"/>
    <w:rsid w:val="00605305"/>
    <w:rsid w:val="00605514"/>
    <w:rsid w:val="00606498"/>
    <w:rsid w:val="00606CD4"/>
    <w:rsid w:val="00607235"/>
    <w:rsid w:val="006073E7"/>
    <w:rsid w:val="006076C1"/>
    <w:rsid w:val="00607EEC"/>
    <w:rsid w:val="0061178E"/>
    <w:rsid w:val="00611D8B"/>
    <w:rsid w:val="00611DD2"/>
    <w:rsid w:val="006121A9"/>
    <w:rsid w:val="00612C98"/>
    <w:rsid w:val="00613D05"/>
    <w:rsid w:val="00614698"/>
    <w:rsid w:val="006147B8"/>
    <w:rsid w:val="0061521C"/>
    <w:rsid w:val="0061540F"/>
    <w:rsid w:val="00615C91"/>
    <w:rsid w:val="00615DF2"/>
    <w:rsid w:val="00616091"/>
    <w:rsid w:val="006164DC"/>
    <w:rsid w:val="00617872"/>
    <w:rsid w:val="0062040B"/>
    <w:rsid w:val="00621623"/>
    <w:rsid w:val="006226A7"/>
    <w:rsid w:val="0062288F"/>
    <w:rsid w:val="0062313B"/>
    <w:rsid w:val="00623B9F"/>
    <w:rsid w:val="006250D1"/>
    <w:rsid w:val="00625672"/>
    <w:rsid w:val="00626762"/>
    <w:rsid w:val="006268FA"/>
    <w:rsid w:val="00627095"/>
    <w:rsid w:val="00631077"/>
    <w:rsid w:val="006321E2"/>
    <w:rsid w:val="00632465"/>
    <w:rsid w:val="00632629"/>
    <w:rsid w:val="00632C2B"/>
    <w:rsid w:val="00634566"/>
    <w:rsid w:val="00634708"/>
    <w:rsid w:val="00634D63"/>
    <w:rsid w:val="00635A0E"/>
    <w:rsid w:val="00636164"/>
    <w:rsid w:val="0063631A"/>
    <w:rsid w:val="00636A47"/>
    <w:rsid w:val="00636A9E"/>
    <w:rsid w:val="00637360"/>
    <w:rsid w:val="00637800"/>
    <w:rsid w:val="00637873"/>
    <w:rsid w:val="00637F27"/>
    <w:rsid w:val="00640405"/>
    <w:rsid w:val="006406C9"/>
    <w:rsid w:val="00640A57"/>
    <w:rsid w:val="00641293"/>
    <w:rsid w:val="006413E1"/>
    <w:rsid w:val="006416D6"/>
    <w:rsid w:val="00641A9B"/>
    <w:rsid w:val="006428D2"/>
    <w:rsid w:val="00643069"/>
    <w:rsid w:val="0064390C"/>
    <w:rsid w:val="00643978"/>
    <w:rsid w:val="00643B21"/>
    <w:rsid w:val="00643D17"/>
    <w:rsid w:val="00643E9B"/>
    <w:rsid w:val="00644084"/>
    <w:rsid w:val="00644591"/>
    <w:rsid w:val="006447B0"/>
    <w:rsid w:val="00644A8C"/>
    <w:rsid w:val="00645551"/>
    <w:rsid w:val="00646037"/>
    <w:rsid w:val="0064654A"/>
    <w:rsid w:val="00646AF7"/>
    <w:rsid w:val="0064727C"/>
    <w:rsid w:val="006477AB"/>
    <w:rsid w:val="00647A45"/>
    <w:rsid w:val="00647AE8"/>
    <w:rsid w:val="00647F46"/>
    <w:rsid w:val="00647F8D"/>
    <w:rsid w:val="006527A0"/>
    <w:rsid w:val="0065358E"/>
    <w:rsid w:val="00653D20"/>
    <w:rsid w:val="00654E84"/>
    <w:rsid w:val="0065505C"/>
    <w:rsid w:val="006551FC"/>
    <w:rsid w:val="006554EB"/>
    <w:rsid w:val="00655529"/>
    <w:rsid w:val="00655A15"/>
    <w:rsid w:val="00655DA7"/>
    <w:rsid w:val="006571C5"/>
    <w:rsid w:val="0065724C"/>
    <w:rsid w:val="006578FF"/>
    <w:rsid w:val="00657B43"/>
    <w:rsid w:val="00657F6D"/>
    <w:rsid w:val="00660DCE"/>
    <w:rsid w:val="00660FF3"/>
    <w:rsid w:val="006615C2"/>
    <w:rsid w:val="00661670"/>
    <w:rsid w:val="00661A16"/>
    <w:rsid w:val="00661AB3"/>
    <w:rsid w:val="00661CD6"/>
    <w:rsid w:val="00661D97"/>
    <w:rsid w:val="006629D8"/>
    <w:rsid w:val="00663FDB"/>
    <w:rsid w:val="00663FFC"/>
    <w:rsid w:val="0066477A"/>
    <w:rsid w:val="006649E1"/>
    <w:rsid w:val="00665805"/>
    <w:rsid w:val="00665B0C"/>
    <w:rsid w:val="00665B34"/>
    <w:rsid w:val="00665B7A"/>
    <w:rsid w:val="00667C1A"/>
    <w:rsid w:val="0067007D"/>
    <w:rsid w:val="00670807"/>
    <w:rsid w:val="00670FAA"/>
    <w:rsid w:val="00671097"/>
    <w:rsid w:val="00671A85"/>
    <w:rsid w:val="006723CD"/>
    <w:rsid w:val="00672660"/>
    <w:rsid w:val="00673297"/>
    <w:rsid w:val="00674BF2"/>
    <w:rsid w:val="00674F74"/>
    <w:rsid w:val="0067706C"/>
    <w:rsid w:val="0067752B"/>
    <w:rsid w:val="006779E7"/>
    <w:rsid w:val="00680366"/>
    <w:rsid w:val="00680473"/>
    <w:rsid w:val="00680856"/>
    <w:rsid w:val="00680A5C"/>
    <w:rsid w:val="00680AC2"/>
    <w:rsid w:val="00682BF5"/>
    <w:rsid w:val="006839DD"/>
    <w:rsid w:val="00683EF1"/>
    <w:rsid w:val="006845C1"/>
    <w:rsid w:val="00684E9D"/>
    <w:rsid w:val="00685C3C"/>
    <w:rsid w:val="00686A77"/>
    <w:rsid w:val="00687795"/>
    <w:rsid w:val="00687B81"/>
    <w:rsid w:val="0069011E"/>
    <w:rsid w:val="006904BB"/>
    <w:rsid w:val="006907B9"/>
    <w:rsid w:val="00690823"/>
    <w:rsid w:val="00691323"/>
    <w:rsid w:val="00691A34"/>
    <w:rsid w:val="006931BD"/>
    <w:rsid w:val="0069346C"/>
    <w:rsid w:val="006936FD"/>
    <w:rsid w:val="00693EBE"/>
    <w:rsid w:val="00694303"/>
    <w:rsid w:val="00694896"/>
    <w:rsid w:val="00694A57"/>
    <w:rsid w:val="006951BE"/>
    <w:rsid w:val="006952AF"/>
    <w:rsid w:val="00695A16"/>
    <w:rsid w:val="00695A44"/>
    <w:rsid w:val="00695CA3"/>
    <w:rsid w:val="00697411"/>
    <w:rsid w:val="0069783D"/>
    <w:rsid w:val="006A00B6"/>
    <w:rsid w:val="006A03F4"/>
    <w:rsid w:val="006A0D78"/>
    <w:rsid w:val="006A0F27"/>
    <w:rsid w:val="006A138C"/>
    <w:rsid w:val="006A1DA2"/>
    <w:rsid w:val="006A284D"/>
    <w:rsid w:val="006A28FA"/>
    <w:rsid w:val="006A3842"/>
    <w:rsid w:val="006A3BCA"/>
    <w:rsid w:val="006A3ED4"/>
    <w:rsid w:val="006A418A"/>
    <w:rsid w:val="006A444B"/>
    <w:rsid w:val="006A4589"/>
    <w:rsid w:val="006A45EF"/>
    <w:rsid w:val="006A4FD6"/>
    <w:rsid w:val="006A59DA"/>
    <w:rsid w:val="006A5AA6"/>
    <w:rsid w:val="006A65E9"/>
    <w:rsid w:val="006A664D"/>
    <w:rsid w:val="006B0531"/>
    <w:rsid w:val="006B0537"/>
    <w:rsid w:val="006B0AD3"/>
    <w:rsid w:val="006B1596"/>
    <w:rsid w:val="006B256F"/>
    <w:rsid w:val="006B2D58"/>
    <w:rsid w:val="006B2D5E"/>
    <w:rsid w:val="006B3CAD"/>
    <w:rsid w:val="006B422E"/>
    <w:rsid w:val="006B46A4"/>
    <w:rsid w:val="006B5375"/>
    <w:rsid w:val="006B53F4"/>
    <w:rsid w:val="006B5705"/>
    <w:rsid w:val="006B6136"/>
    <w:rsid w:val="006B7770"/>
    <w:rsid w:val="006C05D1"/>
    <w:rsid w:val="006C2039"/>
    <w:rsid w:val="006C26BE"/>
    <w:rsid w:val="006C2C70"/>
    <w:rsid w:val="006C2E16"/>
    <w:rsid w:val="006C37F0"/>
    <w:rsid w:val="006C3FF0"/>
    <w:rsid w:val="006C4B96"/>
    <w:rsid w:val="006C4F54"/>
    <w:rsid w:val="006C57FC"/>
    <w:rsid w:val="006C5958"/>
    <w:rsid w:val="006C5C7B"/>
    <w:rsid w:val="006C7553"/>
    <w:rsid w:val="006C75F6"/>
    <w:rsid w:val="006C7981"/>
    <w:rsid w:val="006D041B"/>
    <w:rsid w:val="006D0983"/>
    <w:rsid w:val="006D0A2F"/>
    <w:rsid w:val="006D0C25"/>
    <w:rsid w:val="006D0CB6"/>
    <w:rsid w:val="006D16E0"/>
    <w:rsid w:val="006D1DF4"/>
    <w:rsid w:val="006D1FB8"/>
    <w:rsid w:val="006D36EA"/>
    <w:rsid w:val="006D3D6D"/>
    <w:rsid w:val="006D48BF"/>
    <w:rsid w:val="006D53D8"/>
    <w:rsid w:val="006D62FC"/>
    <w:rsid w:val="006D689D"/>
    <w:rsid w:val="006D77FE"/>
    <w:rsid w:val="006E03B3"/>
    <w:rsid w:val="006E06AC"/>
    <w:rsid w:val="006E07E4"/>
    <w:rsid w:val="006E0CD0"/>
    <w:rsid w:val="006E0F79"/>
    <w:rsid w:val="006E1131"/>
    <w:rsid w:val="006E11D3"/>
    <w:rsid w:val="006E15C9"/>
    <w:rsid w:val="006E1C9E"/>
    <w:rsid w:val="006E2938"/>
    <w:rsid w:val="006E3ACC"/>
    <w:rsid w:val="006E4232"/>
    <w:rsid w:val="006E4348"/>
    <w:rsid w:val="006E5E18"/>
    <w:rsid w:val="006E7F8A"/>
    <w:rsid w:val="006F01B1"/>
    <w:rsid w:val="006F07CF"/>
    <w:rsid w:val="006F0BD4"/>
    <w:rsid w:val="006F0F50"/>
    <w:rsid w:val="006F14A4"/>
    <w:rsid w:val="006F164C"/>
    <w:rsid w:val="006F1DE5"/>
    <w:rsid w:val="006F1FED"/>
    <w:rsid w:val="006F21F2"/>
    <w:rsid w:val="006F2E27"/>
    <w:rsid w:val="006F3527"/>
    <w:rsid w:val="006F352C"/>
    <w:rsid w:val="006F35ED"/>
    <w:rsid w:val="006F3733"/>
    <w:rsid w:val="006F4069"/>
    <w:rsid w:val="006F4080"/>
    <w:rsid w:val="006F44AA"/>
    <w:rsid w:val="006F4C62"/>
    <w:rsid w:val="006F57B0"/>
    <w:rsid w:val="006F5943"/>
    <w:rsid w:val="006F5DC3"/>
    <w:rsid w:val="006F7BD5"/>
    <w:rsid w:val="006F7C8B"/>
    <w:rsid w:val="006F7F27"/>
    <w:rsid w:val="007002A7"/>
    <w:rsid w:val="0070116E"/>
    <w:rsid w:val="00701ACB"/>
    <w:rsid w:val="00702709"/>
    <w:rsid w:val="00702BCE"/>
    <w:rsid w:val="00703734"/>
    <w:rsid w:val="00703EC5"/>
    <w:rsid w:val="007047A1"/>
    <w:rsid w:val="00704F7D"/>
    <w:rsid w:val="007054CB"/>
    <w:rsid w:val="00705BDF"/>
    <w:rsid w:val="00705D75"/>
    <w:rsid w:val="007063C4"/>
    <w:rsid w:val="00706EF7"/>
    <w:rsid w:val="00706F2D"/>
    <w:rsid w:val="00707B4C"/>
    <w:rsid w:val="00707FB8"/>
    <w:rsid w:val="00710AD0"/>
    <w:rsid w:val="00710D5B"/>
    <w:rsid w:val="00710E3A"/>
    <w:rsid w:val="007117B7"/>
    <w:rsid w:val="00711A9A"/>
    <w:rsid w:val="00712799"/>
    <w:rsid w:val="00712D3E"/>
    <w:rsid w:val="00712FC6"/>
    <w:rsid w:val="00713268"/>
    <w:rsid w:val="0071396D"/>
    <w:rsid w:val="00713D5E"/>
    <w:rsid w:val="0071422F"/>
    <w:rsid w:val="00714231"/>
    <w:rsid w:val="00714802"/>
    <w:rsid w:val="00715FE8"/>
    <w:rsid w:val="007169D8"/>
    <w:rsid w:val="00716B65"/>
    <w:rsid w:val="00717BC1"/>
    <w:rsid w:val="00717BE7"/>
    <w:rsid w:val="00720070"/>
    <w:rsid w:val="00720292"/>
    <w:rsid w:val="00720A0D"/>
    <w:rsid w:val="00720B59"/>
    <w:rsid w:val="00720FFC"/>
    <w:rsid w:val="007212AF"/>
    <w:rsid w:val="007212E9"/>
    <w:rsid w:val="00721630"/>
    <w:rsid w:val="0072396E"/>
    <w:rsid w:val="00725A6F"/>
    <w:rsid w:val="00725B54"/>
    <w:rsid w:val="00725DD4"/>
    <w:rsid w:val="00727732"/>
    <w:rsid w:val="00727B85"/>
    <w:rsid w:val="00727D07"/>
    <w:rsid w:val="00731BBC"/>
    <w:rsid w:val="00732847"/>
    <w:rsid w:val="00732927"/>
    <w:rsid w:val="00733E7A"/>
    <w:rsid w:val="00733FA5"/>
    <w:rsid w:val="007343DD"/>
    <w:rsid w:val="00734548"/>
    <w:rsid w:val="00734D84"/>
    <w:rsid w:val="00735226"/>
    <w:rsid w:val="007357CD"/>
    <w:rsid w:val="007360EE"/>
    <w:rsid w:val="00736435"/>
    <w:rsid w:val="007372D9"/>
    <w:rsid w:val="00737C5C"/>
    <w:rsid w:val="00740B9C"/>
    <w:rsid w:val="00740F4A"/>
    <w:rsid w:val="007425E7"/>
    <w:rsid w:val="00742691"/>
    <w:rsid w:val="00744091"/>
    <w:rsid w:val="007448AB"/>
    <w:rsid w:val="007448DB"/>
    <w:rsid w:val="00744CAB"/>
    <w:rsid w:val="00745AA0"/>
    <w:rsid w:val="007460C2"/>
    <w:rsid w:val="00746B7A"/>
    <w:rsid w:val="00751213"/>
    <w:rsid w:val="0075166F"/>
    <w:rsid w:val="00751712"/>
    <w:rsid w:val="00751D51"/>
    <w:rsid w:val="00752353"/>
    <w:rsid w:val="00752C52"/>
    <w:rsid w:val="00752CF1"/>
    <w:rsid w:val="00753103"/>
    <w:rsid w:val="007536B6"/>
    <w:rsid w:val="00753A8A"/>
    <w:rsid w:val="00753E9A"/>
    <w:rsid w:val="007543F8"/>
    <w:rsid w:val="00754BF5"/>
    <w:rsid w:val="0075567A"/>
    <w:rsid w:val="00755783"/>
    <w:rsid w:val="007559F4"/>
    <w:rsid w:val="00755CCB"/>
    <w:rsid w:val="007560C0"/>
    <w:rsid w:val="007565A1"/>
    <w:rsid w:val="007576D0"/>
    <w:rsid w:val="00760205"/>
    <w:rsid w:val="00761411"/>
    <w:rsid w:val="007619F6"/>
    <w:rsid w:val="00763469"/>
    <w:rsid w:val="00763BDD"/>
    <w:rsid w:val="00764125"/>
    <w:rsid w:val="007646EB"/>
    <w:rsid w:val="00764D9B"/>
    <w:rsid w:val="00765136"/>
    <w:rsid w:val="00765796"/>
    <w:rsid w:val="0076590A"/>
    <w:rsid w:val="0076600A"/>
    <w:rsid w:val="00766FBD"/>
    <w:rsid w:val="007671AC"/>
    <w:rsid w:val="007679E0"/>
    <w:rsid w:val="00770D9E"/>
    <w:rsid w:val="00770FCA"/>
    <w:rsid w:val="00771849"/>
    <w:rsid w:val="00772501"/>
    <w:rsid w:val="0077268F"/>
    <w:rsid w:val="00772EE7"/>
    <w:rsid w:val="0077345D"/>
    <w:rsid w:val="00773E8B"/>
    <w:rsid w:val="00773F0A"/>
    <w:rsid w:val="00773FB6"/>
    <w:rsid w:val="00774A29"/>
    <w:rsid w:val="00774B95"/>
    <w:rsid w:val="00774FB2"/>
    <w:rsid w:val="007750DE"/>
    <w:rsid w:val="00775536"/>
    <w:rsid w:val="007757E7"/>
    <w:rsid w:val="007774F3"/>
    <w:rsid w:val="00777717"/>
    <w:rsid w:val="007808B5"/>
    <w:rsid w:val="00780939"/>
    <w:rsid w:val="007815EE"/>
    <w:rsid w:val="00782257"/>
    <w:rsid w:val="00782B16"/>
    <w:rsid w:val="00782C29"/>
    <w:rsid w:val="007835BF"/>
    <w:rsid w:val="007838AE"/>
    <w:rsid w:val="00783CCF"/>
    <w:rsid w:val="00784BB8"/>
    <w:rsid w:val="0078527F"/>
    <w:rsid w:val="00786086"/>
    <w:rsid w:val="0078637F"/>
    <w:rsid w:val="00786C8B"/>
    <w:rsid w:val="0078742D"/>
    <w:rsid w:val="0078778B"/>
    <w:rsid w:val="007900E7"/>
    <w:rsid w:val="0079010F"/>
    <w:rsid w:val="00790271"/>
    <w:rsid w:val="00791631"/>
    <w:rsid w:val="00791918"/>
    <w:rsid w:val="00792A85"/>
    <w:rsid w:val="007931F0"/>
    <w:rsid w:val="007938D9"/>
    <w:rsid w:val="007941DA"/>
    <w:rsid w:val="007944E6"/>
    <w:rsid w:val="0079480E"/>
    <w:rsid w:val="00794843"/>
    <w:rsid w:val="00794DF3"/>
    <w:rsid w:val="00795421"/>
    <w:rsid w:val="007956DB"/>
    <w:rsid w:val="007957F4"/>
    <w:rsid w:val="007960F9"/>
    <w:rsid w:val="00796BE6"/>
    <w:rsid w:val="007970EB"/>
    <w:rsid w:val="00797882"/>
    <w:rsid w:val="00797E4F"/>
    <w:rsid w:val="007A026C"/>
    <w:rsid w:val="007A16F1"/>
    <w:rsid w:val="007A18F6"/>
    <w:rsid w:val="007A1C5A"/>
    <w:rsid w:val="007A1E45"/>
    <w:rsid w:val="007A21ED"/>
    <w:rsid w:val="007A2659"/>
    <w:rsid w:val="007A27D7"/>
    <w:rsid w:val="007A3FE2"/>
    <w:rsid w:val="007A4559"/>
    <w:rsid w:val="007A501F"/>
    <w:rsid w:val="007A5704"/>
    <w:rsid w:val="007A58E2"/>
    <w:rsid w:val="007A5ABA"/>
    <w:rsid w:val="007A62A9"/>
    <w:rsid w:val="007A6FF0"/>
    <w:rsid w:val="007A76B0"/>
    <w:rsid w:val="007A7747"/>
    <w:rsid w:val="007B05EC"/>
    <w:rsid w:val="007B071B"/>
    <w:rsid w:val="007B0F6E"/>
    <w:rsid w:val="007B200E"/>
    <w:rsid w:val="007B2945"/>
    <w:rsid w:val="007B3907"/>
    <w:rsid w:val="007B3FD2"/>
    <w:rsid w:val="007B4191"/>
    <w:rsid w:val="007B4E80"/>
    <w:rsid w:val="007B55FF"/>
    <w:rsid w:val="007B56BF"/>
    <w:rsid w:val="007B5B3D"/>
    <w:rsid w:val="007B5DB7"/>
    <w:rsid w:val="007B5E45"/>
    <w:rsid w:val="007B6B7B"/>
    <w:rsid w:val="007B6B8D"/>
    <w:rsid w:val="007B7F15"/>
    <w:rsid w:val="007C08AB"/>
    <w:rsid w:val="007C2001"/>
    <w:rsid w:val="007C22F8"/>
    <w:rsid w:val="007C2E28"/>
    <w:rsid w:val="007C339F"/>
    <w:rsid w:val="007C3C4C"/>
    <w:rsid w:val="007C413E"/>
    <w:rsid w:val="007C50C6"/>
    <w:rsid w:val="007C5367"/>
    <w:rsid w:val="007C57EB"/>
    <w:rsid w:val="007C5B2D"/>
    <w:rsid w:val="007C61D4"/>
    <w:rsid w:val="007C6261"/>
    <w:rsid w:val="007C699F"/>
    <w:rsid w:val="007C6F8A"/>
    <w:rsid w:val="007C7164"/>
    <w:rsid w:val="007C75D4"/>
    <w:rsid w:val="007C7972"/>
    <w:rsid w:val="007D015F"/>
    <w:rsid w:val="007D01E8"/>
    <w:rsid w:val="007D1096"/>
    <w:rsid w:val="007D12B7"/>
    <w:rsid w:val="007D1D26"/>
    <w:rsid w:val="007D1FAA"/>
    <w:rsid w:val="007D20A1"/>
    <w:rsid w:val="007D20A2"/>
    <w:rsid w:val="007D270E"/>
    <w:rsid w:val="007D28FA"/>
    <w:rsid w:val="007D29C4"/>
    <w:rsid w:val="007D3055"/>
    <w:rsid w:val="007D31A8"/>
    <w:rsid w:val="007D47AD"/>
    <w:rsid w:val="007D4A61"/>
    <w:rsid w:val="007D53D0"/>
    <w:rsid w:val="007D594D"/>
    <w:rsid w:val="007D5A32"/>
    <w:rsid w:val="007D6207"/>
    <w:rsid w:val="007D631C"/>
    <w:rsid w:val="007D6D80"/>
    <w:rsid w:val="007D743C"/>
    <w:rsid w:val="007D7E16"/>
    <w:rsid w:val="007E0080"/>
    <w:rsid w:val="007E06DB"/>
    <w:rsid w:val="007E07DB"/>
    <w:rsid w:val="007E196B"/>
    <w:rsid w:val="007E1AAD"/>
    <w:rsid w:val="007E2C78"/>
    <w:rsid w:val="007E33C6"/>
    <w:rsid w:val="007E35C7"/>
    <w:rsid w:val="007E3CB4"/>
    <w:rsid w:val="007E3D0C"/>
    <w:rsid w:val="007E4E21"/>
    <w:rsid w:val="007E5183"/>
    <w:rsid w:val="007E5516"/>
    <w:rsid w:val="007E569D"/>
    <w:rsid w:val="007E59DD"/>
    <w:rsid w:val="007E5B8C"/>
    <w:rsid w:val="007E5C31"/>
    <w:rsid w:val="007E6371"/>
    <w:rsid w:val="007E6475"/>
    <w:rsid w:val="007E66C3"/>
    <w:rsid w:val="007E694E"/>
    <w:rsid w:val="007E77B4"/>
    <w:rsid w:val="007E7DFD"/>
    <w:rsid w:val="007E7FBA"/>
    <w:rsid w:val="007F053C"/>
    <w:rsid w:val="007F0709"/>
    <w:rsid w:val="007F07EC"/>
    <w:rsid w:val="007F0BC5"/>
    <w:rsid w:val="007F1727"/>
    <w:rsid w:val="007F2092"/>
    <w:rsid w:val="007F22B6"/>
    <w:rsid w:val="007F2679"/>
    <w:rsid w:val="007F3195"/>
    <w:rsid w:val="007F3DA0"/>
    <w:rsid w:val="007F4355"/>
    <w:rsid w:val="007F44CB"/>
    <w:rsid w:val="007F4595"/>
    <w:rsid w:val="007F5084"/>
    <w:rsid w:val="007F6518"/>
    <w:rsid w:val="007F696B"/>
    <w:rsid w:val="007F69BC"/>
    <w:rsid w:val="007F7082"/>
    <w:rsid w:val="007F7459"/>
    <w:rsid w:val="007F7B91"/>
    <w:rsid w:val="0080161C"/>
    <w:rsid w:val="00801651"/>
    <w:rsid w:val="008016BD"/>
    <w:rsid w:val="00801B7C"/>
    <w:rsid w:val="00801CBC"/>
    <w:rsid w:val="0080221C"/>
    <w:rsid w:val="00803230"/>
    <w:rsid w:val="008037B2"/>
    <w:rsid w:val="00803894"/>
    <w:rsid w:val="0080428A"/>
    <w:rsid w:val="008046A3"/>
    <w:rsid w:val="00804B86"/>
    <w:rsid w:val="00805297"/>
    <w:rsid w:val="00805A69"/>
    <w:rsid w:val="00806B56"/>
    <w:rsid w:val="00806BED"/>
    <w:rsid w:val="00807072"/>
    <w:rsid w:val="00807122"/>
    <w:rsid w:val="00810004"/>
    <w:rsid w:val="00812551"/>
    <w:rsid w:val="00812C2F"/>
    <w:rsid w:val="00812EC9"/>
    <w:rsid w:val="008130EB"/>
    <w:rsid w:val="0081450D"/>
    <w:rsid w:val="008145B2"/>
    <w:rsid w:val="00817600"/>
    <w:rsid w:val="00817DF4"/>
    <w:rsid w:val="00817FB6"/>
    <w:rsid w:val="008202D9"/>
    <w:rsid w:val="00820790"/>
    <w:rsid w:val="0082082B"/>
    <w:rsid w:val="00820BA0"/>
    <w:rsid w:val="00821392"/>
    <w:rsid w:val="00821ED8"/>
    <w:rsid w:val="00821F2A"/>
    <w:rsid w:val="00822022"/>
    <w:rsid w:val="008221B9"/>
    <w:rsid w:val="008224E5"/>
    <w:rsid w:val="00822720"/>
    <w:rsid w:val="00823EF9"/>
    <w:rsid w:val="0082424D"/>
    <w:rsid w:val="008242A0"/>
    <w:rsid w:val="00824553"/>
    <w:rsid w:val="00824719"/>
    <w:rsid w:val="00824ABF"/>
    <w:rsid w:val="00824B44"/>
    <w:rsid w:val="00825D30"/>
    <w:rsid w:val="00826162"/>
    <w:rsid w:val="008268B9"/>
    <w:rsid w:val="00826B1C"/>
    <w:rsid w:val="008278ED"/>
    <w:rsid w:val="00827C30"/>
    <w:rsid w:val="00827F71"/>
    <w:rsid w:val="0083024D"/>
    <w:rsid w:val="008306B8"/>
    <w:rsid w:val="008308D5"/>
    <w:rsid w:val="00830908"/>
    <w:rsid w:val="00830E5C"/>
    <w:rsid w:val="00831965"/>
    <w:rsid w:val="00831F9C"/>
    <w:rsid w:val="00832046"/>
    <w:rsid w:val="008320D2"/>
    <w:rsid w:val="008329C8"/>
    <w:rsid w:val="0083335F"/>
    <w:rsid w:val="00833820"/>
    <w:rsid w:val="0083454A"/>
    <w:rsid w:val="00834CFB"/>
    <w:rsid w:val="00834F8A"/>
    <w:rsid w:val="008350C8"/>
    <w:rsid w:val="008358CD"/>
    <w:rsid w:val="00836689"/>
    <w:rsid w:val="00836C0C"/>
    <w:rsid w:val="00836E83"/>
    <w:rsid w:val="00837375"/>
    <w:rsid w:val="00837A47"/>
    <w:rsid w:val="00840541"/>
    <w:rsid w:val="008408BB"/>
    <w:rsid w:val="00840958"/>
    <w:rsid w:val="008417D1"/>
    <w:rsid w:val="00841AC0"/>
    <w:rsid w:val="00842296"/>
    <w:rsid w:val="008422E6"/>
    <w:rsid w:val="00842E17"/>
    <w:rsid w:val="00843113"/>
    <w:rsid w:val="0084343D"/>
    <w:rsid w:val="00843796"/>
    <w:rsid w:val="00843D83"/>
    <w:rsid w:val="008441E1"/>
    <w:rsid w:val="00844436"/>
    <w:rsid w:val="00844AF3"/>
    <w:rsid w:val="008452E8"/>
    <w:rsid w:val="00845B8D"/>
    <w:rsid w:val="00845CA8"/>
    <w:rsid w:val="008465CF"/>
    <w:rsid w:val="0084669C"/>
    <w:rsid w:val="00847316"/>
    <w:rsid w:val="008473B6"/>
    <w:rsid w:val="0084773D"/>
    <w:rsid w:val="0084795F"/>
    <w:rsid w:val="00847A42"/>
    <w:rsid w:val="0085010A"/>
    <w:rsid w:val="0085115B"/>
    <w:rsid w:val="00851178"/>
    <w:rsid w:val="0085167E"/>
    <w:rsid w:val="00851D18"/>
    <w:rsid w:val="00851EA2"/>
    <w:rsid w:val="0085370F"/>
    <w:rsid w:val="00853716"/>
    <w:rsid w:val="00853854"/>
    <w:rsid w:val="00854370"/>
    <w:rsid w:val="00854A14"/>
    <w:rsid w:val="00854ED0"/>
    <w:rsid w:val="00857BFB"/>
    <w:rsid w:val="00857D84"/>
    <w:rsid w:val="008600DB"/>
    <w:rsid w:val="00860625"/>
    <w:rsid w:val="008612FE"/>
    <w:rsid w:val="0086265D"/>
    <w:rsid w:val="008637A4"/>
    <w:rsid w:val="008638E7"/>
    <w:rsid w:val="00863B39"/>
    <w:rsid w:val="00863DD1"/>
    <w:rsid w:val="008663A7"/>
    <w:rsid w:val="008674AF"/>
    <w:rsid w:val="008703D9"/>
    <w:rsid w:val="0087056A"/>
    <w:rsid w:val="008711D7"/>
    <w:rsid w:val="008712CA"/>
    <w:rsid w:val="008712EA"/>
    <w:rsid w:val="00871E78"/>
    <w:rsid w:val="008724C5"/>
    <w:rsid w:val="00872C22"/>
    <w:rsid w:val="00873171"/>
    <w:rsid w:val="00874085"/>
    <w:rsid w:val="00874BC3"/>
    <w:rsid w:val="00876046"/>
    <w:rsid w:val="00876729"/>
    <w:rsid w:val="0087696A"/>
    <w:rsid w:val="00876EC4"/>
    <w:rsid w:val="008818A2"/>
    <w:rsid w:val="00881DA8"/>
    <w:rsid w:val="00881E2B"/>
    <w:rsid w:val="0088262D"/>
    <w:rsid w:val="0088299D"/>
    <w:rsid w:val="00882C0E"/>
    <w:rsid w:val="00882C90"/>
    <w:rsid w:val="008832A7"/>
    <w:rsid w:val="008836BF"/>
    <w:rsid w:val="008836D2"/>
    <w:rsid w:val="00884F7B"/>
    <w:rsid w:val="008856F4"/>
    <w:rsid w:val="00885A1C"/>
    <w:rsid w:val="00886B5C"/>
    <w:rsid w:val="00886BA6"/>
    <w:rsid w:val="008871E9"/>
    <w:rsid w:val="008873CE"/>
    <w:rsid w:val="008875EA"/>
    <w:rsid w:val="00887D5D"/>
    <w:rsid w:val="00887E38"/>
    <w:rsid w:val="008900FC"/>
    <w:rsid w:val="00890A52"/>
    <w:rsid w:val="00890ED7"/>
    <w:rsid w:val="00891680"/>
    <w:rsid w:val="008917B3"/>
    <w:rsid w:val="00891868"/>
    <w:rsid w:val="00891AD4"/>
    <w:rsid w:val="008923B5"/>
    <w:rsid w:val="008928EC"/>
    <w:rsid w:val="00893501"/>
    <w:rsid w:val="00893C1F"/>
    <w:rsid w:val="008943C2"/>
    <w:rsid w:val="008947F4"/>
    <w:rsid w:val="00895517"/>
    <w:rsid w:val="00895C5B"/>
    <w:rsid w:val="008966A9"/>
    <w:rsid w:val="00896A9E"/>
    <w:rsid w:val="008973EF"/>
    <w:rsid w:val="00897B8B"/>
    <w:rsid w:val="008A0172"/>
    <w:rsid w:val="008A09E0"/>
    <w:rsid w:val="008A0B70"/>
    <w:rsid w:val="008A13F5"/>
    <w:rsid w:val="008A1744"/>
    <w:rsid w:val="008A174F"/>
    <w:rsid w:val="008A211A"/>
    <w:rsid w:val="008A2B36"/>
    <w:rsid w:val="008A2C9D"/>
    <w:rsid w:val="008A3B71"/>
    <w:rsid w:val="008A4073"/>
    <w:rsid w:val="008A4470"/>
    <w:rsid w:val="008A4614"/>
    <w:rsid w:val="008A4925"/>
    <w:rsid w:val="008A507F"/>
    <w:rsid w:val="008A56DF"/>
    <w:rsid w:val="008A6699"/>
    <w:rsid w:val="008A6AC9"/>
    <w:rsid w:val="008A6BB6"/>
    <w:rsid w:val="008A7A76"/>
    <w:rsid w:val="008A7C6B"/>
    <w:rsid w:val="008B0013"/>
    <w:rsid w:val="008B0068"/>
    <w:rsid w:val="008B1937"/>
    <w:rsid w:val="008B2791"/>
    <w:rsid w:val="008B281F"/>
    <w:rsid w:val="008B2C55"/>
    <w:rsid w:val="008B2E70"/>
    <w:rsid w:val="008B3705"/>
    <w:rsid w:val="008B3894"/>
    <w:rsid w:val="008B3DF0"/>
    <w:rsid w:val="008B48A9"/>
    <w:rsid w:val="008B4B70"/>
    <w:rsid w:val="008B4E07"/>
    <w:rsid w:val="008B5727"/>
    <w:rsid w:val="008B5786"/>
    <w:rsid w:val="008B5D87"/>
    <w:rsid w:val="008C018C"/>
    <w:rsid w:val="008C05C9"/>
    <w:rsid w:val="008C0F21"/>
    <w:rsid w:val="008C2387"/>
    <w:rsid w:val="008C282D"/>
    <w:rsid w:val="008C2A87"/>
    <w:rsid w:val="008C3689"/>
    <w:rsid w:val="008C3CB6"/>
    <w:rsid w:val="008C4A5D"/>
    <w:rsid w:val="008C5C60"/>
    <w:rsid w:val="008C5EC0"/>
    <w:rsid w:val="008C6A1C"/>
    <w:rsid w:val="008D0619"/>
    <w:rsid w:val="008D07AE"/>
    <w:rsid w:val="008D0D52"/>
    <w:rsid w:val="008D1DF7"/>
    <w:rsid w:val="008D1F87"/>
    <w:rsid w:val="008D2D7A"/>
    <w:rsid w:val="008D46AE"/>
    <w:rsid w:val="008D475F"/>
    <w:rsid w:val="008D4FCB"/>
    <w:rsid w:val="008D53E0"/>
    <w:rsid w:val="008D5A9A"/>
    <w:rsid w:val="008D613C"/>
    <w:rsid w:val="008D623C"/>
    <w:rsid w:val="008D6D83"/>
    <w:rsid w:val="008D70EB"/>
    <w:rsid w:val="008E12FD"/>
    <w:rsid w:val="008E1C3A"/>
    <w:rsid w:val="008E1E6B"/>
    <w:rsid w:val="008E25AB"/>
    <w:rsid w:val="008E2B9F"/>
    <w:rsid w:val="008E36AE"/>
    <w:rsid w:val="008E3F30"/>
    <w:rsid w:val="008E4580"/>
    <w:rsid w:val="008E4AF0"/>
    <w:rsid w:val="008E50F4"/>
    <w:rsid w:val="008E5AE1"/>
    <w:rsid w:val="008E5E4C"/>
    <w:rsid w:val="008E6883"/>
    <w:rsid w:val="008E6ABD"/>
    <w:rsid w:val="008E6D00"/>
    <w:rsid w:val="008E783F"/>
    <w:rsid w:val="008E784A"/>
    <w:rsid w:val="008E7CDD"/>
    <w:rsid w:val="008F0346"/>
    <w:rsid w:val="008F082B"/>
    <w:rsid w:val="008F08E3"/>
    <w:rsid w:val="008F2C2E"/>
    <w:rsid w:val="008F37F4"/>
    <w:rsid w:val="008F3A34"/>
    <w:rsid w:val="008F3E23"/>
    <w:rsid w:val="008F43CE"/>
    <w:rsid w:val="008F45F6"/>
    <w:rsid w:val="008F4B77"/>
    <w:rsid w:val="008F4F41"/>
    <w:rsid w:val="008F5A1C"/>
    <w:rsid w:val="008F654E"/>
    <w:rsid w:val="008F7156"/>
    <w:rsid w:val="008F7BEB"/>
    <w:rsid w:val="009001F0"/>
    <w:rsid w:val="009005AA"/>
    <w:rsid w:val="00900F27"/>
    <w:rsid w:val="00901BCF"/>
    <w:rsid w:val="00903429"/>
    <w:rsid w:val="009034BE"/>
    <w:rsid w:val="00903656"/>
    <w:rsid w:val="00903A2F"/>
    <w:rsid w:val="00903E0F"/>
    <w:rsid w:val="00904A5D"/>
    <w:rsid w:val="00904AEF"/>
    <w:rsid w:val="0090554F"/>
    <w:rsid w:val="009063B6"/>
    <w:rsid w:val="009063E8"/>
    <w:rsid w:val="00906ECD"/>
    <w:rsid w:val="009079DB"/>
    <w:rsid w:val="009101B5"/>
    <w:rsid w:val="00910432"/>
    <w:rsid w:val="00911E94"/>
    <w:rsid w:val="00912216"/>
    <w:rsid w:val="00912B24"/>
    <w:rsid w:val="00913001"/>
    <w:rsid w:val="0091314A"/>
    <w:rsid w:val="009134A1"/>
    <w:rsid w:val="00913833"/>
    <w:rsid w:val="00913E1E"/>
    <w:rsid w:val="00914DF4"/>
    <w:rsid w:val="00915279"/>
    <w:rsid w:val="009155AE"/>
    <w:rsid w:val="00915B6D"/>
    <w:rsid w:val="0091649F"/>
    <w:rsid w:val="00917E70"/>
    <w:rsid w:val="00917EA9"/>
    <w:rsid w:val="009201B6"/>
    <w:rsid w:val="009209E0"/>
    <w:rsid w:val="00920CFC"/>
    <w:rsid w:val="00920FB2"/>
    <w:rsid w:val="00921228"/>
    <w:rsid w:val="009214A2"/>
    <w:rsid w:val="00921893"/>
    <w:rsid w:val="00921C80"/>
    <w:rsid w:val="00921F5B"/>
    <w:rsid w:val="00921F7B"/>
    <w:rsid w:val="009226EF"/>
    <w:rsid w:val="00922C92"/>
    <w:rsid w:val="00923051"/>
    <w:rsid w:val="009233CD"/>
    <w:rsid w:val="00924A18"/>
    <w:rsid w:val="00924F1C"/>
    <w:rsid w:val="009251F1"/>
    <w:rsid w:val="009255D9"/>
    <w:rsid w:val="009262A2"/>
    <w:rsid w:val="00926428"/>
    <w:rsid w:val="00926ADC"/>
    <w:rsid w:val="00926F73"/>
    <w:rsid w:val="009271C1"/>
    <w:rsid w:val="00927B33"/>
    <w:rsid w:val="009301E0"/>
    <w:rsid w:val="00931132"/>
    <w:rsid w:val="00931598"/>
    <w:rsid w:val="00933D0D"/>
    <w:rsid w:val="009355C8"/>
    <w:rsid w:val="0093645C"/>
    <w:rsid w:val="00937400"/>
    <w:rsid w:val="009379FA"/>
    <w:rsid w:val="00937BF9"/>
    <w:rsid w:val="00940049"/>
    <w:rsid w:val="00940160"/>
    <w:rsid w:val="009402E9"/>
    <w:rsid w:val="00941499"/>
    <w:rsid w:val="009415C7"/>
    <w:rsid w:val="009416D8"/>
    <w:rsid w:val="00941819"/>
    <w:rsid w:val="009421BD"/>
    <w:rsid w:val="00942450"/>
    <w:rsid w:val="00942587"/>
    <w:rsid w:val="00943CE2"/>
    <w:rsid w:val="00943DA3"/>
    <w:rsid w:val="009448E9"/>
    <w:rsid w:val="00945368"/>
    <w:rsid w:val="00945E9C"/>
    <w:rsid w:val="0094604F"/>
    <w:rsid w:val="009509BC"/>
    <w:rsid w:val="00950F17"/>
    <w:rsid w:val="00950F1C"/>
    <w:rsid w:val="009518BB"/>
    <w:rsid w:val="009519A0"/>
    <w:rsid w:val="00952454"/>
    <w:rsid w:val="0095299C"/>
    <w:rsid w:val="00952FB7"/>
    <w:rsid w:val="00953011"/>
    <w:rsid w:val="0095325C"/>
    <w:rsid w:val="00954171"/>
    <w:rsid w:val="00954239"/>
    <w:rsid w:val="009543F5"/>
    <w:rsid w:val="0095475A"/>
    <w:rsid w:val="00955140"/>
    <w:rsid w:val="00955311"/>
    <w:rsid w:val="00955B07"/>
    <w:rsid w:val="00956EF2"/>
    <w:rsid w:val="009578A6"/>
    <w:rsid w:val="00957AD1"/>
    <w:rsid w:val="009608FA"/>
    <w:rsid w:val="0096188D"/>
    <w:rsid w:val="00962542"/>
    <w:rsid w:val="009626FF"/>
    <w:rsid w:val="00962AD5"/>
    <w:rsid w:val="00963F69"/>
    <w:rsid w:val="009645FA"/>
    <w:rsid w:val="009646BE"/>
    <w:rsid w:val="00964C5B"/>
    <w:rsid w:val="009652A8"/>
    <w:rsid w:val="009652F7"/>
    <w:rsid w:val="009657AF"/>
    <w:rsid w:val="00965AF8"/>
    <w:rsid w:val="00967709"/>
    <w:rsid w:val="00967A4D"/>
    <w:rsid w:val="00967C7D"/>
    <w:rsid w:val="009706D4"/>
    <w:rsid w:val="00970A07"/>
    <w:rsid w:val="009711AB"/>
    <w:rsid w:val="0097203D"/>
    <w:rsid w:val="00972ACC"/>
    <w:rsid w:val="00973067"/>
    <w:rsid w:val="009739FE"/>
    <w:rsid w:val="00973F89"/>
    <w:rsid w:val="00974C2B"/>
    <w:rsid w:val="009757EB"/>
    <w:rsid w:val="00975AB6"/>
    <w:rsid w:val="00977702"/>
    <w:rsid w:val="00977B3F"/>
    <w:rsid w:val="0098029F"/>
    <w:rsid w:val="009809C4"/>
    <w:rsid w:val="009809F9"/>
    <w:rsid w:val="0098181A"/>
    <w:rsid w:val="00981A79"/>
    <w:rsid w:val="00982994"/>
    <w:rsid w:val="00983595"/>
    <w:rsid w:val="00983C3C"/>
    <w:rsid w:val="00983C57"/>
    <w:rsid w:val="00984124"/>
    <w:rsid w:val="009846C7"/>
    <w:rsid w:val="0098588D"/>
    <w:rsid w:val="00986E0E"/>
    <w:rsid w:val="00987F4E"/>
    <w:rsid w:val="009909DC"/>
    <w:rsid w:val="00990AF4"/>
    <w:rsid w:val="0099267E"/>
    <w:rsid w:val="00993FE3"/>
    <w:rsid w:val="009942B3"/>
    <w:rsid w:val="0099469D"/>
    <w:rsid w:val="00995755"/>
    <w:rsid w:val="00995A22"/>
    <w:rsid w:val="00996F3E"/>
    <w:rsid w:val="00997AB6"/>
    <w:rsid w:val="009A0A88"/>
    <w:rsid w:val="009A0C69"/>
    <w:rsid w:val="009A1241"/>
    <w:rsid w:val="009A19EA"/>
    <w:rsid w:val="009A1ABA"/>
    <w:rsid w:val="009A1C23"/>
    <w:rsid w:val="009A1FB8"/>
    <w:rsid w:val="009A27CF"/>
    <w:rsid w:val="009A325E"/>
    <w:rsid w:val="009A3A09"/>
    <w:rsid w:val="009A5FF0"/>
    <w:rsid w:val="009A6442"/>
    <w:rsid w:val="009A6AA8"/>
    <w:rsid w:val="009A6E3A"/>
    <w:rsid w:val="009A6FD5"/>
    <w:rsid w:val="009A725F"/>
    <w:rsid w:val="009A7642"/>
    <w:rsid w:val="009A7DF1"/>
    <w:rsid w:val="009B0396"/>
    <w:rsid w:val="009B05AD"/>
    <w:rsid w:val="009B0628"/>
    <w:rsid w:val="009B1776"/>
    <w:rsid w:val="009B1D98"/>
    <w:rsid w:val="009B1E5F"/>
    <w:rsid w:val="009B2A19"/>
    <w:rsid w:val="009B31E3"/>
    <w:rsid w:val="009B3521"/>
    <w:rsid w:val="009B3A16"/>
    <w:rsid w:val="009B4298"/>
    <w:rsid w:val="009B47C4"/>
    <w:rsid w:val="009B4FA0"/>
    <w:rsid w:val="009B5F2D"/>
    <w:rsid w:val="009B64E3"/>
    <w:rsid w:val="009B64F3"/>
    <w:rsid w:val="009B70DB"/>
    <w:rsid w:val="009B75DB"/>
    <w:rsid w:val="009B7A45"/>
    <w:rsid w:val="009C0A1F"/>
    <w:rsid w:val="009C36FB"/>
    <w:rsid w:val="009C3909"/>
    <w:rsid w:val="009C3D06"/>
    <w:rsid w:val="009C3FCB"/>
    <w:rsid w:val="009C5E03"/>
    <w:rsid w:val="009C60D7"/>
    <w:rsid w:val="009C644D"/>
    <w:rsid w:val="009D0081"/>
    <w:rsid w:val="009D0485"/>
    <w:rsid w:val="009D1C95"/>
    <w:rsid w:val="009D2860"/>
    <w:rsid w:val="009D3D44"/>
    <w:rsid w:val="009D3F09"/>
    <w:rsid w:val="009D42D0"/>
    <w:rsid w:val="009D4C13"/>
    <w:rsid w:val="009D5682"/>
    <w:rsid w:val="009D5929"/>
    <w:rsid w:val="009D5F18"/>
    <w:rsid w:val="009D71CC"/>
    <w:rsid w:val="009D7589"/>
    <w:rsid w:val="009D77B5"/>
    <w:rsid w:val="009E03DA"/>
    <w:rsid w:val="009E0880"/>
    <w:rsid w:val="009E0FE5"/>
    <w:rsid w:val="009E19A9"/>
    <w:rsid w:val="009E1A41"/>
    <w:rsid w:val="009E2A83"/>
    <w:rsid w:val="009E2A95"/>
    <w:rsid w:val="009E2F29"/>
    <w:rsid w:val="009E4182"/>
    <w:rsid w:val="009E53F6"/>
    <w:rsid w:val="009E5CE4"/>
    <w:rsid w:val="009E7177"/>
    <w:rsid w:val="009E7448"/>
    <w:rsid w:val="009E74EB"/>
    <w:rsid w:val="009E752A"/>
    <w:rsid w:val="009E7D01"/>
    <w:rsid w:val="009E7F67"/>
    <w:rsid w:val="009F113B"/>
    <w:rsid w:val="009F223E"/>
    <w:rsid w:val="009F3B3B"/>
    <w:rsid w:val="009F4FE5"/>
    <w:rsid w:val="009F5627"/>
    <w:rsid w:val="009F5A11"/>
    <w:rsid w:val="009F6120"/>
    <w:rsid w:val="009F6F4C"/>
    <w:rsid w:val="009F734A"/>
    <w:rsid w:val="009F7383"/>
    <w:rsid w:val="009F77E3"/>
    <w:rsid w:val="00A00BAB"/>
    <w:rsid w:val="00A00E0A"/>
    <w:rsid w:val="00A017AE"/>
    <w:rsid w:val="00A019F2"/>
    <w:rsid w:val="00A01B64"/>
    <w:rsid w:val="00A023A2"/>
    <w:rsid w:val="00A02423"/>
    <w:rsid w:val="00A02F05"/>
    <w:rsid w:val="00A03DBC"/>
    <w:rsid w:val="00A0499D"/>
    <w:rsid w:val="00A04D6D"/>
    <w:rsid w:val="00A056B2"/>
    <w:rsid w:val="00A0574E"/>
    <w:rsid w:val="00A05C0B"/>
    <w:rsid w:val="00A05EA5"/>
    <w:rsid w:val="00A05FD0"/>
    <w:rsid w:val="00A069F3"/>
    <w:rsid w:val="00A07241"/>
    <w:rsid w:val="00A07E3D"/>
    <w:rsid w:val="00A106F8"/>
    <w:rsid w:val="00A10BF5"/>
    <w:rsid w:val="00A10EE4"/>
    <w:rsid w:val="00A11AF9"/>
    <w:rsid w:val="00A11BBC"/>
    <w:rsid w:val="00A11CBF"/>
    <w:rsid w:val="00A124B1"/>
    <w:rsid w:val="00A124DD"/>
    <w:rsid w:val="00A13271"/>
    <w:rsid w:val="00A13996"/>
    <w:rsid w:val="00A14848"/>
    <w:rsid w:val="00A14B4A"/>
    <w:rsid w:val="00A14CAC"/>
    <w:rsid w:val="00A14E56"/>
    <w:rsid w:val="00A14F61"/>
    <w:rsid w:val="00A14FF7"/>
    <w:rsid w:val="00A15017"/>
    <w:rsid w:val="00A15354"/>
    <w:rsid w:val="00A1616B"/>
    <w:rsid w:val="00A16BF0"/>
    <w:rsid w:val="00A16DBA"/>
    <w:rsid w:val="00A170F1"/>
    <w:rsid w:val="00A17A9C"/>
    <w:rsid w:val="00A20097"/>
    <w:rsid w:val="00A20560"/>
    <w:rsid w:val="00A20AF0"/>
    <w:rsid w:val="00A20FE5"/>
    <w:rsid w:val="00A230F1"/>
    <w:rsid w:val="00A23123"/>
    <w:rsid w:val="00A23B5E"/>
    <w:rsid w:val="00A24A4C"/>
    <w:rsid w:val="00A258D9"/>
    <w:rsid w:val="00A25C40"/>
    <w:rsid w:val="00A278F9"/>
    <w:rsid w:val="00A27932"/>
    <w:rsid w:val="00A27936"/>
    <w:rsid w:val="00A27A2F"/>
    <w:rsid w:val="00A27AC9"/>
    <w:rsid w:val="00A30CCA"/>
    <w:rsid w:val="00A30E2C"/>
    <w:rsid w:val="00A3105B"/>
    <w:rsid w:val="00A31579"/>
    <w:rsid w:val="00A31C7E"/>
    <w:rsid w:val="00A31C82"/>
    <w:rsid w:val="00A327FE"/>
    <w:rsid w:val="00A34375"/>
    <w:rsid w:val="00A34949"/>
    <w:rsid w:val="00A35208"/>
    <w:rsid w:val="00A359B4"/>
    <w:rsid w:val="00A365F1"/>
    <w:rsid w:val="00A368D5"/>
    <w:rsid w:val="00A3745B"/>
    <w:rsid w:val="00A37528"/>
    <w:rsid w:val="00A37B09"/>
    <w:rsid w:val="00A37B4B"/>
    <w:rsid w:val="00A406CE"/>
    <w:rsid w:val="00A40E65"/>
    <w:rsid w:val="00A40FE7"/>
    <w:rsid w:val="00A41872"/>
    <w:rsid w:val="00A41F75"/>
    <w:rsid w:val="00A42DC0"/>
    <w:rsid w:val="00A430A6"/>
    <w:rsid w:val="00A4330E"/>
    <w:rsid w:val="00A4462C"/>
    <w:rsid w:val="00A44F0A"/>
    <w:rsid w:val="00A457F3"/>
    <w:rsid w:val="00A4593A"/>
    <w:rsid w:val="00A46F80"/>
    <w:rsid w:val="00A472E9"/>
    <w:rsid w:val="00A47FCE"/>
    <w:rsid w:val="00A5140F"/>
    <w:rsid w:val="00A51D8A"/>
    <w:rsid w:val="00A52483"/>
    <w:rsid w:val="00A52BDD"/>
    <w:rsid w:val="00A53796"/>
    <w:rsid w:val="00A53A45"/>
    <w:rsid w:val="00A53E0E"/>
    <w:rsid w:val="00A54784"/>
    <w:rsid w:val="00A549C8"/>
    <w:rsid w:val="00A55B65"/>
    <w:rsid w:val="00A55FCE"/>
    <w:rsid w:val="00A56345"/>
    <w:rsid w:val="00A56393"/>
    <w:rsid w:val="00A56896"/>
    <w:rsid w:val="00A607F8"/>
    <w:rsid w:val="00A609C5"/>
    <w:rsid w:val="00A60C9F"/>
    <w:rsid w:val="00A6143D"/>
    <w:rsid w:val="00A6156D"/>
    <w:rsid w:val="00A62451"/>
    <w:rsid w:val="00A628AF"/>
    <w:rsid w:val="00A62C11"/>
    <w:rsid w:val="00A635DF"/>
    <w:rsid w:val="00A64817"/>
    <w:rsid w:val="00A64995"/>
    <w:rsid w:val="00A653A1"/>
    <w:rsid w:val="00A654E6"/>
    <w:rsid w:val="00A65D45"/>
    <w:rsid w:val="00A66359"/>
    <w:rsid w:val="00A66C02"/>
    <w:rsid w:val="00A704C9"/>
    <w:rsid w:val="00A709D6"/>
    <w:rsid w:val="00A71149"/>
    <w:rsid w:val="00A71646"/>
    <w:rsid w:val="00A71734"/>
    <w:rsid w:val="00A719FF"/>
    <w:rsid w:val="00A71AE8"/>
    <w:rsid w:val="00A71C15"/>
    <w:rsid w:val="00A72037"/>
    <w:rsid w:val="00A72043"/>
    <w:rsid w:val="00A720AE"/>
    <w:rsid w:val="00A72921"/>
    <w:rsid w:val="00A72D18"/>
    <w:rsid w:val="00A72E24"/>
    <w:rsid w:val="00A730EE"/>
    <w:rsid w:val="00A74502"/>
    <w:rsid w:val="00A747A8"/>
    <w:rsid w:val="00A75677"/>
    <w:rsid w:val="00A7677A"/>
    <w:rsid w:val="00A76D16"/>
    <w:rsid w:val="00A770FE"/>
    <w:rsid w:val="00A7725D"/>
    <w:rsid w:val="00A77272"/>
    <w:rsid w:val="00A777D8"/>
    <w:rsid w:val="00A805A9"/>
    <w:rsid w:val="00A806B3"/>
    <w:rsid w:val="00A8191F"/>
    <w:rsid w:val="00A82808"/>
    <w:rsid w:val="00A833A5"/>
    <w:rsid w:val="00A8448F"/>
    <w:rsid w:val="00A85514"/>
    <w:rsid w:val="00A858D1"/>
    <w:rsid w:val="00A86A4C"/>
    <w:rsid w:val="00A86F85"/>
    <w:rsid w:val="00A8708A"/>
    <w:rsid w:val="00A8791B"/>
    <w:rsid w:val="00A9036D"/>
    <w:rsid w:val="00A9063B"/>
    <w:rsid w:val="00A91450"/>
    <w:rsid w:val="00A91A1C"/>
    <w:rsid w:val="00A91A89"/>
    <w:rsid w:val="00A91AFB"/>
    <w:rsid w:val="00A91CAD"/>
    <w:rsid w:val="00A924BD"/>
    <w:rsid w:val="00A92E2E"/>
    <w:rsid w:val="00A93328"/>
    <w:rsid w:val="00A93A29"/>
    <w:rsid w:val="00A9423B"/>
    <w:rsid w:val="00A9511E"/>
    <w:rsid w:val="00A9533F"/>
    <w:rsid w:val="00A954C3"/>
    <w:rsid w:val="00A9574D"/>
    <w:rsid w:val="00A95AD2"/>
    <w:rsid w:val="00A95B59"/>
    <w:rsid w:val="00A965CE"/>
    <w:rsid w:val="00A96EBA"/>
    <w:rsid w:val="00A97386"/>
    <w:rsid w:val="00A978E7"/>
    <w:rsid w:val="00AA00BA"/>
    <w:rsid w:val="00AA1069"/>
    <w:rsid w:val="00AA1DEB"/>
    <w:rsid w:val="00AA25FE"/>
    <w:rsid w:val="00AA2A53"/>
    <w:rsid w:val="00AA3069"/>
    <w:rsid w:val="00AA30DD"/>
    <w:rsid w:val="00AA625E"/>
    <w:rsid w:val="00AA7B21"/>
    <w:rsid w:val="00AB07D0"/>
    <w:rsid w:val="00AB07D9"/>
    <w:rsid w:val="00AB1D90"/>
    <w:rsid w:val="00AB2016"/>
    <w:rsid w:val="00AB207B"/>
    <w:rsid w:val="00AB2888"/>
    <w:rsid w:val="00AB43DB"/>
    <w:rsid w:val="00AB50C2"/>
    <w:rsid w:val="00AC0108"/>
    <w:rsid w:val="00AC0729"/>
    <w:rsid w:val="00AC0F3F"/>
    <w:rsid w:val="00AC1B9F"/>
    <w:rsid w:val="00AC1FB4"/>
    <w:rsid w:val="00AC20DA"/>
    <w:rsid w:val="00AC2430"/>
    <w:rsid w:val="00AC2C58"/>
    <w:rsid w:val="00AC30FC"/>
    <w:rsid w:val="00AC32F2"/>
    <w:rsid w:val="00AC34A4"/>
    <w:rsid w:val="00AC3FB9"/>
    <w:rsid w:val="00AC4743"/>
    <w:rsid w:val="00AC4D0D"/>
    <w:rsid w:val="00AC5E0A"/>
    <w:rsid w:val="00AC6174"/>
    <w:rsid w:val="00AC641F"/>
    <w:rsid w:val="00AC6AF9"/>
    <w:rsid w:val="00AD00B0"/>
    <w:rsid w:val="00AD034E"/>
    <w:rsid w:val="00AD09F4"/>
    <w:rsid w:val="00AD0AF8"/>
    <w:rsid w:val="00AD106C"/>
    <w:rsid w:val="00AD15D4"/>
    <w:rsid w:val="00AD1CD5"/>
    <w:rsid w:val="00AD2777"/>
    <w:rsid w:val="00AD2988"/>
    <w:rsid w:val="00AD3A41"/>
    <w:rsid w:val="00AD4542"/>
    <w:rsid w:val="00AD4C8C"/>
    <w:rsid w:val="00AD50DE"/>
    <w:rsid w:val="00AD5ED8"/>
    <w:rsid w:val="00AD63D5"/>
    <w:rsid w:val="00AD6470"/>
    <w:rsid w:val="00AD7882"/>
    <w:rsid w:val="00AD7977"/>
    <w:rsid w:val="00AE0212"/>
    <w:rsid w:val="00AE0965"/>
    <w:rsid w:val="00AE0CA0"/>
    <w:rsid w:val="00AE12E3"/>
    <w:rsid w:val="00AE192C"/>
    <w:rsid w:val="00AE1D65"/>
    <w:rsid w:val="00AE2907"/>
    <w:rsid w:val="00AE32D7"/>
    <w:rsid w:val="00AE33B9"/>
    <w:rsid w:val="00AE3CA3"/>
    <w:rsid w:val="00AE3CC4"/>
    <w:rsid w:val="00AE4258"/>
    <w:rsid w:val="00AE460A"/>
    <w:rsid w:val="00AE4FDC"/>
    <w:rsid w:val="00AE50F9"/>
    <w:rsid w:val="00AE5CAE"/>
    <w:rsid w:val="00AE6646"/>
    <w:rsid w:val="00AE675E"/>
    <w:rsid w:val="00AE79BE"/>
    <w:rsid w:val="00AF0EA8"/>
    <w:rsid w:val="00AF0F38"/>
    <w:rsid w:val="00AF1015"/>
    <w:rsid w:val="00AF1225"/>
    <w:rsid w:val="00AF1DEC"/>
    <w:rsid w:val="00AF1FD0"/>
    <w:rsid w:val="00AF2910"/>
    <w:rsid w:val="00AF29C1"/>
    <w:rsid w:val="00AF3155"/>
    <w:rsid w:val="00AF398F"/>
    <w:rsid w:val="00AF45DF"/>
    <w:rsid w:val="00AF4963"/>
    <w:rsid w:val="00AF4E04"/>
    <w:rsid w:val="00AF5547"/>
    <w:rsid w:val="00AF574F"/>
    <w:rsid w:val="00AF5FEE"/>
    <w:rsid w:val="00AF600A"/>
    <w:rsid w:val="00AF6631"/>
    <w:rsid w:val="00AF7070"/>
    <w:rsid w:val="00AF7F7E"/>
    <w:rsid w:val="00B0029D"/>
    <w:rsid w:val="00B002BD"/>
    <w:rsid w:val="00B004FB"/>
    <w:rsid w:val="00B00731"/>
    <w:rsid w:val="00B00EC0"/>
    <w:rsid w:val="00B0151D"/>
    <w:rsid w:val="00B01F3B"/>
    <w:rsid w:val="00B01FBE"/>
    <w:rsid w:val="00B0246A"/>
    <w:rsid w:val="00B02C16"/>
    <w:rsid w:val="00B04BA3"/>
    <w:rsid w:val="00B05663"/>
    <w:rsid w:val="00B100F8"/>
    <w:rsid w:val="00B10141"/>
    <w:rsid w:val="00B10327"/>
    <w:rsid w:val="00B1094C"/>
    <w:rsid w:val="00B121D3"/>
    <w:rsid w:val="00B12406"/>
    <w:rsid w:val="00B12F21"/>
    <w:rsid w:val="00B13668"/>
    <w:rsid w:val="00B15779"/>
    <w:rsid w:val="00B157D3"/>
    <w:rsid w:val="00B1679A"/>
    <w:rsid w:val="00B16930"/>
    <w:rsid w:val="00B171FC"/>
    <w:rsid w:val="00B17390"/>
    <w:rsid w:val="00B17CCB"/>
    <w:rsid w:val="00B201F8"/>
    <w:rsid w:val="00B203D6"/>
    <w:rsid w:val="00B206FA"/>
    <w:rsid w:val="00B20E7A"/>
    <w:rsid w:val="00B2171F"/>
    <w:rsid w:val="00B217A9"/>
    <w:rsid w:val="00B22442"/>
    <w:rsid w:val="00B2293C"/>
    <w:rsid w:val="00B230A3"/>
    <w:rsid w:val="00B243CC"/>
    <w:rsid w:val="00B24EA8"/>
    <w:rsid w:val="00B2550F"/>
    <w:rsid w:val="00B26130"/>
    <w:rsid w:val="00B26273"/>
    <w:rsid w:val="00B2666A"/>
    <w:rsid w:val="00B26C65"/>
    <w:rsid w:val="00B27E9A"/>
    <w:rsid w:val="00B3095A"/>
    <w:rsid w:val="00B31097"/>
    <w:rsid w:val="00B3124F"/>
    <w:rsid w:val="00B3141A"/>
    <w:rsid w:val="00B31840"/>
    <w:rsid w:val="00B31AB0"/>
    <w:rsid w:val="00B31CF3"/>
    <w:rsid w:val="00B323C0"/>
    <w:rsid w:val="00B3295C"/>
    <w:rsid w:val="00B330E9"/>
    <w:rsid w:val="00B33E6F"/>
    <w:rsid w:val="00B343E5"/>
    <w:rsid w:val="00B34956"/>
    <w:rsid w:val="00B3530D"/>
    <w:rsid w:val="00B353DE"/>
    <w:rsid w:val="00B36468"/>
    <w:rsid w:val="00B3656D"/>
    <w:rsid w:val="00B365F7"/>
    <w:rsid w:val="00B37114"/>
    <w:rsid w:val="00B3763B"/>
    <w:rsid w:val="00B37C61"/>
    <w:rsid w:val="00B406D0"/>
    <w:rsid w:val="00B409D0"/>
    <w:rsid w:val="00B40FC3"/>
    <w:rsid w:val="00B410D4"/>
    <w:rsid w:val="00B422EE"/>
    <w:rsid w:val="00B4342B"/>
    <w:rsid w:val="00B43CCA"/>
    <w:rsid w:val="00B44A32"/>
    <w:rsid w:val="00B44B4B"/>
    <w:rsid w:val="00B4519B"/>
    <w:rsid w:val="00B451E3"/>
    <w:rsid w:val="00B45CA7"/>
    <w:rsid w:val="00B45E17"/>
    <w:rsid w:val="00B47283"/>
    <w:rsid w:val="00B477B2"/>
    <w:rsid w:val="00B477F0"/>
    <w:rsid w:val="00B4794A"/>
    <w:rsid w:val="00B47B03"/>
    <w:rsid w:val="00B47B08"/>
    <w:rsid w:val="00B507D5"/>
    <w:rsid w:val="00B520D3"/>
    <w:rsid w:val="00B5293E"/>
    <w:rsid w:val="00B52E27"/>
    <w:rsid w:val="00B53E02"/>
    <w:rsid w:val="00B54E05"/>
    <w:rsid w:val="00B554C1"/>
    <w:rsid w:val="00B554F9"/>
    <w:rsid w:val="00B55EFA"/>
    <w:rsid w:val="00B55FBD"/>
    <w:rsid w:val="00B56519"/>
    <w:rsid w:val="00B566D1"/>
    <w:rsid w:val="00B56995"/>
    <w:rsid w:val="00B56C78"/>
    <w:rsid w:val="00B56CF4"/>
    <w:rsid w:val="00B57879"/>
    <w:rsid w:val="00B606AB"/>
    <w:rsid w:val="00B60FC6"/>
    <w:rsid w:val="00B620BD"/>
    <w:rsid w:val="00B62271"/>
    <w:rsid w:val="00B6298B"/>
    <w:rsid w:val="00B629FD"/>
    <w:rsid w:val="00B63778"/>
    <w:rsid w:val="00B63966"/>
    <w:rsid w:val="00B63ADC"/>
    <w:rsid w:val="00B63C12"/>
    <w:rsid w:val="00B64633"/>
    <w:rsid w:val="00B65446"/>
    <w:rsid w:val="00B65E38"/>
    <w:rsid w:val="00B6665F"/>
    <w:rsid w:val="00B668F9"/>
    <w:rsid w:val="00B66E5E"/>
    <w:rsid w:val="00B70880"/>
    <w:rsid w:val="00B71294"/>
    <w:rsid w:val="00B719B5"/>
    <w:rsid w:val="00B72BE1"/>
    <w:rsid w:val="00B72E25"/>
    <w:rsid w:val="00B73287"/>
    <w:rsid w:val="00B73F34"/>
    <w:rsid w:val="00B7407F"/>
    <w:rsid w:val="00B741F0"/>
    <w:rsid w:val="00B74C71"/>
    <w:rsid w:val="00B76717"/>
    <w:rsid w:val="00B76EB3"/>
    <w:rsid w:val="00B77638"/>
    <w:rsid w:val="00B7768C"/>
    <w:rsid w:val="00B8005C"/>
    <w:rsid w:val="00B808E3"/>
    <w:rsid w:val="00B80A6A"/>
    <w:rsid w:val="00B80F6A"/>
    <w:rsid w:val="00B810AF"/>
    <w:rsid w:val="00B811C4"/>
    <w:rsid w:val="00B8158C"/>
    <w:rsid w:val="00B82B8F"/>
    <w:rsid w:val="00B82C23"/>
    <w:rsid w:val="00B82F77"/>
    <w:rsid w:val="00B833C3"/>
    <w:rsid w:val="00B83883"/>
    <w:rsid w:val="00B85C8D"/>
    <w:rsid w:val="00B86EAE"/>
    <w:rsid w:val="00B87293"/>
    <w:rsid w:val="00B877B0"/>
    <w:rsid w:val="00B878DF"/>
    <w:rsid w:val="00B90875"/>
    <w:rsid w:val="00B9103D"/>
    <w:rsid w:val="00B91A09"/>
    <w:rsid w:val="00B91CC0"/>
    <w:rsid w:val="00B91F01"/>
    <w:rsid w:val="00B922B1"/>
    <w:rsid w:val="00B92B8A"/>
    <w:rsid w:val="00B933D0"/>
    <w:rsid w:val="00B936EF"/>
    <w:rsid w:val="00B93B65"/>
    <w:rsid w:val="00B9467C"/>
    <w:rsid w:val="00B94C7D"/>
    <w:rsid w:val="00B95050"/>
    <w:rsid w:val="00B9525F"/>
    <w:rsid w:val="00B95294"/>
    <w:rsid w:val="00B96465"/>
    <w:rsid w:val="00B97059"/>
    <w:rsid w:val="00B97D97"/>
    <w:rsid w:val="00BA076C"/>
    <w:rsid w:val="00BA0F1C"/>
    <w:rsid w:val="00BA1EFC"/>
    <w:rsid w:val="00BA3E26"/>
    <w:rsid w:val="00BA4A66"/>
    <w:rsid w:val="00BA5196"/>
    <w:rsid w:val="00BA56B9"/>
    <w:rsid w:val="00BA5708"/>
    <w:rsid w:val="00BA5EEC"/>
    <w:rsid w:val="00BA6899"/>
    <w:rsid w:val="00BA718A"/>
    <w:rsid w:val="00BA7C90"/>
    <w:rsid w:val="00BB06D9"/>
    <w:rsid w:val="00BB17B9"/>
    <w:rsid w:val="00BB1E9A"/>
    <w:rsid w:val="00BB2237"/>
    <w:rsid w:val="00BB23C6"/>
    <w:rsid w:val="00BB356B"/>
    <w:rsid w:val="00BB384B"/>
    <w:rsid w:val="00BB38EB"/>
    <w:rsid w:val="00BB3A52"/>
    <w:rsid w:val="00BB3B69"/>
    <w:rsid w:val="00BB4603"/>
    <w:rsid w:val="00BB4F87"/>
    <w:rsid w:val="00BB5E25"/>
    <w:rsid w:val="00BB629D"/>
    <w:rsid w:val="00BB6441"/>
    <w:rsid w:val="00BB6843"/>
    <w:rsid w:val="00BB7A30"/>
    <w:rsid w:val="00BC0177"/>
    <w:rsid w:val="00BC08FD"/>
    <w:rsid w:val="00BC0929"/>
    <w:rsid w:val="00BC15FB"/>
    <w:rsid w:val="00BC2114"/>
    <w:rsid w:val="00BC22E0"/>
    <w:rsid w:val="00BC2AB8"/>
    <w:rsid w:val="00BC33CD"/>
    <w:rsid w:val="00BC33FA"/>
    <w:rsid w:val="00BC4673"/>
    <w:rsid w:val="00BC5468"/>
    <w:rsid w:val="00BC5768"/>
    <w:rsid w:val="00BC5929"/>
    <w:rsid w:val="00BC5C33"/>
    <w:rsid w:val="00BC64A2"/>
    <w:rsid w:val="00BC694D"/>
    <w:rsid w:val="00BC7FFA"/>
    <w:rsid w:val="00BD0285"/>
    <w:rsid w:val="00BD0868"/>
    <w:rsid w:val="00BD126B"/>
    <w:rsid w:val="00BD1436"/>
    <w:rsid w:val="00BD2325"/>
    <w:rsid w:val="00BD26E3"/>
    <w:rsid w:val="00BD36E7"/>
    <w:rsid w:val="00BD377D"/>
    <w:rsid w:val="00BD4747"/>
    <w:rsid w:val="00BD4F3A"/>
    <w:rsid w:val="00BD5A3D"/>
    <w:rsid w:val="00BD5F17"/>
    <w:rsid w:val="00BD7BF4"/>
    <w:rsid w:val="00BD7FD4"/>
    <w:rsid w:val="00BE01A0"/>
    <w:rsid w:val="00BE03EE"/>
    <w:rsid w:val="00BE13DF"/>
    <w:rsid w:val="00BE2117"/>
    <w:rsid w:val="00BE25EF"/>
    <w:rsid w:val="00BE33E2"/>
    <w:rsid w:val="00BE36B1"/>
    <w:rsid w:val="00BE4E09"/>
    <w:rsid w:val="00BE4F89"/>
    <w:rsid w:val="00BE4FBF"/>
    <w:rsid w:val="00BE5C32"/>
    <w:rsid w:val="00BE624E"/>
    <w:rsid w:val="00BE6619"/>
    <w:rsid w:val="00BE7006"/>
    <w:rsid w:val="00BE7BB4"/>
    <w:rsid w:val="00BF00FF"/>
    <w:rsid w:val="00BF1CE6"/>
    <w:rsid w:val="00BF1E29"/>
    <w:rsid w:val="00BF257B"/>
    <w:rsid w:val="00BF28E7"/>
    <w:rsid w:val="00BF28F9"/>
    <w:rsid w:val="00BF292F"/>
    <w:rsid w:val="00BF2B79"/>
    <w:rsid w:val="00BF2BBE"/>
    <w:rsid w:val="00BF33E9"/>
    <w:rsid w:val="00BF3E91"/>
    <w:rsid w:val="00BF41E7"/>
    <w:rsid w:val="00BF4587"/>
    <w:rsid w:val="00BF47DC"/>
    <w:rsid w:val="00BF483A"/>
    <w:rsid w:val="00BF4B0B"/>
    <w:rsid w:val="00BF4CA0"/>
    <w:rsid w:val="00BF4D2C"/>
    <w:rsid w:val="00BF5D0D"/>
    <w:rsid w:val="00BF645C"/>
    <w:rsid w:val="00BF650F"/>
    <w:rsid w:val="00BF6566"/>
    <w:rsid w:val="00BF68EF"/>
    <w:rsid w:val="00BF733B"/>
    <w:rsid w:val="00C00DC5"/>
    <w:rsid w:val="00C00F57"/>
    <w:rsid w:val="00C01107"/>
    <w:rsid w:val="00C01869"/>
    <w:rsid w:val="00C01DFF"/>
    <w:rsid w:val="00C02C9F"/>
    <w:rsid w:val="00C03302"/>
    <w:rsid w:val="00C03332"/>
    <w:rsid w:val="00C03432"/>
    <w:rsid w:val="00C0375B"/>
    <w:rsid w:val="00C03BFF"/>
    <w:rsid w:val="00C040C2"/>
    <w:rsid w:val="00C04145"/>
    <w:rsid w:val="00C04CE4"/>
    <w:rsid w:val="00C0536C"/>
    <w:rsid w:val="00C0542D"/>
    <w:rsid w:val="00C05451"/>
    <w:rsid w:val="00C05BF3"/>
    <w:rsid w:val="00C0665B"/>
    <w:rsid w:val="00C06749"/>
    <w:rsid w:val="00C06BD0"/>
    <w:rsid w:val="00C07530"/>
    <w:rsid w:val="00C075C2"/>
    <w:rsid w:val="00C07936"/>
    <w:rsid w:val="00C10014"/>
    <w:rsid w:val="00C102AF"/>
    <w:rsid w:val="00C10517"/>
    <w:rsid w:val="00C10B0A"/>
    <w:rsid w:val="00C10BA1"/>
    <w:rsid w:val="00C118B1"/>
    <w:rsid w:val="00C11F22"/>
    <w:rsid w:val="00C12126"/>
    <w:rsid w:val="00C13A53"/>
    <w:rsid w:val="00C14127"/>
    <w:rsid w:val="00C148C0"/>
    <w:rsid w:val="00C1562C"/>
    <w:rsid w:val="00C15CF0"/>
    <w:rsid w:val="00C16031"/>
    <w:rsid w:val="00C16475"/>
    <w:rsid w:val="00C168FD"/>
    <w:rsid w:val="00C17056"/>
    <w:rsid w:val="00C177A4"/>
    <w:rsid w:val="00C203FA"/>
    <w:rsid w:val="00C206C6"/>
    <w:rsid w:val="00C2070F"/>
    <w:rsid w:val="00C20757"/>
    <w:rsid w:val="00C20FF4"/>
    <w:rsid w:val="00C212A8"/>
    <w:rsid w:val="00C212D8"/>
    <w:rsid w:val="00C21AEA"/>
    <w:rsid w:val="00C22BE1"/>
    <w:rsid w:val="00C234EC"/>
    <w:rsid w:val="00C24415"/>
    <w:rsid w:val="00C25045"/>
    <w:rsid w:val="00C2518E"/>
    <w:rsid w:val="00C27607"/>
    <w:rsid w:val="00C27EE7"/>
    <w:rsid w:val="00C30187"/>
    <w:rsid w:val="00C307AA"/>
    <w:rsid w:val="00C311FE"/>
    <w:rsid w:val="00C32E8E"/>
    <w:rsid w:val="00C34084"/>
    <w:rsid w:val="00C35374"/>
    <w:rsid w:val="00C355E6"/>
    <w:rsid w:val="00C357E3"/>
    <w:rsid w:val="00C3602D"/>
    <w:rsid w:val="00C36191"/>
    <w:rsid w:val="00C36EEB"/>
    <w:rsid w:val="00C36FD3"/>
    <w:rsid w:val="00C37196"/>
    <w:rsid w:val="00C37717"/>
    <w:rsid w:val="00C37818"/>
    <w:rsid w:val="00C378C8"/>
    <w:rsid w:val="00C41EB2"/>
    <w:rsid w:val="00C4242A"/>
    <w:rsid w:val="00C42D63"/>
    <w:rsid w:val="00C43125"/>
    <w:rsid w:val="00C43472"/>
    <w:rsid w:val="00C44517"/>
    <w:rsid w:val="00C44C43"/>
    <w:rsid w:val="00C45545"/>
    <w:rsid w:val="00C45D01"/>
    <w:rsid w:val="00C45D5F"/>
    <w:rsid w:val="00C4726F"/>
    <w:rsid w:val="00C4734D"/>
    <w:rsid w:val="00C477B2"/>
    <w:rsid w:val="00C50601"/>
    <w:rsid w:val="00C50D4A"/>
    <w:rsid w:val="00C5128A"/>
    <w:rsid w:val="00C51EDE"/>
    <w:rsid w:val="00C54121"/>
    <w:rsid w:val="00C5498C"/>
    <w:rsid w:val="00C554CD"/>
    <w:rsid w:val="00C556F6"/>
    <w:rsid w:val="00C55888"/>
    <w:rsid w:val="00C55A82"/>
    <w:rsid w:val="00C561CC"/>
    <w:rsid w:val="00C56488"/>
    <w:rsid w:val="00C57BE6"/>
    <w:rsid w:val="00C600D9"/>
    <w:rsid w:val="00C601F1"/>
    <w:rsid w:val="00C60B8E"/>
    <w:rsid w:val="00C60BA1"/>
    <w:rsid w:val="00C61BD7"/>
    <w:rsid w:val="00C62D3D"/>
    <w:rsid w:val="00C63119"/>
    <w:rsid w:val="00C63265"/>
    <w:rsid w:val="00C634A1"/>
    <w:rsid w:val="00C64009"/>
    <w:rsid w:val="00C64051"/>
    <w:rsid w:val="00C652B1"/>
    <w:rsid w:val="00C6539F"/>
    <w:rsid w:val="00C65C1D"/>
    <w:rsid w:val="00C6603B"/>
    <w:rsid w:val="00C6614C"/>
    <w:rsid w:val="00C66D90"/>
    <w:rsid w:val="00C66DE0"/>
    <w:rsid w:val="00C67C5D"/>
    <w:rsid w:val="00C70423"/>
    <w:rsid w:val="00C70C74"/>
    <w:rsid w:val="00C7155B"/>
    <w:rsid w:val="00C71A75"/>
    <w:rsid w:val="00C7209F"/>
    <w:rsid w:val="00C7252A"/>
    <w:rsid w:val="00C725A9"/>
    <w:rsid w:val="00C72B2A"/>
    <w:rsid w:val="00C72F96"/>
    <w:rsid w:val="00C733DA"/>
    <w:rsid w:val="00C7385A"/>
    <w:rsid w:val="00C7515E"/>
    <w:rsid w:val="00C751C7"/>
    <w:rsid w:val="00C754D7"/>
    <w:rsid w:val="00C75713"/>
    <w:rsid w:val="00C76176"/>
    <w:rsid w:val="00C76E0B"/>
    <w:rsid w:val="00C8042D"/>
    <w:rsid w:val="00C81837"/>
    <w:rsid w:val="00C81BFC"/>
    <w:rsid w:val="00C82527"/>
    <w:rsid w:val="00C830C4"/>
    <w:rsid w:val="00C83152"/>
    <w:rsid w:val="00C83206"/>
    <w:rsid w:val="00C83D47"/>
    <w:rsid w:val="00C8400F"/>
    <w:rsid w:val="00C84275"/>
    <w:rsid w:val="00C84A64"/>
    <w:rsid w:val="00C84C00"/>
    <w:rsid w:val="00C85501"/>
    <w:rsid w:val="00C85C08"/>
    <w:rsid w:val="00C862F3"/>
    <w:rsid w:val="00C878E9"/>
    <w:rsid w:val="00C87E9D"/>
    <w:rsid w:val="00C90E01"/>
    <w:rsid w:val="00C91361"/>
    <w:rsid w:val="00C91B58"/>
    <w:rsid w:val="00C92A63"/>
    <w:rsid w:val="00C92C73"/>
    <w:rsid w:val="00C930FA"/>
    <w:rsid w:val="00C936BA"/>
    <w:rsid w:val="00C93F6B"/>
    <w:rsid w:val="00C9408A"/>
    <w:rsid w:val="00C94F15"/>
    <w:rsid w:val="00C9524F"/>
    <w:rsid w:val="00C956AB"/>
    <w:rsid w:val="00C9574F"/>
    <w:rsid w:val="00C95906"/>
    <w:rsid w:val="00C95B3C"/>
    <w:rsid w:val="00C96129"/>
    <w:rsid w:val="00C965B5"/>
    <w:rsid w:val="00C967E8"/>
    <w:rsid w:val="00C96BED"/>
    <w:rsid w:val="00C978A5"/>
    <w:rsid w:val="00CA0CDE"/>
    <w:rsid w:val="00CA14F8"/>
    <w:rsid w:val="00CA1887"/>
    <w:rsid w:val="00CA1C31"/>
    <w:rsid w:val="00CA1CB7"/>
    <w:rsid w:val="00CA2867"/>
    <w:rsid w:val="00CA2A79"/>
    <w:rsid w:val="00CA2BFD"/>
    <w:rsid w:val="00CA3C48"/>
    <w:rsid w:val="00CA4010"/>
    <w:rsid w:val="00CA4DC5"/>
    <w:rsid w:val="00CA63F4"/>
    <w:rsid w:val="00CA65F1"/>
    <w:rsid w:val="00CA6E2E"/>
    <w:rsid w:val="00CA7E1D"/>
    <w:rsid w:val="00CA7F2A"/>
    <w:rsid w:val="00CB066F"/>
    <w:rsid w:val="00CB0BB4"/>
    <w:rsid w:val="00CB0F40"/>
    <w:rsid w:val="00CB10D6"/>
    <w:rsid w:val="00CB13D3"/>
    <w:rsid w:val="00CB1CA0"/>
    <w:rsid w:val="00CB20AC"/>
    <w:rsid w:val="00CB23C9"/>
    <w:rsid w:val="00CB25F9"/>
    <w:rsid w:val="00CB2A40"/>
    <w:rsid w:val="00CB3184"/>
    <w:rsid w:val="00CB428A"/>
    <w:rsid w:val="00CB45B3"/>
    <w:rsid w:val="00CB4FA1"/>
    <w:rsid w:val="00CB6523"/>
    <w:rsid w:val="00CB6668"/>
    <w:rsid w:val="00CB7387"/>
    <w:rsid w:val="00CB7A1B"/>
    <w:rsid w:val="00CB7DB9"/>
    <w:rsid w:val="00CC016F"/>
    <w:rsid w:val="00CC0878"/>
    <w:rsid w:val="00CC0BED"/>
    <w:rsid w:val="00CC0D9B"/>
    <w:rsid w:val="00CC129F"/>
    <w:rsid w:val="00CC236A"/>
    <w:rsid w:val="00CC27CF"/>
    <w:rsid w:val="00CC2D3A"/>
    <w:rsid w:val="00CC3597"/>
    <w:rsid w:val="00CC3E63"/>
    <w:rsid w:val="00CC438C"/>
    <w:rsid w:val="00CC43B7"/>
    <w:rsid w:val="00CC44FC"/>
    <w:rsid w:val="00CC48C7"/>
    <w:rsid w:val="00CC4FFD"/>
    <w:rsid w:val="00CC50DE"/>
    <w:rsid w:val="00CC60AB"/>
    <w:rsid w:val="00CC6856"/>
    <w:rsid w:val="00CC6C59"/>
    <w:rsid w:val="00CC730F"/>
    <w:rsid w:val="00CC7656"/>
    <w:rsid w:val="00CD2620"/>
    <w:rsid w:val="00CD27D8"/>
    <w:rsid w:val="00CD40E2"/>
    <w:rsid w:val="00CD436B"/>
    <w:rsid w:val="00CD4D7F"/>
    <w:rsid w:val="00CD56D4"/>
    <w:rsid w:val="00CD58DF"/>
    <w:rsid w:val="00CD591E"/>
    <w:rsid w:val="00CD5B31"/>
    <w:rsid w:val="00CD793A"/>
    <w:rsid w:val="00CE0955"/>
    <w:rsid w:val="00CE0C54"/>
    <w:rsid w:val="00CE13F0"/>
    <w:rsid w:val="00CE14FC"/>
    <w:rsid w:val="00CE193F"/>
    <w:rsid w:val="00CE285C"/>
    <w:rsid w:val="00CE3477"/>
    <w:rsid w:val="00CE3EFA"/>
    <w:rsid w:val="00CE40D4"/>
    <w:rsid w:val="00CE4A6C"/>
    <w:rsid w:val="00CE4B20"/>
    <w:rsid w:val="00CE59C8"/>
    <w:rsid w:val="00CE5A54"/>
    <w:rsid w:val="00CE5EE4"/>
    <w:rsid w:val="00CE6242"/>
    <w:rsid w:val="00CE63A4"/>
    <w:rsid w:val="00CE6935"/>
    <w:rsid w:val="00CE6C41"/>
    <w:rsid w:val="00CE6F9E"/>
    <w:rsid w:val="00CE7D34"/>
    <w:rsid w:val="00CF0F81"/>
    <w:rsid w:val="00CF1452"/>
    <w:rsid w:val="00CF1CCB"/>
    <w:rsid w:val="00CF2A8E"/>
    <w:rsid w:val="00CF37C5"/>
    <w:rsid w:val="00CF3A82"/>
    <w:rsid w:val="00CF4A6B"/>
    <w:rsid w:val="00CF525F"/>
    <w:rsid w:val="00CF52CF"/>
    <w:rsid w:val="00CF5467"/>
    <w:rsid w:val="00CF5540"/>
    <w:rsid w:val="00CF673C"/>
    <w:rsid w:val="00CF68BB"/>
    <w:rsid w:val="00CF6F04"/>
    <w:rsid w:val="00CF71BF"/>
    <w:rsid w:val="00CF7AA8"/>
    <w:rsid w:val="00CF7F22"/>
    <w:rsid w:val="00D00046"/>
    <w:rsid w:val="00D009A7"/>
    <w:rsid w:val="00D00B59"/>
    <w:rsid w:val="00D01133"/>
    <w:rsid w:val="00D01B5D"/>
    <w:rsid w:val="00D02865"/>
    <w:rsid w:val="00D034F1"/>
    <w:rsid w:val="00D042F6"/>
    <w:rsid w:val="00D053BA"/>
    <w:rsid w:val="00D06E3C"/>
    <w:rsid w:val="00D06E92"/>
    <w:rsid w:val="00D07525"/>
    <w:rsid w:val="00D07F48"/>
    <w:rsid w:val="00D1044E"/>
    <w:rsid w:val="00D1076B"/>
    <w:rsid w:val="00D108E0"/>
    <w:rsid w:val="00D10CB6"/>
    <w:rsid w:val="00D10DBD"/>
    <w:rsid w:val="00D1102D"/>
    <w:rsid w:val="00D11253"/>
    <w:rsid w:val="00D114C3"/>
    <w:rsid w:val="00D11D17"/>
    <w:rsid w:val="00D1277F"/>
    <w:rsid w:val="00D13890"/>
    <w:rsid w:val="00D14013"/>
    <w:rsid w:val="00D140AB"/>
    <w:rsid w:val="00D156D1"/>
    <w:rsid w:val="00D158EF"/>
    <w:rsid w:val="00D1610F"/>
    <w:rsid w:val="00D1695B"/>
    <w:rsid w:val="00D16C93"/>
    <w:rsid w:val="00D17AD2"/>
    <w:rsid w:val="00D17DBE"/>
    <w:rsid w:val="00D200C9"/>
    <w:rsid w:val="00D21712"/>
    <w:rsid w:val="00D2298D"/>
    <w:rsid w:val="00D22C91"/>
    <w:rsid w:val="00D2324A"/>
    <w:rsid w:val="00D23904"/>
    <w:rsid w:val="00D23BA1"/>
    <w:rsid w:val="00D2442E"/>
    <w:rsid w:val="00D244DD"/>
    <w:rsid w:val="00D245A7"/>
    <w:rsid w:val="00D252B0"/>
    <w:rsid w:val="00D25F34"/>
    <w:rsid w:val="00D261AA"/>
    <w:rsid w:val="00D264D9"/>
    <w:rsid w:val="00D269FE"/>
    <w:rsid w:val="00D27190"/>
    <w:rsid w:val="00D30569"/>
    <w:rsid w:val="00D3092A"/>
    <w:rsid w:val="00D31E1D"/>
    <w:rsid w:val="00D329E4"/>
    <w:rsid w:val="00D3309B"/>
    <w:rsid w:val="00D33238"/>
    <w:rsid w:val="00D33436"/>
    <w:rsid w:val="00D33DA5"/>
    <w:rsid w:val="00D33EF3"/>
    <w:rsid w:val="00D34031"/>
    <w:rsid w:val="00D342E3"/>
    <w:rsid w:val="00D34B4D"/>
    <w:rsid w:val="00D34BB3"/>
    <w:rsid w:val="00D35754"/>
    <w:rsid w:val="00D36975"/>
    <w:rsid w:val="00D36ADD"/>
    <w:rsid w:val="00D36B21"/>
    <w:rsid w:val="00D36F79"/>
    <w:rsid w:val="00D37111"/>
    <w:rsid w:val="00D3715F"/>
    <w:rsid w:val="00D373BB"/>
    <w:rsid w:val="00D37640"/>
    <w:rsid w:val="00D37850"/>
    <w:rsid w:val="00D40CD3"/>
    <w:rsid w:val="00D41127"/>
    <w:rsid w:val="00D4115B"/>
    <w:rsid w:val="00D4241D"/>
    <w:rsid w:val="00D42A56"/>
    <w:rsid w:val="00D432B8"/>
    <w:rsid w:val="00D446FE"/>
    <w:rsid w:val="00D44EAA"/>
    <w:rsid w:val="00D454E8"/>
    <w:rsid w:val="00D45860"/>
    <w:rsid w:val="00D469FC"/>
    <w:rsid w:val="00D46C83"/>
    <w:rsid w:val="00D471D4"/>
    <w:rsid w:val="00D47981"/>
    <w:rsid w:val="00D47BBA"/>
    <w:rsid w:val="00D47E9C"/>
    <w:rsid w:val="00D47FD1"/>
    <w:rsid w:val="00D47FF6"/>
    <w:rsid w:val="00D5115F"/>
    <w:rsid w:val="00D513DA"/>
    <w:rsid w:val="00D52513"/>
    <w:rsid w:val="00D52566"/>
    <w:rsid w:val="00D52A28"/>
    <w:rsid w:val="00D52DAB"/>
    <w:rsid w:val="00D5363F"/>
    <w:rsid w:val="00D54499"/>
    <w:rsid w:val="00D55551"/>
    <w:rsid w:val="00D55ACA"/>
    <w:rsid w:val="00D55E15"/>
    <w:rsid w:val="00D5662B"/>
    <w:rsid w:val="00D56841"/>
    <w:rsid w:val="00D570C9"/>
    <w:rsid w:val="00D57866"/>
    <w:rsid w:val="00D57A83"/>
    <w:rsid w:val="00D57C79"/>
    <w:rsid w:val="00D57FFD"/>
    <w:rsid w:val="00D6034E"/>
    <w:rsid w:val="00D60522"/>
    <w:rsid w:val="00D60839"/>
    <w:rsid w:val="00D60DF7"/>
    <w:rsid w:val="00D61197"/>
    <w:rsid w:val="00D63E7A"/>
    <w:rsid w:val="00D6486D"/>
    <w:rsid w:val="00D64A88"/>
    <w:rsid w:val="00D6572E"/>
    <w:rsid w:val="00D65AB4"/>
    <w:rsid w:val="00D66206"/>
    <w:rsid w:val="00D66835"/>
    <w:rsid w:val="00D66A2F"/>
    <w:rsid w:val="00D6777E"/>
    <w:rsid w:val="00D70080"/>
    <w:rsid w:val="00D7058A"/>
    <w:rsid w:val="00D70A51"/>
    <w:rsid w:val="00D70EB7"/>
    <w:rsid w:val="00D71180"/>
    <w:rsid w:val="00D71AFC"/>
    <w:rsid w:val="00D72376"/>
    <w:rsid w:val="00D72A3D"/>
    <w:rsid w:val="00D7319C"/>
    <w:rsid w:val="00D73D4E"/>
    <w:rsid w:val="00D74218"/>
    <w:rsid w:val="00D7456B"/>
    <w:rsid w:val="00D74F18"/>
    <w:rsid w:val="00D75C99"/>
    <w:rsid w:val="00D75D6E"/>
    <w:rsid w:val="00D75FAE"/>
    <w:rsid w:val="00D76237"/>
    <w:rsid w:val="00D76B3B"/>
    <w:rsid w:val="00D76E92"/>
    <w:rsid w:val="00D772EA"/>
    <w:rsid w:val="00D7788F"/>
    <w:rsid w:val="00D77A0E"/>
    <w:rsid w:val="00D8048B"/>
    <w:rsid w:val="00D80D62"/>
    <w:rsid w:val="00D810FB"/>
    <w:rsid w:val="00D8114D"/>
    <w:rsid w:val="00D81AFF"/>
    <w:rsid w:val="00D82C87"/>
    <w:rsid w:val="00D83138"/>
    <w:rsid w:val="00D83773"/>
    <w:rsid w:val="00D84347"/>
    <w:rsid w:val="00D84C91"/>
    <w:rsid w:val="00D856F0"/>
    <w:rsid w:val="00D859C7"/>
    <w:rsid w:val="00D86A8A"/>
    <w:rsid w:val="00D876E5"/>
    <w:rsid w:val="00D877E9"/>
    <w:rsid w:val="00D87A27"/>
    <w:rsid w:val="00D87D7B"/>
    <w:rsid w:val="00D901A0"/>
    <w:rsid w:val="00D91049"/>
    <w:rsid w:val="00D915FC"/>
    <w:rsid w:val="00D91C27"/>
    <w:rsid w:val="00D9237E"/>
    <w:rsid w:val="00D92478"/>
    <w:rsid w:val="00D92BC6"/>
    <w:rsid w:val="00D92C2D"/>
    <w:rsid w:val="00D92EFA"/>
    <w:rsid w:val="00D9377A"/>
    <w:rsid w:val="00D94B3E"/>
    <w:rsid w:val="00D94FEE"/>
    <w:rsid w:val="00D9592D"/>
    <w:rsid w:val="00D95BCB"/>
    <w:rsid w:val="00D9658B"/>
    <w:rsid w:val="00D9664A"/>
    <w:rsid w:val="00D96F74"/>
    <w:rsid w:val="00D9751B"/>
    <w:rsid w:val="00D975E0"/>
    <w:rsid w:val="00DA13FD"/>
    <w:rsid w:val="00DA3673"/>
    <w:rsid w:val="00DA3859"/>
    <w:rsid w:val="00DA3A11"/>
    <w:rsid w:val="00DA429C"/>
    <w:rsid w:val="00DA4669"/>
    <w:rsid w:val="00DA4803"/>
    <w:rsid w:val="00DA49E9"/>
    <w:rsid w:val="00DA4B61"/>
    <w:rsid w:val="00DA4CA2"/>
    <w:rsid w:val="00DA6165"/>
    <w:rsid w:val="00DA61EB"/>
    <w:rsid w:val="00DB0F08"/>
    <w:rsid w:val="00DB11BF"/>
    <w:rsid w:val="00DB212C"/>
    <w:rsid w:val="00DB246D"/>
    <w:rsid w:val="00DB33B3"/>
    <w:rsid w:val="00DB3432"/>
    <w:rsid w:val="00DB403B"/>
    <w:rsid w:val="00DB4DE2"/>
    <w:rsid w:val="00DB601B"/>
    <w:rsid w:val="00DB6864"/>
    <w:rsid w:val="00DB718C"/>
    <w:rsid w:val="00DB76B4"/>
    <w:rsid w:val="00DB79C1"/>
    <w:rsid w:val="00DC03E3"/>
    <w:rsid w:val="00DC0485"/>
    <w:rsid w:val="00DC07B4"/>
    <w:rsid w:val="00DC102C"/>
    <w:rsid w:val="00DC1267"/>
    <w:rsid w:val="00DC177E"/>
    <w:rsid w:val="00DC2C2D"/>
    <w:rsid w:val="00DC2CD5"/>
    <w:rsid w:val="00DC2DEB"/>
    <w:rsid w:val="00DC391C"/>
    <w:rsid w:val="00DC3C61"/>
    <w:rsid w:val="00DC40C9"/>
    <w:rsid w:val="00DC4315"/>
    <w:rsid w:val="00DC5D4D"/>
    <w:rsid w:val="00DC6D52"/>
    <w:rsid w:val="00DC70BF"/>
    <w:rsid w:val="00DC7B44"/>
    <w:rsid w:val="00DC7F97"/>
    <w:rsid w:val="00DD00DC"/>
    <w:rsid w:val="00DD0DC3"/>
    <w:rsid w:val="00DD15A4"/>
    <w:rsid w:val="00DD17C8"/>
    <w:rsid w:val="00DD1BD6"/>
    <w:rsid w:val="00DD2124"/>
    <w:rsid w:val="00DD220F"/>
    <w:rsid w:val="00DD306B"/>
    <w:rsid w:val="00DD35A1"/>
    <w:rsid w:val="00DD36D0"/>
    <w:rsid w:val="00DD39BC"/>
    <w:rsid w:val="00DD4719"/>
    <w:rsid w:val="00DD4B78"/>
    <w:rsid w:val="00DD51A5"/>
    <w:rsid w:val="00DD5881"/>
    <w:rsid w:val="00DD665B"/>
    <w:rsid w:val="00DD706C"/>
    <w:rsid w:val="00DD7DB4"/>
    <w:rsid w:val="00DE0151"/>
    <w:rsid w:val="00DE0732"/>
    <w:rsid w:val="00DE0A45"/>
    <w:rsid w:val="00DE1153"/>
    <w:rsid w:val="00DE1215"/>
    <w:rsid w:val="00DE14DE"/>
    <w:rsid w:val="00DE1657"/>
    <w:rsid w:val="00DE1662"/>
    <w:rsid w:val="00DE1947"/>
    <w:rsid w:val="00DE21B7"/>
    <w:rsid w:val="00DE3407"/>
    <w:rsid w:val="00DE367B"/>
    <w:rsid w:val="00DE3CDF"/>
    <w:rsid w:val="00DE4A9D"/>
    <w:rsid w:val="00DE5284"/>
    <w:rsid w:val="00DE588D"/>
    <w:rsid w:val="00DE58E5"/>
    <w:rsid w:val="00DE5BDB"/>
    <w:rsid w:val="00DE5CA5"/>
    <w:rsid w:val="00DE603F"/>
    <w:rsid w:val="00DE6C3F"/>
    <w:rsid w:val="00DE6CFE"/>
    <w:rsid w:val="00DE6E73"/>
    <w:rsid w:val="00DE6FB1"/>
    <w:rsid w:val="00DE74BB"/>
    <w:rsid w:val="00DE756B"/>
    <w:rsid w:val="00DE7814"/>
    <w:rsid w:val="00DE796C"/>
    <w:rsid w:val="00DE7A64"/>
    <w:rsid w:val="00DF0DEC"/>
    <w:rsid w:val="00DF1576"/>
    <w:rsid w:val="00DF1D5C"/>
    <w:rsid w:val="00DF2B7F"/>
    <w:rsid w:val="00DF3074"/>
    <w:rsid w:val="00DF38D3"/>
    <w:rsid w:val="00DF3B48"/>
    <w:rsid w:val="00DF4878"/>
    <w:rsid w:val="00DF490D"/>
    <w:rsid w:val="00DF4BDF"/>
    <w:rsid w:val="00DF587A"/>
    <w:rsid w:val="00DF6E02"/>
    <w:rsid w:val="00DF7031"/>
    <w:rsid w:val="00DF7EA7"/>
    <w:rsid w:val="00E00561"/>
    <w:rsid w:val="00E00A98"/>
    <w:rsid w:val="00E0111C"/>
    <w:rsid w:val="00E0127C"/>
    <w:rsid w:val="00E01ADD"/>
    <w:rsid w:val="00E01E7D"/>
    <w:rsid w:val="00E0211E"/>
    <w:rsid w:val="00E02247"/>
    <w:rsid w:val="00E035FA"/>
    <w:rsid w:val="00E04B43"/>
    <w:rsid w:val="00E04DA9"/>
    <w:rsid w:val="00E05FA6"/>
    <w:rsid w:val="00E06014"/>
    <w:rsid w:val="00E061F5"/>
    <w:rsid w:val="00E06475"/>
    <w:rsid w:val="00E06BC4"/>
    <w:rsid w:val="00E072E8"/>
    <w:rsid w:val="00E07861"/>
    <w:rsid w:val="00E07ACD"/>
    <w:rsid w:val="00E07B1D"/>
    <w:rsid w:val="00E07BD5"/>
    <w:rsid w:val="00E07FA9"/>
    <w:rsid w:val="00E10E0D"/>
    <w:rsid w:val="00E11583"/>
    <w:rsid w:val="00E11595"/>
    <w:rsid w:val="00E11605"/>
    <w:rsid w:val="00E1266F"/>
    <w:rsid w:val="00E1281E"/>
    <w:rsid w:val="00E12C0A"/>
    <w:rsid w:val="00E1324B"/>
    <w:rsid w:val="00E133D0"/>
    <w:rsid w:val="00E13600"/>
    <w:rsid w:val="00E1388E"/>
    <w:rsid w:val="00E13B7B"/>
    <w:rsid w:val="00E1452F"/>
    <w:rsid w:val="00E15832"/>
    <w:rsid w:val="00E15BD7"/>
    <w:rsid w:val="00E15E69"/>
    <w:rsid w:val="00E16109"/>
    <w:rsid w:val="00E17F55"/>
    <w:rsid w:val="00E205E8"/>
    <w:rsid w:val="00E20887"/>
    <w:rsid w:val="00E21230"/>
    <w:rsid w:val="00E21449"/>
    <w:rsid w:val="00E214C4"/>
    <w:rsid w:val="00E218E5"/>
    <w:rsid w:val="00E21C0B"/>
    <w:rsid w:val="00E21E6F"/>
    <w:rsid w:val="00E220D1"/>
    <w:rsid w:val="00E23406"/>
    <w:rsid w:val="00E24567"/>
    <w:rsid w:val="00E24F29"/>
    <w:rsid w:val="00E25203"/>
    <w:rsid w:val="00E2528F"/>
    <w:rsid w:val="00E269CF"/>
    <w:rsid w:val="00E26A64"/>
    <w:rsid w:val="00E271AE"/>
    <w:rsid w:val="00E272F3"/>
    <w:rsid w:val="00E27779"/>
    <w:rsid w:val="00E278C6"/>
    <w:rsid w:val="00E27986"/>
    <w:rsid w:val="00E27DCA"/>
    <w:rsid w:val="00E30090"/>
    <w:rsid w:val="00E3092F"/>
    <w:rsid w:val="00E31DF0"/>
    <w:rsid w:val="00E32A1C"/>
    <w:rsid w:val="00E348F6"/>
    <w:rsid w:val="00E349EE"/>
    <w:rsid w:val="00E350DD"/>
    <w:rsid w:val="00E3510B"/>
    <w:rsid w:val="00E35BF1"/>
    <w:rsid w:val="00E368DB"/>
    <w:rsid w:val="00E37D69"/>
    <w:rsid w:val="00E400A8"/>
    <w:rsid w:val="00E40F8A"/>
    <w:rsid w:val="00E41234"/>
    <w:rsid w:val="00E41962"/>
    <w:rsid w:val="00E4243F"/>
    <w:rsid w:val="00E4276F"/>
    <w:rsid w:val="00E443F6"/>
    <w:rsid w:val="00E46019"/>
    <w:rsid w:val="00E460A0"/>
    <w:rsid w:val="00E4658E"/>
    <w:rsid w:val="00E46745"/>
    <w:rsid w:val="00E46825"/>
    <w:rsid w:val="00E4722E"/>
    <w:rsid w:val="00E50525"/>
    <w:rsid w:val="00E518C1"/>
    <w:rsid w:val="00E51DE1"/>
    <w:rsid w:val="00E5449F"/>
    <w:rsid w:val="00E5596E"/>
    <w:rsid w:val="00E55C5C"/>
    <w:rsid w:val="00E56596"/>
    <w:rsid w:val="00E5662C"/>
    <w:rsid w:val="00E5691C"/>
    <w:rsid w:val="00E56AE8"/>
    <w:rsid w:val="00E57903"/>
    <w:rsid w:val="00E57FCB"/>
    <w:rsid w:val="00E609B3"/>
    <w:rsid w:val="00E61096"/>
    <w:rsid w:val="00E61487"/>
    <w:rsid w:val="00E6150A"/>
    <w:rsid w:val="00E615C7"/>
    <w:rsid w:val="00E624E6"/>
    <w:rsid w:val="00E62D5C"/>
    <w:rsid w:val="00E636C0"/>
    <w:rsid w:val="00E637F9"/>
    <w:rsid w:val="00E649FE"/>
    <w:rsid w:val="00E64A59"/>
    <w:rsid w:val="00E65214"/>
    <w:rsid w:val="00E659DF"/>
    <w:rsid w:val="00E6637B"/>
    <w:rsid w:val="00E66E46"/>
    <w:rsid w:val="00E67276"/>
    <w:rsid w:val="00E67410"/>
    <w:rsid w:val="00E70385"/>
    <w:rsid w:val="00E70BD7"/>
    <w:rsid w:val="00E725EE"/>
    <w:rsid w:val="00E72C47"/>
    <w:rsid w:val="00E72DB2"/>
    <w:rsid w:val="00E72FF6"/>
    <w:rsid w:val="00E733CA"/>
    <w:rsid w:val="00E742F0"/>
    <w:rsid w:val="00E761EF"/>
    <w:rsid w:val="00E76B09"/>
    <w:rsid w:val="00E76CA7"/>
    <w:rsid w:val="00E778EE"/>
    <w:rsid w:val="00E77A3D"/>
    <w:rsid w:val="00E80723"/>
    <w:rsid w:val="00E81473"/>
    <w:rsid w:val="00E81EC3"/>
    <w:rsid w:val="00E821C0"/>
    <w:rsid w:val="00E82920"/>
    <w:rsid w:val="00E83410"/>
    <w:rsid w:val="00E83CA3"/>
    <w:rsid w:val="00E85774"/>
    <w:rsid w:val="00E860E2"/>
    <w:rsid w:val="00E86E64"/>
    <w:rsid w:val="00E875DC"/>
    <w:rsid w:val="00E90D5D"/>
    <w:rsid w:val="00E90FEF"/>
    <w:rsid w:val="00E91002"/>
    <w:rsid w:val="00E924B7"/>
    <w:rsid w:val="00E92978"/>
    <w:rsid w:val="00E93DE7"/>
    <w:rsid w:val="00E93F0D"/>
    <w:rsid w:val="00E93FA4"/>
    <w:rsid w:val="00E9432E"/>
    <w:rsid w:val="00E950AE"/>
    <w:rsid w:val="00E954C1"/>
    <w:rsid w:val="00E957D5"/>
    <w:rsid w:val="00E95979"/>
    <w:rsid w:val="00E95C20"/>
    <w:rsid w:val="00E96165"/>
    <w:rsid w:val="00E96247"/>
    <w:rsid w:val="00E966F6"/>
    <w:rsid w:val="00E96B9F"/>
    <w:rsid w:val="00E9720F"/>
    <w:rsid w:val="00EA074F"/>
    <w:rsid w:val="00EA0CA1"/>
    <w:rsid w:val="00EA0FDF"/>
    <w:rsid w:val="00EA269D"/>
    <w:rsid w:val="00EA2835"/>
    <w:rsid w:val="00EA30DD"/>
    <w:rsid w:val="00EA3179"/>
    <w:rsid w:val="00EA3AC9"/>
    <w:rsid w:val="00EA4148"/>
    <w:rsid w:val="00EA47B5"/>
    <w:rsid w:val="00EA7774"/>
    <w:rsid w:val="00EB0519"/>
    <w:rsid w:val="00EB07AB"/>
    <w:rsid w:val="00EB1C98"/>
    <w:rsid w:val="00EB31D9"/>
    <w:rsid w:val="00EB333A"/>
    <w:rsid w:val="00EB3402"/>
    <w:rsid w:val="00EB350B"/>
    <w:rsid w:val="00EB3526"/>
    <w:rsid w:val="00EB3663"/>
    <w:rsid w:val="00EB46B3"/>
    <w:rsid w:val="00EB4822"/>
    <w:rsid w:val="00EB4969"/>
    <w:rsid w:val="00EB49F7"/>
    <w:rsid w:val="00EB5382"/>
    <w:rsid w:val="00EB5A0F"/>
    <w:rsid w:val="00EB6449"/>
    <w:rsid w:val="00EB6B32"/>
    <w:rsid w:val="00EB7017"/>
    <w:rsid w:val="00EB7274"/>
    <w:rsid w:val="00EB7B19"/>
    <w:rsid w:val="00EC025F"/>
    <w:rsid w:val="00EC0423"/>
    <w:rsid w:val="00EC1014"/>
    <w:rsid w:val="00EC2138"/>
    <w:rsid w:val="00EC2F7C"/>
    <w:rsid w:val="00EC31CD"/>
    <w:rsid w:val="00EC3244"/>
    <w:rsid w:val="00EC3A34"/>
    <w:rsid w:val="00EC45A1"/>
    <w:rsid w:val="00EC4882"/>
    <w:rsid w:val="00EC4E47"/>
    <w:rsid w:val="00EC5421"/>
    <w:rsid w:val="00EC546C"/>
    <w:rsid w:val="00EC5572"/>
    <w:rsid w:val="00EC5C9F"/>
    <w:rsid w:val="00EC6B09"/>
    <w:rsid w:val="00EC701C"/>
    <w:rsid w:val="00EC7852"/>
    <w:rsid w:val="00EC7BE8"/>
    <w:rsid w:val="00EC7C39"/>
    <w:rsid w:val="00ED12C1"/>
    <w:rsid w:val="00ED189C"/>
    <w:rsid w:val="00ED323A"/>
    <w:rsid w:val="00ED387B"/>
    <w:rsid w:val="00ED3A5D"/>
    <w:rsid w:val="00ED421E"/>
    <w:rsid w:val="00ED447B"/>
    <w:rsid w:val="00ED51C4"/>
    <w:rsid w:val="00ED5668"/>
    <w:rsid w:val="00ED5823"/>
    <w:rsid w:val="00ED769E"/>
    <w:rsid w:val="00ED7BA7"/>
    <w:rsid w:val="00ED7D08"/>
    <w:rsid w:val="00ED7FF3"/>
    <w:rsid w:val="00EE07F4"/>
    <w:rsid w:val="00EE0AC7"/>
    <w:rsid w:val="00EE0FDA"/>
    <w:rsid w:val="00EE1305"/>
    <w:rsid w:val="00EE1A85"/>
    <w:rsid w:val="00EE1CF2"/>
    <w:rsid w:val="00EE267B"/>
    <w:rsid w:val="00EE33C0"/>
    <w:rsid w:val="00EE33C1"/>
    <w:rsid w:val="00EE3454"/>
    <w:rsid w:val="00EE3574"/>
    <w:rsid w:val="00EE4230"/>
    <w:rsid w:val="00EE4309"/>
    <w:rsid w:val="00EE4C73"/>
    <w:rsid w:val="00EE537E"/>
    <w:rsid w:val="00EE7823"/>
    <w:rsid w:val="00EE796C"/>
    <w:rsid w:val="00EF07CE"/>
    <w:rsid w:val="00EF14C9"/>
    <w:rsid w:val="00EF1EED"/>
    <w:rsid w:val="00EF1F4A"/>
    <w:rsid w:val="00EF1F4D"/>
    <w:rsid w:val="00EF2D36"/>
    <w:rsid w:val="00EF2F26"/>
    <w:rsid w:val="00EF3A80"/>
    <w:rsid w:val="00EF3DD0"/>
    <w:rsid w:val="00EF402A"/>
    <w:rsid w:val="00EF40EB"/>
    <w:rsid w:val="00EF41D2"/>
    <w:rsid w:val="00EF45A6"/>
    <w:rsid w:val="00EF5180"/>
    <w:rsid w:val="00EF51B4"/>
    <w:rsid w:val="00EF5DE7"/>
    <w:rsid w:val="00EF5E09"/>
    <w:rsid w:val="00EF6FCE"/>
    <w:rsid w:val="00EF7095"/>
    <w:rsid w:val="00F00125"/>
    <w:rsid w:val="00F011B4"/>
    <w:rsid w:val="00F013C6"/>
    <w:rsid w:val="00F01F40"/>
    <w:rsid w:val="00F0201F"/>
    <w:rsid w:val="00F02FA7"/>
    <w:rsid w:val="00F031D0"/>
    <w:rsid w:val="00F04161"/>
    <w:rsid w:val="00F043B0"/>
    <w:rsid w:val="00F0480F"/>
    <w:rsid w:val="00F048E8"/>
    <w:rsid w:val="00F04C83"/>
    <w:rsid w:val="00F05311"/>
    <w:rsid w:val="00F05590"/>
    <w:rsid w:val="00F05898"/>
    <w:rsid w:val="00F05BB8"/>
    <w:rsid w:val="00F1166E"/>
    <w:rsid w:val="00F11A77"/>
    <w:rsid w:val="00F11CE9"/>
    <w:rsid w:val="00F1253E"/>
    <w:rsid w:val="00F13264"/>
    <w:rsid w:val="00F14F7E"/>
    <w:rsid w:val="00F153DB"/>
    <w:rsid w:val="00F15916"/>
    <w:rsid w:val="00F15FBA"/>
    <w:rsid w:val="00F17062"/>
    <w:rsid w:val="00F173B6"/>
    <w:rsid w:val="00F17890"/>
    <w:rsid w:val="00F17A7C"/>
    <w:rsid w:val="00F17AF0"/>
    <w:rsid w:val="00F203A9"/>
    <w:rsid w:val="00F2071B"/>
    <w:rsid w:val="00F209D3"/>
    <w:rsid w:val="00F210FB"/>
    <w:rsid w:val="00F211E9"/>
    <w:rsid w:val="00F21679"/>
    <w:rsid w:val="00F21D22"/>
    <w:rsid w:val="00F21E0C"/>
    <w:rsid w:val="00F220A2"/>
    <w:rsid w:val="00F22143"/>
    <w:rsid w:val="00F2265D"/>
    <w:rsid w:val="00F2272B"/>
    <w:rsid w:val="00F2300F"/>
    <w:rsid w:val="00F231B1"/>
    <w:rsid w:val="00F2367E"/>
    <w:rsid w:val="00F23985"/>
    <w:rsid w:val="00F24893"/>
    <w:rsid w:val="00F25A71"/>
    <w:rsid w:val="00F25EB5"/>
    <w:rsid w:val="00F25FED"/>
    <w:rsid w:val="00F26677"/>
    <w:rsid w:val="00F26BD5"/>
    <w:rsid w:val="00F2734A"/>
    <w:rsid w:val="00F2758B"/>
    <w:rsid w:val="00F27943"/>
    <w:rsid w:val="00F27B35"/>
    <w:rsid w:val="00F27D96"/>
    <w:rsid w:val="00F3141D"/>
    <w:rsid w:val="00F315EB"/>
    <w:rsid w:val="00F319CC"/>
    <w:rsid w:val="00F31A32"/>
    <w:rsid w:val="00F31C17"/>
    <w:rsid w:val="00F31C90"/>
    <w:rsid w:val="00F32032"/>
    <w:rsid w:val="00F32082"/>
    <w:rsid w:val="00F32921"/>
    <w:rsid w:val="00F32D30"/>
    <w:rsid w:val="00F3350C"/>
    <w:rsid w:val="00F339D3"/>
    <w:rsid w:val="00F33BC3"/>
    <w:rsid w:val="00F34635"/>
    <w:rsid w:val="00F34B00"/>
    <w:rsid w:val="00F34E13"/>
    <w:rsid w:val="00F3519F"/>
    <w:rsid w:val="00F353BE"/>
    <w:rsid w:val="00F35B37"/>
    <w:rsid w:val="00F36544"/>
    <w:rsid w:val="00F36A43"/>
    <w:rsid w:val="00F373DB"/>
    <w:rsid w:val="00F37427"/>
    <w:rsid w:val="00F405F6"/>
    <w:rsid w:val="00F40693"/>
    <w:rsid w:val="00F41BD3"/>
    <w:rsid w:val="00F437D5"/>
    <w:rsid w:val="00F439D8"/>
    <w:rsid w:val="00F43DBF"/>
    <w:rsid w:val="00F43F2D"/>
    <w:rsid w:val="00F43F2F"/>
    <w:rsid w:val="00F444F7"/>
    <w:rsid w:val="00F44629"/>
    <w:rsid w:val="00F44833"/>
    <w:rsid w:val="00F44AFD"/>
    <w:rsid w:val="00F46D43"/>
    <w:rsid w:val="00F46F3B"/>
    <w:rsid w:val="00F47DDD"/>
    <w:rsid w:val="00F51039"/>
    <w:rsid w:val="00F5122B"/>
    <w:rsid w:val="00F512B0"/>
    <w:rsid w:val="00F51568"/>
    <w:rsid w:val="00F51F3E"/>
    <w:rsid w:val="00F51FC3"/>
    <w:rsid w:val="00F53BFB"/>
    <w:rsid w:val="00F558F2"/>
    <w:rsid w:val="00F55BDA"/>
    <w:rsid w:val="00F55C10"/>
    <w:rsid w:val="00F56550"/>
    <w:rsid w:val="00F56B1C"/>
    <w:rsid w:val="00F56CD7"/>
    <w:rsid w:val="00F570BC"/>
    <w:rsid w:val="00F60D5A"/>
    <w:rsid w:val="00F60EF1"/>
    <w:rsid w:val="00F6139C"/>
    <w:rsid w:val="00F6158F"/>
    <w:rsid w:val="00F61833"/>
    <w:rsid w:val="00F61C2F"/>
    <w:rsid w:val="00F628D5"/>
    <w:rsid w:val="00F6386A"/>
    <w:rsid w:val="00F63FF9"/>
    <w:rsid w:val="00F64C36"/>
    <w:rsid w:val="00F6520A"/>
    <w:rsid w:val="00F652DB"/>
    <w:rsid w:val="00F66242"/>
    <w:rsid w:val="00F66578"/>
    <w:rsid w:val="00F6678B"/>
    <w:rsid w:val="00F7003C"/>
    <w:rsid w:val="00F70158"/>
    <w:rsid w:val="00F70AF6"/>
    <w:rsid w:val="00F70C74"/>
    <w:rsid w:val="00F70E9F"/>
    <w:rsid w:val="00F71113"/>
    <w:rsid w:val="00F713D1"/>
    <w:rsid w:val="00F729F2"/>
    <w:rsid w:val="00F72B39"/>
    <w:rsid w:val="00F738D7"/>
    <w:rsid w:val="00F73FCD"/>
    <w:rsid w:val="00F741EE"/>
    <w:rsid w:val="00F7425B"/>
    <w:rsid w:val="00F74CAB"/>
    <w:rsid w:val="00F74EE8"/>
    <w:rsid w:val="00F7502D"/>
    <w:rsid w:val="00F75FB5"/>
    <w:rsid w:val="00F76B50"/>
    <w:rsid w:val="00F7735C"/>
    <w:rsid w:val="00F77991"/>
    <w:rsid w:val="00F77F43"/>
    <w:rsid w:val="00F80017"/>
    <w:rsid w:val="00F80835"/>
    <w:rsid w:val="00F80B5F"/>
    <w:rsid w:val="00F8150C"/>
    <w:rsid w:val="00F818D3"/>
    <w:rsid w:val="00F81F6D"/>
    <w:rsid w:val="00F833A5"/>
    <w:rsid w:val="00F833B1"/>
    <w:rsid w:val="00F83A06"/>
    <w:rsid w:val="00F83D81"/>
    <w:rsid w:val="00F83FC9"/>
    <w:rsid w:val="00F84623"/>
    <w:rsid w:val="00F8508F"/>
    <w:rsid w:val="00F863C3"/>
    <w:rsid w:val="00F86512"/>
    <w:rsid w:val="00F86E9D"/>
    <w:rsid w:val="00F87231"/>
    <w:rsid w:val="00F87501"/>
    <w:rsid w:val="00F8765D"/>
    <w:rsid w:val="00F87B4F"/>
    <w:rsid w:val="00F87F62"/>
    <w:rsid w:val="00F907A2"/>
    <w:rsid w:val="00F90A76"/>
    <w:rsid w:val="00F91027"/>
    <w:rsid w:val="00F911B3"/>
    <w:rsid w:val="00F912C4"/>
    <w:rsid w:val="00F91589"/>
    <w:rsid w:val="00F91C2F"/>
    <w:rsid w:val="00F922C4"/>
    <w:rsid w:val="00F922C5"/>
    <w:rsid w:val="00F92A61"/>
    <w:rsid w:val="00F92C77"/>
    <w:rsid w:val="00F92D55"/>
    <w:rsid w:val="00F92F58"/>
    <w:rsid w:val="00F94297"/>
    <w:rsid w:val="00F947AF"/>
    <w:rsid w:val="00F9497A"/>
    <w:rsid w:val="00F9549D"/>
    <w:rsid w:val="00F957BE"/>
    <w:rsid w:val="00F95897"/>
    <w:rsid w:val="00F96273"/>
    <w:rsid w:val="00F963FC"/>
    <w:rsid w:val="00F9689A"/>
    <w:rsid w:val="00F97B7D"/>
    <w:rsid w:val="00FA04C3"/>
    <w:rsid w:val="00FA0827"/>
    <w:rsid w:val="00FA0D27"/>
    <w:rsid w:val="00FA1F5D"/>
    <w:rsid w:val="00FA2110"/>
    <w:rsid w:val="00FA2765"/>
    <w:rsid w:val="00FA29ED"/>
    <w:rsid w:val="00FA2AEF"/>
    <w:rsid w:val="00FA308F"/>
    <w:rsid w:val="00FA419A"/>
    <w:rsid w:val="00FA43C0"/>
    <w:rsid w:val="00FA442B"/>
    <w:rsid w:val="00FA529B"/>
    <w:rsid w:val="00FA5D8C"/>
    <w:rsid w:val="00FA5F5A"/>
    <w:rsid w:val="00FA6474"/>
    <w:rsid w:val="00FA6679"/>
    <w:rsid w:val="00FA7B9B"/>
    <w:rsid w:val="00FB0BD2"/>
    <w:rsid w:val="00FB0CCF"/>
    <w:rsid w:val="00FB12BB"/>
    <w:rsid w:val="00FB1F0B"/>
    <w:rsid w:val="00FB295F"/>
    <w:rsid w:val="00FB2CCF"/>
    <w:rsid w:val="00FB3953"/>
    <w:rsid w:val="00FB3966"/>
    <w:rsid w:val="00FB627F"/>
    <w:rsid w:val="00FB64A4"/>
    <w:rsid w:val="00FB6852"/>
    <w:rsid w:val="00FC015D"/>
    <w:rsid w:val="00FC0B20"/>
    <w:rsid w:val="00FC0D21"/>
    <w:rsid w:val="00FC1022"/>
    <w:rsid w:val="00FC10BE"/>
    <w:rsid w:val="00FC18A7"/>
    <w:rsid w:val="00FC24F6"/>
    <w:rsid w:val="00FC3141"/>
    <w:rsid w:val="00FC34C0"/>
    <w:rsid w:val="00FC3A86"/>
    <w:rsid w:val="00FC3ABF"/>
    <w:rsid w:val="00FC3E34"/>
    <w:rsid w:val="00FC3FAD"/>
    <w:rsid w:val="00FC44AE"/>
    <w:rsid w:val="00FC562A"/>
    <w:rsid w:val="00FC5CE1"/>
    <w:rsid w:val="00FC6BC7"/>
    <w:rsid w:val="00FC75F7"/>
    <w:rsid w:val="00FC7A8D"/>
    <w:rsid w:val="00FC7D71"/>
    <w:rsid w:val="00FD10BB"/>
    <w:rsid w:val="00FD1152"/>
    <w:rsid w:val="00FD1265"/>
    <w:rsid w:val="00FD2432"/>
    <w:rsid w:val="00FD27BE"/>
    <w:rsid w:val="00FD27EE"/>
    <w:rsid w:val="00FD30C6"/>
    <w:rsid w:val="00FD39BE"/>
    <w:rsid w:val="00FD4088"/>
    <w:rsid w:val="00FD4467"/>
    <w:rsid w:val="00FD44A8"/>
    <w:rsid w:val="00FD49BC"/>
    <w:rsid w:val="00FD4E1F"/>
    <w:rsid w:val="00FD5137"/>
    <w:rsid w:val="00FD6C23"/>
    <w:rsid w:val="00FE0AE8"/>
    <w:rsid w:val="00FE0C4F"/>
    <w:rsid w:val="00FE11EF"/>
    <w:rsid w:val="00FE2297"/>
    <w:rsid w:val="00FE2DEF"/>
    <w:rsid w:val="00FE4060"/>
    <w:rsid w:val="00FE4931"/>
    <w:rsid w:val="00FE532F"/>
    <w:rsid w:val="00FE5694"/>
    <w:rsid w:val="00FE57AA"/>
    <w:rsid w:val="00FE5B09"/>
    <w:rsid w:val="00FE6578"/>
    <w:rsid w:val="00FE68D4"/>
    <w:rsid w:val="00FE7722"/>
    <w:rsid w:val="00FE79A2"/>
    <w:rsid w:val="00FF0A6C"/>
    <w:rsid w:val="00FF0B8E"/>
    <w:rsid w:val="00FF1376"/>
    <w:rsid w:val="00FF1871"/>
    <w:rsid w:val="00FF1F0B"/>
    <w:rsid w:val="00FF25C2"/>
    <w:rsid w:val="00FF2820"/>
    <w:rsid w:val="00FF2D23"/>
    <w:rsid w:val="00FF473F"/>
    <w:rsid w:val="00FF4E59"/>
    <w:rsid w:val="00FF4F56"/>
    <w:rsid w:val="00FF5730"/>
    <w:rsid w:val="00FF5C0A"/>
    <w:rsid w:val="00FF64CF"/>
    <w:rsid w:val="00FF6E19"/>
    <w:rsid w:val="00FF7E6A"/>
    <w:rsid w:val="0151BD98"/>
    <w:rsid w:val="015D0EF2"/>
    <w:rsid w:val="03526F40"/>
    <w:rsid w:val="03726088"/>
    <w:rsid w:val="081327DD"/>
    <w:rsid w:val="0A75EF85"/>
    <w:rsid w:val="0ADCC4AA"/>
    <w:rsid w:val="0D25B790"/>
    <w:rsid w:val="0EC71337"/>
    <w:rsid w:val="0F8D28A7"/>
    <w:rsid w:val="12AD7FFD"/>
    <w:rsid w:val="138B57EC"/>
    <w:rsid w:val="173B4A30"/>
    <w:rsid w:val="1AB055E0"/>
    <w:rsid w:val="1FC1CD86"/>
    <w:rsid w:val="20C76D60"/>
    <w:rsid w:val="228D3B53"/>
    <w:rsid w:val="286AD95C"/>
    <w:rsid w:val="29F076B8"/>
    <w:rsid w:val="2C11FB7F"/>
    <w:rsid w:val="2D99D4FD"/>
    <w:rsid w:val="311C1D17"/>
    <w:rsid w:val="319009C6"/>
    <w:rsid w:val="31F89345"/>
    <w:rsid w:val="36ED31D9"/>
    <w:rsid w:val="3811EDF6"/>
    <w:rsid w:val="38555438"/>
    <w:rsid w:val="3C1DD911"/>
    <w:rsid w:val="3E503650"/>
    <w:rsid w:val="42B7747E"/>
    <w:rsid w:val="43095026"/>
    <w:rsid w:val="4428C600"/>
    <w:rsid w:val="45351962"/>
    <w:rsid w:val="49C16802"/>
    <w:rsid w:val="4F2DC519"/>
    <w:rsid w:val="4FD9D5B0"/>
    <w:rsid w:val="56E0EF18"/>
    <w:rsid w:val="5ACB3CB1"/>
    <w:rsid w:val="6283772B"/>
    <w:rsid w:val="64F1F49C"/>
    <w:rsid w:val="656B4F4E"/>
    <w:rsid w:val="6BBAAC76"/>
    <w:rsid w:val="6BC98950"/>
    <w:rsid w:val="6D103618"/>
    <w:rsid w:val="712C8E22"/>
    <w:rsid w:val="71E3A73B"/>
    <w:rsid w:val="75B94D81"/>
    <w:rsid w:val="76F82D86"/>
    <w:rsid w:val="7843BC51"/>
    <w:rsid w:val="7B4E75E6"/>
    <w:rsid w:val="7EC5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06D8B"/>
  <w15:docId w15:val="{E2F7F354-7D50-44CE-9BBC-39D3CA24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lsdException w:name="heading 4" w:semiHidden="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11E"/>
    <w:pPr>
      <w:spacing w:after="60" w:line="276" w:lineRule="auto"/>
      <w:jc w:val="both"/>
    </w:pPr>
    <w:rPr>
      <w:rFonts w:ascii="Calibri" w:hAnsi="Calibri"/>
      <w:color w:val="000000" w:themeColor="text1"/>
      <w:sz w:val="20"/>
      <w:lang w:val="en-GB"/>
    </w:rPr>
  </w:style>
  <w:style w:type="paragraph" w:styleId="Heading1">
    <w:name w:val="heading 1"/>
    <w:basedOn w:val="Normal"/>
    <w:next w:val="Normal"/>
    <w:link w:val="Heading1Char"/>
    <w:uiPriority w:val="1"/>
    <w:qFormat/>
    <w:rsid w:val="002415B3"/>
    <w:pPr>
      <w:keepNext/>
      <w:pBdr>
        <w:top w:val="single" w:sz="4" w:space="1" w:color="auto" w:shadow="1"/>
        <w:left w:val="single" w:sz="4" w:space="4" w:color="auto" w:shadow="1"/>
        <w:bottom w:val="single" w:sz="4" w:space="1" w:color="auto" w:shadow="1"/>
        <w:right w:val="single" w:sz="4" w:space="4" w:color="auto" w:shadow="1"/>
      </w:pBdr>
      <w:shd w:val="clear" w:color="auto" w:fill="33CCCC"/>
      <w:jc w:val="center"/>
      <w:outlineLvl w:val="0"/>
    </w:pPr>
    <w:rPr>
      <w:rFonts w:ascii="Times New Roman" w:eastAsia="Times New Roman" w:hAnsi="Times New Roman" w:cs="Times New Roman"/>
      <w:color w:val="333399"/>
      <w:spacing w:val="20"/>
      <w:sz w:val="28"/>
    </w:rPr>
  </w:style>
  <w:style w:type="paragraph" w:styleId="Heading2">
    <w:name w:val="heading 2"/>
    <w:basedOn w:val="Normal"/>
    <w:next w:val="Normal"/>
    <w:link w:val="Heading2Char"/>
    <w:uiPriority w:val="1"/>
    <w:qFormat/>
    <w:rsid w:val="002415B3"/>
    <w:pPr>
      <w:keepNext/>
      <w:tabs>
        <w:tab w:val="left" w:pos="360"/>
        <w:tab w:val="left" w:pos="7740"/>
      </w:tabs>
      <w:outlineLvl w:val="1"/>
    </w:pPr>
    <w:rPr>
      <w:rFonts w:ascii="Times New Roman" w:eastAsia="Times New Roman" w:hAnsi="Times New Roman" w:cs="Times New Roman"/>
      <w:b/>
      <w:bCs/>
      <w:sz w:val="28"/>
    </w:rPr>
  </w:style>
  <w:style w:type="paragraph" w:styleId="Heading3">
    <w:name w:val="heading 3"/>
    <w:basedOn w:val="Normal"/>
    <w:next w:val="Normal"/>
    <w:link w:val="Heading3Char"/>
    <w:rsid w:val="002415B3"/>
    <w:pPr>
      <w:keepNext/>
      <w:pBdr>
        <w:top w:val="single" w:sz="4" w:space="1" w:color="auto" w:shadow="1"/>
        <w:left w:val="single" w:sz="4" w:space="4" w:color="auto" w:shadow="1"/>
        <w:bottom w:val="single" w:sz="4" w:space="1" w:color="auto" w:shadow="1"/>
        <w:right w:val="single" w:sz="4" w:space="4" w:color="auto" w:shadow="1"/>
      </w:pBdr>
      <w:shd w:val="clear" w:color="auto" w:fill="33CCCC"/>
      <w:tabs>
        <w:tab w:val="left" w:pos="360"/>
        <w:tab w:val="left" w:pos="7020"/>
      </w:tabs>
      <w:jc w:val="center"/>
      <w:outlineLvl w:val="2"/>
    </w:pPr>
    <w:rPr>
      <w:rFonts w:ascii="Times New Roman" w:eastAsia="Times New Roman" w:hAnsi="Times New Roman" w:cs="Times New Roman"/>
      <w:color w:val="333399"/>
      <w:spacing w:val="20"/>
      <w:sz w:val="40"/>
    </w:rPr>
  </w:style>
  <w:style w:type="paragraph" w:styleId="Heading4">
    <w:name w:val="heading 4"/>
    <w:basedOn w:val="Normal"/>
    <w:next w:val="Normal"/>
    <w:link w:val="Heading4Char"/>
    <w:uiPriority w:val="99"/>
    <w:rsid w:val="002415B3"/>
    <w:pPr>
      <w:keepNext/>
      <w:outlineLvl w:val="3"/>
    </w:pPr>
    <w:rPr>
      <w:rFonts w:ascii="Times New Roman" w:eastAsia="Times New Roman" w:hAnsi="Times New Roman" w:cs="Times New Roman"/>
      <w:b/>
      <w:bCs/>
      <w:color w:val="333399"/>
    </w:rPr>
  </w:style>
  <w:style w:type="paragraph" w:styleId="Heading5">
    <w:name w:val="heading 5"/>
    <w:basedOn w:val="Normal"/>
    <w:next w:val="Normal"/>
    <w:link w:val="Heading5Char"/>
    <w:rsid w:val="002415B3"/>
    <w:pPr>
      <w:keepNext/>
      <w:outlineLvl w:val="4"/>
    </w:pPr>
    <w:rPr>
      <w:rFonts w:ascii="Times New Roman" w:eastAsia="Times New Roman" w:hAnsi="Times New Roman" w:cs="Times New Roman"/>
      <w:b/>
      <w:bCs/>
      <w:color w:val="333399"/>
    </w:rPr>
  </w:style>
  <w:style w:type="paragraph" w:styleId="Heading6">
    <w:name w:val="heading 6"/>
    <w:basedOn w:val="Normal"/>
    <w:next w:val="Normal"/>
    <w:link w:val="Heading6Char"/>
    <w:rsid w:val="002415B3"/>
    <w:pPr>
      <w:keepNext/>
      <w:outlineLvl w:val="5"/>
    </w:pPr>
    <w:rPr>
      <w:rFonts w:ascii="Times New Roman" w:eastAsia="Times New Roman" w:hAnsi="Times New Roman" w:cs="Times New Roman"/>
      <w:u w:val="single"/>
    </w:rPr>
  </w:style>
  <w:style w:type="paragraph" w:styleId="Heading7">
    <w:name w:val="heading 7"/>
    <w:basedOn w:val="Normal"/>
    <w:next w:val="Normal"/>
    <w:link w:val="Heading7Char"/>
    <w:rsid w:val="002415B3"/>
    <w:pPr>
      <w:keepNext/>
      <w:pBdr>
        <w:top w:val="single" w:sz="4" w:space="1" w:color="auto" w:shadow="1"/>
        <w:left w:val="single" w:sz="4" w:space="4" w:color="auto" w:shadow="1"/>
        <w:bottom w:val="single" w:sz="4" w:space="1" w:color="auto" w:shadow="1"/>
        <w:right w:val="single" w:sz="4" w:space="4" w:color="auto" w:shadow="1"/>
      </w:pBdr>
      <w:shd w:val="clear" w:color="auto" w:fill="33CCCC"/>
      <w:tabs>
        <w:tab w:val="left" w:pos="0"/>
        <w:tab w:val="left" w:pos="900"/>
      </w:tabs>
      <w:jc w:val="center"/>
      <w:outlineLvl w:val="6"/>
    </w:pPr>
    <w:rPr>
      <w:rFonts w:ascii="Times New Roman" w:eastAsia="Times New Roman" w:hAnsi="Times New Roman" w:cs="Times New Roman"/>
      <w:b/>
      <w:bCs/>
      <w:color w:val="333399"/>
      <w:sz w:val="28"/>
    </w:rPr>
  </w:style>
  <w:style w:type="paragraph" w:styleId="Heading8">
    <w:name w:val="heading 8"/>
    <w:basedOn w:val="Normal"/>
    <w:next w:val="Normal"/>
    <w:link w:val="Heading8Char"/>
    <w:rsid w:val="002415B3"/>
    <w:pPr>
      <w:keepNext/>
      <w:tabs>
        <w:tab w:val="left" w:pos="0"/>
        <w:tab w:val="left" w:pos="900"/>
      </w:tabs>
      <w:outlineLvl w:val="7"/>
    </w:pPr>
    <w:rPr>
      <w:rFonts w:ascii="Times New Roman" w:eastAsia="Times New Roman" w:hAnsi="Times New Roman" w:cs="Times New Roman"/>
      <w:b/>
      <w:bCs/>
    </w:rPr>
  </w:style>
  <w:style w:type="paragraph" w:styleId="Heading9">
    <w:name w:val="heading 9"/>
    <w:basedOn w:val="Normal"/>
    <w:next w:val="Normal"/>
    <w:link w:val="Heading9Char"/>
    <w:rsid w:val="002415B3"/>
    <w:pPr>
      <w:keepNext/>
      <w:tabs>
        <w:tab w:val="left" w:pos="0"/>
        <w:tab w:val="left" w:pos="900"/>
      </w:tabs>
      <w:outlineLvl w:val="8"/>
    </w:pPr>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B63"/>
    <w:pPr>
      <w:tabs>
        <w:tab w:val="center" w:pos="4513"/>
        <w:tab w:val="right" w:pos="9026"/>
      </w:tabs>
    </w:pPr>
  </w:style>
  <w:style w:type="character" w:customStyle="1" w:styleId="HeaderChar">
    <w:name w:val="Header Char"/>
    <w:basedOn w:val="DefaultParagraphFont"/>
    <w:link w:val="Header"/>
    <w:uiPriority w:val="99"/>
    <w:rsid w:val="00ED4B63"/>
  </w:style>
  <w:style w:type="paragraph" w:styleId="Footer">
    <w:name w:val="footer"/>
    <w:basedOn w:val="Normal"/>
    <w:link w:val="FooterChar"/>
    <w:uiPriority w:val="99"/>
    <w:unhideWhenUsed/>
    <w:rsid w:val="00ED4B63"/>
    <w:pPr>
      <w:tabs>
        <w:tab w:val="center" w:pos="4513"/>
        <w:tab w:val="right" w:pos="9026"/>
      </w:tabs>
    </w:pPr>
  </w:style>
  <w:style w:type="character" w:customStyle="1" w:styleId="FooterChar">
    <w:name w:val="Footer Char"/>
    <w:basedOn w:val="DefaultParagraphFont"/>
    <w:link w:val="Footer"/>
    <w:uiPriority w:val="99"/>
    <w:rsid w:val="00ED4B63"/>
  </w:style>
  <w:style w:type="table" w:styleId="TableGrid">
    <w:name w:val="Table Grid"/>
    <w:basedOn w:val="TableNormal"/>
    <w:uiPriority w:val="39"/>
    <w:rsid w:val="00890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2415B3"/>
    <w:rPr>
      <w:rFonts w:ascii="Times New Roman" w:eastAsia="Times New Roman" w:hAnsi="Times New Roman" w:cs="Times New Roman"/>
      <w:color w:val="333399"/>
      <w:spacing w:val="20"/>
      <w:sz w:val="28"/>
      <w:shd w:val="clear" w:color="auto" w:fill="33CCCC"/>
      <w:lang w:val="en-GB"/>
    </w:rPr>
  </w:style>
  <w:style w:type="character" w:customStyle="1" w:styleId="Heading2Char">
    <w:name w:val="Heading 2 Char"/>
    <w:basedOn w:val="DefaultParagraphFont"/>
    <w:link w:val="Heading2"/>
    <w:uiPriority w:val="1"/>
    <w:rsid w:val="002415B3"/>
    <w:rPr>
      <w:rFonts w:ascii="Times New Roman" w:eastAsia="Times New Roman" w:hAnsi="Times New Roman" w:cs="Times New Roman"/>
      <w:b/>
      <w:bCs/>
      <w:sz w:val="28"/>
      <w:lang w:val="en-GB"/>
    </w:rPr>
  </w:style>
  <w:style w:type="character" w:customStyle="1" w:styleId="Heading3Char">
    <w:name w:val="Heading 3 Char"/>
    <w:basedOn w:val="DefaultParagraphFont"/>
    <w:link w:val="Heading3"/>
    <w:rsid w:val="002415B3"/>
    <w:rPr>
      <w:rFonts w:ascii="Times New Roman" w:eastAsia="Times New Roman" w:hAnsi="Times New Roman" w:cs="Times New Roman"/>
      <w:color w:val="333399"/>
      <w:spacing w:val="20"/>
      <w:sz w:val="40"/>
      <w:shd w:val="clear" w:color="auto" w:fill="33CCCC"/>
      <w:lang w:val="en-GB"/>
    </w:rPr>
  </w:style>
  <w:style w:type="character" w:customStyle="1" w:styleId="Heading4Char">
    <w:name w:val="Heading 4 Char"/>
    <w:basedOn w:val="DefaultParagraphFont"/>
    <w:link w:val="Heading4"/>
    <w:uiPriority w:val="99"/>
    <w:rsid w:val="002415B3"/>
    <w:rPr>
      <w:rFonts w:ascii="Times New Roman" w:eastAsia="Times New Roman" w:hAnsi="Times New Roman" w:cs="Times New Roman"/>
      <w:b/>
      <w:bCs/>
      <w:color w:val="333399"/>
      <w:lang w:val="en-GB"/>
    </w:rPr>
  </w:style>
  <w:style w:type="character" w:customStyle="1" w:styleId="Heading5Char">
    <w:name w:val="Heading 5 Char"/>
    <w:basedOn w:val="DefaultParagraphFont"/>
    <w:link w:val="Heading5"/>
    <w:rsid w:val="002415B3"/>
    <w:rPr>
      <w:rFonts w:ascii="Times New Roman" w:eastAsia="Times New Roman" w:hAnsi="Times New Roman" w:cs="Times New Roman"/>
      <w:b/>
      <w:bCs/>
      <w:color w:val="333399"/>
      <w:lang w:val="en-GB"/>
    </w:rPr>
  </w:style>
  <w:style w:type="character" w:customStyle="1" w:styleId="Heading6Char">
    <w:name w:val="Heading 6 Char"/>
    <w:basedOn w:val="DefaultParagraphFont"/>
    <w:link w:val="Heading6"/>
    <w:rsid w:val="002415B3"/>
    <w:rPr>
      <w:rFonts w:ascii="Times New Roman" w:eastAsia="Times New Roman" w:hAnsi="Times New Roman" w:cs="Times New Roman"/>
      <w:u w:val="single"/>
      <w:lang w:val="en-GB"/>
    </w:rPr>
  </w:style>
  <w:style w:type="character" w:customStyle="1" w:styleId="Heading7Char">
    <w:name w:val="Heading 7 Char"/>
    <w:basedOn w:val="DefaultParagraphFont"/>
    <w:link w:val="Heading7"/>
    <w:rsid w:val="002415B3"/>
    <w:rPr>
      <w:rFonts w:ascii="Times New Roman" w:eastAsia="Times New Roman" w:hAnsi="Times New Roman" w:cs="Times New Roman"/>
      <w:b/>
      <w:bCs/>
      <w:color w:val="333399"/>
      <w:sz w:val="28"/>
      <w:shd w:val="clear" w:color="auto" w:fill="33CCCC"/>
      <w:lang w:val="en-GB"/>
    </w:rPr>
  </w:style>
  <w:style w:type="character" w:customStyle="1" w:styleId="Heading8Char">
    <w:name w:val="Heading 8 Char"/>
    <w:basedOn w:val="DefaultParagraphFont"/>
    <w:link w:val="Heading8"/>
    <w:rsid w:val="002415B3"/>
    <w:rPr>
      <w:rFonts w:ascii="Times New Roman" w:eastAsia="Times New Roman" w:hAnsi="Times New Roman" w:cs="Times New Roman"/>
      <w:b/>
      <w:bCs/>
      <w:lang w:val="en-GB"/>
    </w:rPr>
  </w:style>
  <w:style w:type="character" w:customStyle="1" w:styleId="Heading9Char">
    <w:name w:val="Heading 9 Char"/>
    <w:basedOn w:val="DefaultParagraphFont"/>
    <w:link w:val="Heading9"/>
    <w:rsid w:val="002415B3"/>
    <w:rPr>
      <w:rFonts w:ascii="Times New Roman" w:eastAsia="Times New Roman" w:hAnsi="Times New Roman" w:cs="Times New Roman"/>
      <w:sz w:val="28"/>
      <w:lang w:val="en-GB"/>
    </w:rPr>
  </w:style>
  <w:style w:type="paragraph" w:styleId="BodyText">
    <w:name w:val="Body Text"/>
    <w:basedOn w:val="Normal"/>
    <w:link w:val="BodyTextChar"/>
    <w:uiPriority w:val="1"/>
    <w:qFormat/>
    <w:rsid w:val="002415B3"/>
    <w:pPr>
      <w:tabs>
        <w:tab w:val="left" w:pos="360"/>
        <w:tab w:val="left" w:pos="7020"/>
      </w:tabs>
    </w:pPr>
    <w:rPr>
      <w:rFonts w:ascii="Times New Roman" w:eastAsia="Times New Roman" w:hAnsi="Times New Roman" w:cs="Times New Roman"/>
      <w:b/>
      <w:bCs/>
      <w:sz w:val="28"/>
    </w:rPr>
  </w:style>
  <w:style w:type="character" w:customStyle="1" w:styleId="BodyTextChar">
    <w:name w:val="Body Text Char"/>
    <w:basedOn w:val="DefaultParagraphFont"/>
    <w:link w:val="BodyText"/>
    <w:uiPriority w:val="1"/>
    <w:rsid w:val="002415B3"/>
    <w:rPr>
      <w:rFonts w:ascii="Times New Roman" w:eastAsia="Times New Roman" w:hAnsi="Times New Roman" w:cs="Times New Roman"/>
      <w:b/>
      <w:bCs/>
      <w:sz w:val="28"/>
      <w:lang w:val="en-GB"/>
    </w:rPr>
  </w:style>
  <w:style w:type="paragraph" w:styleId="BodyText2">
    <w:name w:val="Body Text 2"/>
    <w:basedOn w:val="Normal"/>
    <w:link w:val="BodyText2Char"/>
    <w:uiPriority w:val="99"/>
    <w:rsid w:val="002415B3"/>
    <w:rPr>
      <w:rFonts w:ascii="Times New Roman" w:eastAsia="Times New Roman" w:hAnsi="Times New Roman" w:cs="Times New Roman"/>
    </w:rPr>
  </w:style>
  <w:style w:type="character" w:customStyle="1" w:styleId="BodyText2Char">
    <w:name w:val="Body Text 2 Char"/>
    <w:basedOn w:val="DefaultParagraphFont"/>
    <w:link w:val="BodyText2"/>
    <w:uiPriority w:val="99"/>
    <w:rsid w:val="002415B3"/>
    <w:rPr>
      <w:rFonts w:ascii="Times New Roman" w:eastAsia="Times New Roman" w:hAnsi="Times New Roman" w:cs="Times New Roman"/>
      <w:lang w:val="en-GB"/>
    </w:rPr>
  </w:style>
  <w:style w:type="paragraph" w:styleId="BodyTextIndent">
    <w:name w:val="Body Text Indent"/>
    <w:basedOn w:val="Normal"/>
    <w:link w:val="BodyTextIndentChar"/>
    <w:rsid w:val="002415B3"/>
    <w:pPr>
      <w:tabs>
        <w:tab w:val="left" w:pos="3960"/>
      </w:tabs>
      <w:ind w:left="3960" w:hanging="39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2415B3"/>
    <w:rPr>
      <w:rFonts w:ascii="Times New Roman" w:eastAsia="Times New Roman" w:hAnsi="Times New Roman" w:cs="Times New Roman"/>
      <w:lang w:val="en-GB"/>
    </w:rPr>
  </w:style>
  <w:style w:type="paragraph" w:styleId="BodyText3">
    <w:name w:val="Body Text 3"/>
    <w:basedOn w:val="Normal"/>
    <w:link w:val="BodyText3Char"/>
    <w:rsid w:val="002415B3"/>
    <w:pPr>
      <w:tabs>
        <w:tab w:val="left" w:pos="0"/>
        <w:tab w:val="left" w:pos="900"/>
      </w:tabs>
    </w:pPr>
    <w:rPr>
      <w:rFonts w:ascii="Times New Roman" w:eastAsia="Times New Roman" w:hAnsi="Times New Roman" w:cs="Times New Roman"/>
      <w:i/>
      <w:iCs/>
    </w:rPr>
  </w:style>
  <w:style w:type="character" w:customStyle="1" w:styleId="BodyText3Char">
    <w:name w:val="Body Text 3 Char"/>
    <w:basedOn w:val="DefaultParagraphFont"/>
    <w:link w:val="BodyText3"/>
    <w:rsid w:val="002415B3"/>
    <w:rPr>
      <w:rFonts w:ascii="Times New Roman" w:eastAsia="Times New Roman" w:hAnsi="Times New Roman" w:cs="Times New Roman"/>
      <w:i/>
      <w:iCs/>
      <w:lang w:val="en-GB"/>
    </w:rPr>
  </w:style>
  <w:style w:type="paragraph" w:styleId="BodyTextIndent3">
    <w:name w:val="Body Text Indent 3"/>
    <w:basedOn w:val="Normal"/>
    <w:link w:val="BodyTextIndent3Char"/>
    <w:rsid w:val="002415B3"/>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2415B3"/>
    <w:rPr>
      <w:rFonts w:ascii="Times New Roman" w:eastAsia="Times New Roman" w:hAnsi="Times New Roman" w:cs="Times New Roman"/>
      <w:lang w:val="en-GB"/>
    </w:rPr>
  </w:style>
  <w:style w:type="paragraph" w:styleId="Caption">
    <w:name w:val="caption"/>
    <w:basedOn w:val="Normal"/>
    <w:next w:val="Normal"/>
    <w:rsid w:val="002415B3"/>
    <w:rPr>
      <w:rFonts w:ascii="Times New Roman" w:eastAsia="Times New Roman" w:hAnsi="Times New Roman" w:cs="Times New Roman"/>
      <w:b/>
      <w:color w:val="333399"/>
    </w:rPr>
  </w:style>
  <w:style w:type="paragraph" w:styleId="BodyTextIndent2">
    <w:name w:val="Body Text Indent 2"/>
    <w:basedOn w:val="Normal"/>
    <w:link w:val="BodyTextIndent2Char"/>
    <w:rsid w:val="002415B3"/>
    <w:pPr>
      <w:ind w:left="72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415B3"/>
    <w:rPr>
      <w:rFonts w:ascii="Times New Roman" w:eastAsia="Times New Roman" w:hAnsi="Times New Roman" w:cs="Times New Roman"/>
      <w:lang w:val="en-GB"/>
    </w:rPr>
  </w:style>
  <w:style w:type="character" w:styleId="PageNumber">
    <w:name w:val="page number"/>
    <w:basedOn w:val="DefaultParagraphFont"/>
    <w:rsid w:val="002415B3"/>
  </w:style>
  <w:style w:type="paragraph" w:customStyle="1" w:styleId="Shee">
    <w:name w:val="Shee"/>
    <w:basedOn w:val="Normal"/>
    <w:rsid w:val="002415B3"/>
    <w:rPr>
      <w:rFonts w:ascii="Times New Roman" w:eastAsia="Times New Roman" w:hAnsi="Times New Roman" w:cs="Times New Roman"/>
      <w:sz w:val="28"/>
      <w:szCs w:val="20"/>
    </w:rPr>
  </w:style>
  <w:style w:type="character" w:styleId="Hyperlink">
    <w:name w:val="Hyperlink"/>
    <w:uiPriority w:val="99"/>
    <w:rsid w:val="002415B3"/>
    <w:rPr>
      <w:color w:val="0000FF"/>
      <w:u w:val="single"/>
    </w:rPr>
  </w:style>
  <w:style w:type="paragraph" w:customStyle="1" w:styleId="Outline1ai-1">
    <w:name w:val="Outline 1ai - 1"/>
    <w:basedOn w:val="Normal"/>
    <w:rsid w:val="002415B3"/>
    <w:pPr>
      <w:numPr>
        <w:numId w:val="1"/>
      </w:numPr>
      <w:spacing w:before="240"/>
    </w:pPr>
    <w:rPr>
      <w:rFonts w:ascii="Arial" w:eastAsia="Times New Roman" w:hAnsi="Arial" w:cs="Times New Roman"/>
      <w:szCs w:val="20"/>
    </w:rPr>
  </w:style>
  <w:style w:type="paragraph" w:customStyle="1" w:styleId="Outline1ai-a">
    <w:name w:val="Outline 1ai - a)"/>
    <w:basedOn w:val="Normal"/>
    <w:rsid w:val="002415B3"/>
    <w:pPr>
      <w:numPr>
        <w:ilvl w:val="4"/>
        <w:numId w:val="1"/>
      </w:numPr>
      <w:spacing w:before="240"/>
    </w:pPr>
    <w:rPr>
      <w:rFonts w:ascii="Arial" w:eastAsia="Times New Roman" w:hAnsi="Arial" w:cs="Times New Roman"/>
      <w:szCs w:val="20"/>
    </w:rPr>
  </w:style>
  <w:style w:type="paragraph" w:customStyle="1" w:styleId="Outline1ai-i">
    <w:name w:val="Outline 1ai - i)"/>
    <w:basedOn w:val="Normal"/>
    <w:rsid w:val="002415B3"/>
    <w:pPr>
      <w:numPr>
        <w:ilvl w:val="6"/>
        <w:numId w:val="1"/>
      </w:numPr>
      <w:spacing w:before="240"/>
    </w:pPr>
    <w:rPr>
      <w:rFonts w:ascii="Arial" w:eastAsia="Times New Roman" w:hAnsi="Arial" w:cs="Times New Roman"/>
      <w:szCs w:val="20"/>
    </w:rPr>
  </w:style>
  <w:style w:type="paragraph" w:customStyle="1" w:styleId="Indenta">
    <w:name w:val="Indent a)"/>
    <w:basedOn w:val="Normal"/>
    <w:rsid w:val="002415B3"/>
    <w:pPr>
      <w:numPr>
        <w:ilvl w:val="5"/>
        <w:numId w:val="1"/>
      </w:numPr>
      <w:spacing w:before="240"/>
    </w:pPr>
    <w:rPr>
      <w:rFonts w:ascii="Arial" w:eastAsia="Times New Roman" w:hAnsi="Arial" w:cs="Times New Roman"/>
      <w:szCs w:val="20"/>
    </w:rPr>
  </w:style>
  <w:style w:type="paragraph" w:customStyle="1" w:styleId="Outline1ai-11">
    <w:name w:val="Outline 1ai - 1.1"/>
    <w:basedOn w:val="Outline1ai-1"/>
    <w:rsid w:val="002415B3"/>
    <w:pPr>
      <w:numPr>
        <w:ilvl w:val="2"/>
      </w:numPr>
      <w:tabs>
        <w:tab w:val="clear" w:pos="720"/>
        <w:tab w:val="num" w:pos="2160"/>
      </w:tabs>
      <w:ind w:left="2160" w:hanging="180"/>
    </w:pPr>
  </w:style>
  <w:style w:type="paragraph" w:customStyle="1" w:styleId="Indent11">
    <w:name w:val="Indent1.1"/>
    <w:basedOn w:val="Normal"/>
    <w:rsid w:val="002415B3"/>
    <w:pPr>
      <w:numPr>
        <w:ilvl w:val="3"/>
        <w:numId w:val="1"/>
      </w:numPr>
      <w:spacing w:before="240"/>
    </w:pPr>
    <w:rPr>
      <w:rFonts w:ascii="Arial" w:eastAsia="Times New Roman" w:hAnsi="Arial" w:cs="Times New Roman"/>
      <w:szCs w:val="20"/>
    </w:rPr>
  </w:style>
  <w:style w:type="paragraph" w:customStyle="1" w:styleId="xl24">
    <w:name w:val="xl24"/>
    <w:basedOn w:val="Normal"/>
    <w:rsid w:val="002415B3"/>
    <w:pPr>
      <w:pBdr>
        <w:bottom w:val="single" w:sz="8" w:space="0" w:color="auto"/>
      </w:pBdr>
      <w:spacing w:before="100" w:beforeAutospacing="1" w:after="100" w:afterAutospacing="1"/>
    </w:pPr>
    <w:rPr>
      <w:rFonts w:ascii="Arial Unicode MS" w:eastAsia="Arial Unicode MS" w:hAnsi="Arial Unicode MS" w:cs="Arial Unicode MS"/>
    </w:rPr>
  </w:style>
  <w:style w:type="character" w:styleId="FollowedHyperlink">
    <w:name w:val="FollowedHyperlink"/>
    <w:rsid w:val="002415B3"/>
    <w:rPr>
      <w:color w:val="800080"/>
      <w:u w:val="single"/>
    </w:rPr>
  </w:style>
  <w:style w:type="paragraph" w:customStyle="1" w:styleId="xl25">
    <w:name w:val="xl25"/>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26">
    <w:name w:val="xl26"/>
    <w:basedOn w:val="Normal"/>
    <w:rsid w:val="002415B3"/>
    <w:pPr>
      <w:spacing w:before="100" w:beforeAutospacing="1" w:after="100" w:afterAutospacing="1"/>
      <w:jc w:val="right"/>
    </w:pPr>
    <w:rPr>
      <w:rFonts w:ascii="Arial" w:eastAsia="Arial Unicode MS" w:hAnsi="Arial" w:cs="Arial"/>
    </w:rPr>
  </w:style>
  <w:style w:type="paragraph" w:customStyle="1" w:styleId="xl27">
    <w:name w:val="xl27"/>
    <w:basedOn w:val="Normal"/>
    <w:rsid w:val="002415B3"/>
    <w:pPr>
      <w:pBdr>
        <w:bottom w:val="single" w:sz="12" w:space="0" w:color="auto"/>
      </w:pBdr>
      <w:spacing w:before="100" w:beforeAutospacing="1" w:after="100" w:afterAutospacing="1"/>
      <w:jc w:val="right"/>
    </w:pPr>
    <w:rPr>
      <w:rFonts w:ascii="Arial" w:eastAsia="Arial Unicode MS" w:hAnsi="Arial" w:cs="Arial"/>
    </w:rPr>
  </w:style>
  <w:style w:type="paragraph" w:customStyle="1" w:styleId="xl28">
    <w:name w:val="xl28"/>
    <w:basedOn w:val="Normal"/>
    <w:rsid w:val="002415B3"/>
    <w:pPr>
      <w:spacing w:before="100" w:beforeAutospacing="1" w:after="100" w:afterAutospacing="1"/>
    </w:pPr>
    <w:rPr>
      <w:rFonts w:ascii="Arial" w:eastAsia="Arial Unicode MS" w:hAnsi="Arial" w:cs="Arial"/>
      <w:b/>
      <w:bCs/>
    </w:rPr>
  </w:style>
  <w:style w:type="paragraph" w:customStyle="1" w:styleId="xl29">
    <w:name w:val="xl29"/>
    <w:basedOn w:val="Normal"/>
    <w:rsid w:val="002415B3"/>
    <w:pPr>
      <w:spacing w:before="100" w:beforeAutospacing="1" w:after="100" w:afterAutospacing="1"/>
    </w:pPr>
    <w:rPr>
      <w:rFonts w:ascii="Arial" w:eastAsia="Arial Unicode MS" w:hAnsi="Arial" w:cs="Arial"/>
    </w:rPr>
  </w:style>
  <w:style w:type="paragraph" w:customStyle="1" w:styleId="xl30">
    <w:name w:val="xl30"/>
    <w:basedOn w:val="Normal"/>
    <w:rsid w:val="002415B3"/>
    <w:pPr>
      <w:pBdr>
        <w:bottom w:val="single" w:sz="4" w:space="0" w:color="auto"/>
      </w:pBdr>
      <w:spacing w:before="100" w:beforeAutospacing="1" w:after="100" w:afterAutospacing="1"/>
    </w:pPr>
    <w:rPr>
      <w:rFonts w:ascii="Arial" w:eastAsia="Arial Unicode MS" w:hAnsi="Arial" w:cs="Arial"/>
    </w:rPr>
  </w:style>
  <w:style w:type="paragraph" w:customStyle="1" w:styleId="xl31">
    <w:name w:val="xl31"/>
    <w:basedOn w:val="Normal"/>
    <w:rsid w:val="002415B3"/>
    <w:pPr>
      <w:spacing w:before="100" w:beforeAutospacing="1" w:after="100" w:afterAutospacing="1"/>
    </w:pPr>
    <w:rPr>
      <w:rFonts w:ascii="Arial" w:eastAsia="Arial Unicode MS" w:hAnsi="Arial" w:cs="Arial"/>
      <w:b/>
      <w:bCs/>
    </w:rPr>
  </w:style>
  <w:style w:type="paragraph" w:customStyle="1" w:styleId="xl32">
    <w:name w:val="xl32"/>
    <w:basedOn w:val="Normal"/>
    <w:rsid w:val="002415B3"/>
    <w:pPr>
      <w:pBdr>
        <w:bottom w:val="single" w:sz="12" w:space="0" w:color="auto"/>
      </w:pBdr>
      <w:spacing w:before="100" w:beforeAutospacing="1" w:after="100" w:afterAutospacing="1"/>
      <w:jc w:val="right"/>
    </w:pPr>
    <w:rPr>
      <w:rFonts w:ascii="Arial" w:eastAsia="Arial Unicode MS" w:hAnsi="Arial" w:cs="Arial"/>
    </w:rPr>
  </w:style>
  <w:style w:type="paragraph" w:customStyle="1" w:styleId="xl33">
    <w:name w:val="xl33"/>
    <w:basedOn w:val="Normal"/>
    <w:rsid w:val="002415B3"/>
    <w:pPr>
      <w:pBdr>
        <w:bottom w:val="single" w:sz="12" w:space="0" w:color="auto"/>
      </w:pBdr>
      <w:spacing w:before="100" w:beforeAutospacing="1" w:after="100" w:afterAutospacing="1"/>
    </w:pPr>
    <w:rPr>
      <w:rFonts w:ascii="Arial" w:eastAsia="Arial Unicode MS" w:hAnsi="Arial" w:cs="Arial"/>
      <w:b/>
      <w:bCs/>
    </w:rPr>
  </w:style>
  <w:style w:type="paragraph" w:customStyle="1" w:styleId="xl34">
    <w:name w:val="xl34"/>
    <w:basedOn w:val="Normal"/>
    <w:rsid w:val="002415B3"/>
    <w:pPr>
      <w:spacing w:before="100" w:beforeAutospacing="1" w:after="100" w:afterAutospacing="1"/>
    </w:pPr>
    <w:rPr>
      <w:rFonts w:ascii="Arial" w:eastAsia="Arial Unicode MS" w:hAnsi="Arial" w:cs="Arial"/>
    </w:rPr>
  </w:style>
  <w:style w:type="paragraph" w:customStyle="1" w:styleId="xl35">
    <w:name w:val="xl35"/>
    <w:basedOn w:val="Normal"/>
    <w:rsid w:val="002415B3"/>
    <w:pPr>
      <w:spacing w:before="100" w:beforeAutospacing="1" w:after="100" w:afterAutospacing="1"/>
      <w:jc w:val="center"/>
    </w:pPr>
    <w:rPr>
      <w:rFonts w:ascii="Arial" w:eastAsia="Arial Unicode MS" w:hAnsi="Arial" w:cs="Arial"/>
    </w:rPr>
  </w:style>
  <w:style w:type="paragraph" w:customStyle="1" w:styleId="xl36">
    <w:name w:val="xl36"/>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37">
    <w:name w:val="xl37"/>
    <w:basedOn w:val="Normal"/>
    <w:rsid w:val="002415B3"/>
    <w:pPr>
      <w:pBdr>
        <w:bottom w:val="single" w:sz="4" w:space="0" w:color="auto"/>
      </w:pBdr>
      <w:spacing w:before="100" w:beforeAutospacing="1" w:after="100" w:afterAutospacing="1"/>
    </w:pPr>
    <w:rPr>
      <w:rFonts w:ascii="Arial" w:eastAsia="Arial Unicode MS" w:hAnsi="Arial" w:cs="Arial"/>
    </w:rPr>
  </w:style>
  <w:style w:type="paragraph" w:customStyle="1" w:styleId="xl38">
    <w:name w:val="xl38"/>
    <w:basedOn w:val="Normal"/>
    <w:rsid w:val="002415B3"/>
    <w:pPr>
      <w:spacing w:before="100" w:beforeAutospacing="1" w:after="100" w:afterAutospacing="1"/>
    </w:pPr>
    <w:rPr>
      <w:rFonts w:ascii="Arial" w:eastAsia="Arial Unicode MS" w:hAnsi="Arial" w:cs="Arial"/>
    </w:rPr>
  </w:style>
  <w:style w:type="paragraph" w:customStyle="1" w:styleId="xl39">
    <w:name w:val="xl39"/>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40">
    <w:name w:val="xl40"/>
    <w:basedOn w:val="Normal"/>
    <w:rsid w:val="002415B3"/>
    <w:pPr>
      <w:pBdr>
        <w:bottom w:val="single" w:sz="4" w:space="0" w:color="auto"/>
      </w:pBdr>
      <w:spacing w:before="100" w:beforeAutospacing="1" w:after="100" w:afterAutospacing="1"/>
      <w:jc w:val="right"/>
    </w:pPr>
    <w:rPr>
      <w:rFonts w:ascii="Arial" w:eastAsia="Arial Unicode MS" w:hAnsi="Arial" w:cs="Arial"/>
    </w:rPr>
  </w:style>
  <w:style w:type="paragraph" w:customStyle="1" w:styleId="xl41">
    <w:name w:val="xl41"/>
    <w:basedOn w:val="Normal"/>
    <w:rsid w:val="002415B3"/>
    <w:pPr>
      <w:pBdr>
        <w:bottom w:val="single" w:sz="12" w:space="0" w:color="auto"/>
      </w:pBdr>
      <w:spacing w:before="100" w:beforeAutospacing="1" w:after="100" w:afterAutospacing="1"/>
    </w:pPr>
    <w:rPr>
      <w:rFonts w:ascii="Arial" w:eastAsia="Arial Unicode MS" w:hAnsi="Arial" w:cs="Arial"/>
    </w:rPr>
  </w:style>
  <w:style w:type="paragraph" w:customStyle="1" w:styleId="xl42">
    <w:name w:val="xl42"/>
    <w:basedOn w:val="Normal"/>
    <w:rsid w:val="002415B3"/>
    <w:pPr>
      <w:pBdr>
        <w:bottom w:val="single" w:sz="4" w:space="0" w:color="auto"/>
      </w:pBdr>
      <w:spacing w:before="100" w:beforeAutospacing="1" w:after="100" w:afterAutospacing="1"/>
      <w:jc w:val="right"/>
    </w:pPr>
    <w:rPr>
      <w:rFonts w:ascii="Arial" w:eastAsia="Arial Unicode MS" w:hAnsi="Arial" w:cs="Arial"/>
    </w:rPr>
  </w:style>
  <w:style w:type="paragraph" w:customStyle="1" w:styleId="xl50">
    <w:name w:val="xl50"/>
    <w:basedOn w:val="Normal"/>
    <w:rsid w:val="002415B3"/>
    <w:pPr>
      <w:spacing w:before="100" w:beforeAutospacing="1" w:after="100" w:afterAutospacing="1"/>
      <w:textAlignment w:val="center"/>
    </w:pPr>
    <w:rPr>
      <w:rFonts w:ascii="Arial" w:eastAsia="Arial Unicode MS" w:hAnsi="Arial" w:cs="Arial"/>
    </w:rPr>
  </w:style>
  <w:style w:type="paragraph" w:customStyle="1" w:styleId="xl43">
    <w:name w:val="xl43"/>
    <w:basedOn w:val="Normal"/>
    <w:rsid w:val="002415B3"/>
    <w:pPr>
      <w:spacing w:before="100" w:beforeAutospacing="1" w:after="100" w:afterAutospacing="1"/>
      <w:jc w:val="center"/>
    </w:pPr>
    <w:rPr>
      <w:rFonts w:ascii="Arial" w:eastAsia="Arial Unicode MS" w:hAnsi="Arial" w:cs="Arial"/>
      <w:b/>
      <w:bCs/>
    </w:rPr>
  </w:style>
  <w:style w:type="paragraph" w:customStyle="1" w:styleId="xl44">
    <w:name w:val="xl44"/>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45">
    <w:name w:val="xl45"/>
    <w:basedOn w:val="Normal"/>
    <w:rsid w:val="002415B3"/>
    <w:pPr>
      <w:pBdr>
        <w:right w:val="single" w:sz="4" w:space="0" w:color="auto"/>
      </w:pBdr>
      <w:spacing w:before="100" w:beforeAutospacing="1" w:after="100" w:afterAutospacing="1"/>
    </w:pPr>
    <w:rPr>
      <w:rFonts w:ascii="Arial" w:eastAsia="Arial Unicode MS" w:hAnsi="Arial" w:cs="Arial"/>
    </w:rPr>
  </w:style>
  <w:style w:type="paragraph" w:customStyle="1" w:styleId="xl46">
    <w:name w:val="xl46"/>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47">
    <w:name w:val="xl47"/>
    <w:basedOn w:val="Normal"/>
    <w:rsid w:val="002415B3"/>
    <w:pPr>
      <w:spacing w:before="100" w:beforeAutospacing="1" w:after="100" w:afterAutospacing="1"/>
    </w:pPr>
    <w:rPr>
      <w:rFonts w:ascii="Arial" w:eastAsia="Arial Unicode MS" w:hAnsi="Arial" w:cs="Arial"/>
      <w:b/>
      <w:bCs/>
    </w:rPr>
  </w:style>
  <w:style w:type="paragraph" w:customStyle="1" w:styleId="xl48">
    <w:name w:val="xl48"/>
    <w:basedOn w:val="Normal"/>
    <w:rsid w:val="002415B3"/>
    <w:pPr>
      <w:pBdr>
        <w:right w:val="single" w:sz="4" w:space="0" w:color="auto"/>
      </w:pBdr>
      <w:spacing w:before="100" w:beforeAutospacing="1" w:after="100" w:afterAutospacing="1"/>
    </w:pPr>
    <w:rPr>
      <w:rFonts w:ascii="Arial" w:eastAsia="Arial Unicode MS" w:hAnsi="Arial" w:cs="Arial"/>
      <w:b/>
      <w:bCs/>
    </w:rPr>
  </w:style>
  <w:style w:type="paragraph" w:customStyle="1" w:styleId="xl49">
    <w:name w:val="xl49"/>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51">
    <w:name w:val="xl51"/>
    <w:basedOn w:val="Normal"/>
    <w:rsid w:val="002415B3"/>
    <w:pPr>
      <w:pBdr>
        <w:right w:val="single" w:sz="4" w:space="0" w:color="auto"/>
      </w:pBdr>
      <w:spacing w:before="100" w:beforeAutospacing="1" w:after="100" w:afterAutospacing="1"/>
    </w:pPr>
    <w:rPr>
      <w:rFonts w:ascii="Arial" w:eastAsia="Arial Unicode MS" w:hAnsi="Arial" w:cs="Arial"/>
    </w:rPr>
  </w:style>
  <w:style w:type="paragraph" w:customStyle="1" w:styleId="xl52">
    <w:name w:val="xl52"/>
    <w:basedOn w:val="Normal"/>
    <w:rsid w:val="002415B3"/>
    <w:pPr>
      <w:spacing w:before="100" w:beforeAutospacing="1" w:after="100" w:afterAutospacing="1"/>
    </w:pPr>
    <w:rPr>
      <w:rFonts w:ascii="Arial" w:eastAsia="Arial Unicode MS" w:hAnsi="Arial" w:cs="Arial"/>
      <w:i/>
      <w:iCs/>
      <w:color w:val="0000FF"/>
    </w:rPr>
  </w:style>
  <w:style w:type="paragraph" w:customStyle="1" w:styleId="xl53">
    <w:name w:val="xl53"/>
    <w:basedOn w:val="Normal"/>
    <w:rsid w:val="002415B3"/>
    <w:pPr>
      <w:pBdr>
        <w:right w:val="single" w:sz="4" w:space="0" w:color="auto"/>
      </w:pBdr>
      <w:spacing w:before="100" w:beforeAutospacing="1" w:after="100" w:afterAutospacing="1"/>
      <w:jc w:val="right"/>
    </w:pPr>
    <w:rPr>
      <w:rFonts w:ascii="Arial" w:eastAsia="Arial Unicode MS" w:hAnsi="Arial" w:cs="Arial"/>
    </w:rPr>
  </w:style>
  <w:style w:type="paragraph" w:customStyle="1" w:styleId="xl54">
    <w:name w:val="xl54"/>
    <w:basedOn w:val="Normal"/>
    <w:rsid w:val="002415B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55">
    <w:name w:val="xl55"/>
    <w:basedOn w:val="Normal"/>
    <w:rsid w:val="002415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56">
    <w:name w:val="xl56"/>
    <w:basedOn w:val="Normal"/>
    <w:rsid w:val="002415B3"/>
    <w:pPr>
      <w:pBdr>
        <w:top w:val="single" w:sz="4" w:space="0" w:color="auto"/>
        <w:bottom w:val="single" w:sz="4" w:space="0" w:color="auto"/>
      </w:pBdr>
      <w:spacing w:before="100" w:beforeAutospacing="1" w:after="100" w:afterAutospacing="1"/>
    </w:pPr>
    <w:rPr>
      <w:rFonts w:ascii="Arial" w:eastAsia="Arial Unicode MS" w:hAnsi="Arial" w:cs="Arial"/>
      <w:b/>
      <w:bCs/>
    </w:rPr>
  </w:style>
  <w:style w:type="paragraph" w:customStyle="1" w:styleId="xl57">
    <w:name w:val="xl57"/>
    <w:basedOn w:val="Normal"/>
    <w:rsid w:val="002415B3"/>
    <w:pPr>
      <w:pBdr>
        <w:top w:val="single" w:sz="4" w:space="0" w:color="auto"/>
        <w:bottom w:val="single" w:sz="4" w:space="0" w:color="auto"/>
      </w:pBdr>
      <w:spacing w:before="100" w:beforeAutospacing="1" w:after="100" w:afterAutospacing="1"/>
    </w:pPr>
    <w:rPr>
      <w:rFonts w:ascii="Arial" w:eastAsia="Arial Unicode MS" w:hAnsi="Arial" w:cs="Arial"/>
      <w:b/>
      <w:bCs/>
    </w:rPr>
  </w:style>
  <w:style w:type="paragraph" w:customStyle="1" w:styleId="xl58">
    <w:name w:val="xl58"/>
    <w:basedOn w:val="Normal"/>
    <w:rsid w:val="002415B3"/>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59">
    <w:name w:val="xl59"/>
    <w:basedOn w:val="Normal"/>
    <w:rsid w:val="002415B3"/>
    <w:pPr>
      <w:pBdr>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0">
    <w:name w:val="xl60"/>
    <w:basedOn w:val="Normal"/>
    <w:rsid w:val="002415B3"/>
    <w:pPr>
      <w:pBdr>
        <w:left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1">
    <w:name w:val="xl61"/>
    <w:basedOn w:val="Normal"/>
    <w:rsid w:val="002415B3"/>
    <w:pPr>
      <w:spacing w:before="100" w:beforeAutospacing="1" w:after="100" w:afterAutospacing="1"/>
    </w:pPr>
    <w:rPr>
      <w:rFonts w:ascii="Arial" w:eastAsia="Arial Unicode MS" w:hAnsi="Arial" w:cs="Arial"/>
    </w:rPr>
  </w:style>
  <w:style w:type="paragraph" w:customStyle="1" w:styleId="xl62">
    <w:name w:val="xl62"/>
    <w:basedOn w:val="Normal"/>
    <w:rsid w:val="002415B3"/>
    <w:pPr>
      <w:pBdr>
        <w:right w:val="single" w:sz="4" w:space="0" w:color="auto"/>
      </w:pBdr>
      <w:spacing w:before="100" w:beforeAutospacing="1" w:after="100" w:afterAutospacing="1"/>
    </w:pPr>
    <w:rPr>
      <w:rFonts w:ascii="Arial" w:eastAsia="Arial Unicode MS" w:hAnsi="Arial" w:cs="Arial"/>
    </w:rPr>
  </w:style>
  <w:style w:type="paragraph" w:customStyle="1" w:styleId="xl63">
    <w:name w:val="xl63"/>
    <w:basedOn w:val="Normal"/>
    <w:rsid w:val="002415B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4">
    <w:name w:val="xl64"/>
    <w:basedOn w:val="Normal"/>
    <w:rsid w:val="002415B3"/>
    <w:pPr>
      <w:pBdr>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5">
    <w:name w:val="xl65"/>
    <w:basedOn w:val="Normal"/>
    <w:rsid w:val="002415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66">
    <w:name w:val="xl66"/>
    <w:basedOn w:val="Normal"/>
    <w:rsid w:val="002415B3"/>
    <w:pPr>
      <w:pBdr>
        <w:top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67">
    <w:name w:val="xl67"/>
    <w:basedOn w:val="Normal"/>
    <w:rsid w:val="002415B3"/>
    <w:pPr>
      <w:pBdr>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68">
    <w:name w:val="xl68"/>
    <w:basedOn w:val="Normal"/>
    <w:rsid w:val="002415B3"/>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69">
    <w:name w:val="xl69"/>
    <w:basedOn w:val="Normal"/>
    <w:rsid w:val="002415B3"/>
    <w:pPr>
      <w:pBdr>
        <w:top w:val="single" w:sz="4" w:space="0" w:color="auto"/>
      </w:pBdr>
      <w:spacing w:before="100" w:beforeAutospacing="1" w:after="100" w:afterAutospacing="1"/>
    </w:pPr>
    <w:rPr>
      <w:rFonts w:ascii="Arial" w:eastAsia="Arial Unicode MS" w:hAnsi="Arial" w:cs="Arial"/>
      <w:b/>
      <w:bCs/>
    </w:rPr>
  </w:style>
  <w:style w:type="paragraph" w:customStyle="1" w:styleId="xl70">
    <w:name w:val="xl70"/>
    <w:basedOn w:val="Normal"/>
    <w:rsid w:val="002415B3"/>
    <w:pPr>
      <w:pBdr>
        <w:top w:val="single" w:sz="4" w:space="0" w:color="auto"/>
      </w:pBdr>
      <w:spacing w:before="100" w:beforeAutospacing="1" w:after="100" w:afterAutospacing="1"/>
    </w:pPr>
    <w:rPr>
      <w:rFonts w:ascii="Arial" w:eastAsia="Arial Unicode MS" w:hAnsi="Arial" w:cs="Arial"/>
      <w:b/>
      <w:bCs/>
    </w:rPr>
  </w:style>
  <w:style w:type="paragraph" w:customStyle="1" w:styleId="xl71">
    <w:name w:val="xl71"/>
    <w:basedOn w:val="Normal"/>
    <w:rsid w:val="002415B3"/>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72">
    <w:name w:val="xl72"/>
    <w:basedOn w:val="Normal"/>
    <w:rsid w:val="002415B3"/>
    <w:pPr>
      <w:pBdr>
        <w:top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73">
    <w:name w:val="xl73"/>
    <w:basedOn w:val="Normal"/>
    <w:rsid w:val="002415B3"/>
    <w:pPr>
      <w:pBdr>
        <w:top w:val="single" w:sz="4" w:space="0" w:color="auto"/>
      </w:pBdr>
      <w:spacing w:before="100" w:beforeAutospacing="1" w:after="100" w:afterAutospacing="1"/>
    </w:pPr>
    <w:rPr>
      <w:rFonts w:ascii="Arial" w:eastAsia="Arial Unicode MS" w:hAnsi="Arial" w:cs="Arial"/>
      <w:b/>
      <w:bCs/>
      <w:u w:val="single"/>
    </w:rPr>
  </w:style>
  <w:style w:type="paragraph" w:customStyle="1" w:styleId="font5">
    <w:name w:val="font5"/>
    <w:basedOn w:val="Normal"/>
    <w:rsid w:val="002415B3"/>
    <w:pPr>
      <w:spacing w:before="100" w:beforeAutospacing="1" w:after="100" w:afterAutospacing="1"/>
    </w:pPr>
    <w:rPr>
      <w:rFonts w:ascii="Arial" w:eastAsia="Arial Unicode MS" w:hAnsi="Arial" w:cs="Arial"/>
      <w:b/>
      <w:bCs/>
      <w:szCs w:val="20"/>
    </w:rPr>
  </w:style>
  <w:style w:type="paragraph" w:customStyle="1" w:styleId="font6">
    <w:name w:val="font6"/>
    <w:basedOn w:val="Normal"/>
    <w:rsid w:val="002415B3"/>
    <w:pPr>
      <w:spacing w:before="100" w:beforeAutospacing="1" w:after="100" w:afterAutospacing="1"/>
    </w:pPr>
    <w:rPr>
      <w:rFonts w:ascii="Tahoma" w:eastAsia="Arial Unicode MS" w:hAnsi="Tahoma" w:cs="Tahoma"/>
      <w:color w:val="000000"/>
      <w:sz w:val="16"/>
      <w:szCs w:val="16"/>
    </w:rPr>
  </w:style>
  <w:style w:type="paragraph" w:customStyle="1" w:styleId="font7">
    <w:name w:val="font7"/>
    <w:basedOn w:val="Normal"/>
    <w:rsid w:val="002415B3"/>
    <w:pPr>
      <w:spacing w:before="100" w:beforeAutospacing="1" w:after="100" w:afterAutospacing="1"/>
    </w:pPr>
    <w:rPr>
      <w:rFonts w:ascii="Tahoma" w:eastAsia="Arial Unicode MS" w:hAnsi="Tahoma" w:cs="Tahoma"/>
      <w:b/>
      <w:bCs/>
      <w:color w:val="000000"/>
      <w:sz w:val="16"/>
      <w:szCs w:val="16"/>
    </w:rPr>
  </w:style>
  <w:style w:type="paragraph" w:styleId="NormalWeb">
    <w:name w:val="Normal (Web)"/>
    <w:basedOn w:val="Normal"/>
    <w:uiPriority w:val="99"/>
    <w:rsid w:val="002415B3"/>
    <w:pPr>
      <w:spacing w:before="100" w:beforeAutospacing="1" w:after="100" w:afterAutospacing="1"/>
    </w:pPr>
    <w:rPr>
      <w:rFonts w:ascii="Arial Unicode MS" w:eastAsia="Arial Unicode MS" w:hAnsi="Arial Unicode MS" w:cs="Arial Unicode MS"/>
    </w:rPr>
  </w:style>
  <w:style w:type="character" w:styleId="Strong">
    <w:name w:val="Strong"/>
    <w:rsid w:val="002415B3"/>
    <w:rPr>
      <w:b/>
      <w:bCs/>
    </w:rPr>
  </w:style>
  <w:style w:type="paragraph" w:styleId="BalloonText">
    <w:name w:val="Balloon Text"/>
    <w:basedOn w:val="Normal"/>
    <w:link w:val="BalloonTextChar"/>
    <w:uiPriority w:val="99"/>
    <w:semiHidden/>
    <w:rsid w:val="002415B3"/>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415B3"/>
    <w:rPr>
      <w:rFonts w:ascii="Tahoma" w:eastAsia="Times New Roman" w:hAnsi="Tahoma" w:cs="Tahoma"/>
      <w:sz w:val="16"/>
      <w:szCs w:val="16"/>
      <w:lang w:val="en-GB"/>
    </w:rPr>
  </w:style>
  <w:style w:type="paragraph" w:styleId="FootnoteText">
    <w:name w:val="footnote text"/>
    <w:basedOn w:val="Normal"/>
    <w:link w:val="FootnoteTextChar"/>
    <w:uiPriority w:val="99"/>
    <w:semiHidden/>
    <w:rsid w:val="002415B3"/>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semiHidden/>
    <w:rsid w:val="002415B3"/>
    <w:rPr>
      <w:rFonts w:ascii="Times New Roman" w:eastAsia="Times New Roman" w:hAnsi="Times New Roman" w:cs="Times New Roman"/>
      <w:sz w:val="20"/>
      <w:szCs w:val="20"/>
      <w:lang w:val="en-GB"/>
    </w:rPr>
  </w:style>
  <w:style w:type="character" w:styleId="FootnoteReference">
    <w:name w:val="footnote reference"/>
    <w:uiPriority w:val="99"/>
    <w:semiHidden/>
    <w:rsid w:val="002415B3"/>
    <w:rPr>
      <w:vertAlign w:val="superscript"/>
    </w:rPr>
  </w:style>
  <w:style w:type="paragraph" w:customStyle="1" w:styleId="StyleHeading2NotItalicHanging127cm">
    <w:name w:val="Style Heading 2 + Not Italic Hanging:  1.27 cm"/>
    <w:basedOn w:val="Heading2"/>
    <w:rsid w:val="002415B3"/>
    <w:pPr>
      <w:tabs>
        <w:tab w:val="clear" w:pos="360"/>
        <w:tab w:val="clear" w:pos="7740"/>
      </w:tabs>
    </w:pPr>
    <w:rPr>
      <w:b w:val="0"/>
      <w:bCs w:val="0"/>
      <w:sz w:val="24"/>
      <w:szCs w:val="20"/>
    </w:rPr>
  </w:style>
  <w:style w:type="paragraph" w:customStyle="1" w:styleId="normal-p0">
    <w:name w:val="normal-p0"/>
    <w:basedOn w:val="Normal"/>
    <w:rsid w:val="002415B3"/>
    <w:rPr>
      <w:rFonts w:ascii="Times New Roman" w:eastAsia="Times New Roman" w:hAnsi="Times New Roman" w:cs="Times New Roman"/>
      <w:color w:val="000000"/>
      <w:lang w:eastAsia="en-GB"/>
    </w:rPr>
  </w:style>
  <w:style w:type="character" w:customStyle="1" w:styleId="normal-c11">
    <w:name w:val="normal-c11"/>
    <w:rsid w:val="002415B3"/>
    <w:rPr>
      <w:rFonts w:ascii="Arial" w:hAnsi="Arial" w:cs="Arial" w:hint="default"/>
      <w:color w:val="FFFFFF"/>
      <w:sz w:val="24"/>
      <w:szCs w:val="24"/>
    </w:rPr>
  </w:style>
  <w:style w:type="paragraph" w:customStyle="1" w:styleId="Default">
    <w:name w:val="Default"/>
    <w:rsid w:val="002415B3"/>
    <w:pPr>
      <w:autoSpaceDE w:val="0"/>
      <w:autoSpaceDN w:val="0"/>
      <w:adjustRightInd w:val="0"/>
    </w:pPr>
    <w:rPr>
      <w:rFonts w:ascii="Arial" w:eastAsia="Times New Roman" w:hAnsi="Arial" w:cs="Arial"/>
      <w:color w:val="000000"/>
      <w:lang w:val="en-GB" w:eastAsia="en-GB"/>
    </w:rPr>
  </w:style>
  <w:style w:type="paragraph" w:customStyle="1" w:styleId="bodytext1">
    <w:name w:val="bodytext1"/>
    <w:basedOn w:val="Normal"/>
    <w:rsid w:val="002415B3"/>
    <w:pPr>
      <w:spacing w:before="100" w:beforeAutospacing="1" w:after="100" w:afterAutospacing="1"/>
    </w:pPr>
    <w:rPr>
      <w:rFonts w:ascii="Times New Roman" w:eastAsia="Times New Roman" w:hAnsi="Times New Roman" w:cs="Times New Roman"/>
      <w:color w:val="000000"/>
      <w:sz w:val="18"/>
      <w:szCs w:val="18"/>
      <w:lang w:eastAsia="en-GB"/>
    </w:rPr>
  </w:style>
  <w:style w:type="paragraph" w:styleId="ListParagraph">
    <w:name w:val="List Paragraph"/>
    <w:aliases w:val="List Paragrap"/>
    <w:basedOn w:val="Normal"/>
    <w:link w:val="ListParagraphChar"/>
    <w:uiPriority w:val="1"/>
    <w:qFormat/>
    <w:rsid w:val="002415B3"/>
    <w:pPr>
      <w:spacing w:after="200"/>
      <w:ind w:left="720"/>
    </w:pPr>
    <w:rPr>
      <w:rFonts w:eastAsia="Times New Roman" w:cs="Times New Roman"/>
      <w:sz w:val="22"/>
      <w:szCs w:val="22"/>
    </w:rPr>
  </w:style>
  <w:style w:type="character" w:customStyle="1" w:styleId="a3">
    <w:name w:val="a3"/>
    <w:basedOn w:val="DefaultParagraphFont"/>
    <w:rsid w:val="002415B3"/>
  </w:style>
  <w:style w:type="paragraph" w:styleId="Revision">
    <w:name w:val="Revision"/>
    <w:hidden/>
    <w:uiPriority w:val="99"/>
    <w:semiHidden/>
    <w:rsid w:val="002415B3"/>
    <w:rPr>
      <w:rFonts w:ascii="Times New Roman" w:eastAsia="Times New Roman" w:hAnsi="Times New Roman" w:cs="Times New Roman"/>
      <w:lang w:val="en-GB"/>
    </w:rPr>
  </w:style>
  <w:style w:type="paragraph" w:styleId="PlainText">
    <w:name w:val="Plain Text"/>
    <w:basedOn w:val="Normal"/>
    <w:link w:val="PlainTextChar"/>
    <w:uiPriority w:val="99"/>
    <w:unhideWhenUsed/>
    <w:rsid w:val="002415B3"/>
    <w:rPr>
      <w:rFonts w:eastAsia="Calibri" w:cs="Times New Roman"/>
      <w:color w:val="1F497D"/>
      <w:sz w:val="22"/>
      <w:szCs w:val="22"/>
    </w:rPr>
  </w:style>
  <w:style w:type="character" w:customStyle="1" w:styleId="PlainTextChar">
    <w:name w:val="Plain Text Char"/>
    <w:basedOn w:val="DefaultParagraphFont"/>
    <w:link w:val="PlainText"/>
    <w:uiPriority w:val="99"/>
    <w:rsid w:val="002415B3"/>
    <w:rPr>
      <w:rFonts w:ascii="Calibri" w:eastAsia="Calibri" w:hAnsi="Calibri" w:cs="Times New Roman"/>
      <w:color w:val="1F497D"/>
      <w:sz w:val="22"/>
      <w:szCs w:val="22"/>
      <w:lang w:val="en-GB"/>
    </w:rPr>
  </w:style>
  <w:style w:type="character" w:styleId="CommentReference">
    <w:name w:val="annotation reference"/>
    <w:basedOn w:val="DefaultParagraphFont"/>
    <w:uiPriority w:val="99"/>
    <w:rsid w:val="002415B3"/>
    <w:rPr>
      <w:sz w:val="16"/>
      <w:szCs w:val="16"/>
    </w:rPr>
  </w:style>
  <w:style w:type="paragraph" w:styleId="CommentText">
    <w:name w:val="annotation text"/>
    <w:basedOn w:val="Normal"/>
    <w:link w:val="CommentTextChar"/>
    <w:uiPriority w:val="99"/>
    <w:rsid w:val="002415B3"/>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2415B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rsid w:val="002415B3"/>
    <w:rPr>
      <w:b/>
      <w:bCs/>
    </w:rPr>
  </w:style>
  <w:style w:type="character" w:customStyle="1" w:styleId="CommentSubjectChar">
    <w:name w:val="Comment Subject Char"/>
    <w:basedOn w:val="CommentTextChar"/>
    <w:link w:val="CommentSubject"/>
    <w:uiPriority w:val="99"/>
    <w:rsid w:val="002415B3"/>
    <w:rPr>
      <w:rFonts w:ascii="Times New Roman" w:eastAsia="Times New Roman" w:hAnsi="Times New Roman" w:cs="Times New Roman"/>
      <w:b/>
      <w:bCs/>
      <w:sz w:val="20"/>
      <w:szCs w:val="20"/>
      <w:lang w:val="en-GB"/>
    </w:rPr>
  </w:style>
  <w:style w:type="table" w:customStyle="1" w:styleId="ListTable3-Accent31">
    <w:name w:val="List Table 3 - Accent 31"/>
    <w:basedOn w:val="TableNormal"/>
    <w:uiPriority w:val="48"/>
    <w:rsid w:val="002415B3"/>
    <w:rPr>
      <w:rFonts w:ascii="Times New Roman" w:eastAsia="Times New Roman" w:hAnsi="Times New Roman" w:cs="Times New Roman"/>
      <w:sz w:val="20"/>
      <w:szCs w:val="20"/>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GridTable1Light-Accent31">
    <w:name w:val="Grid Table 1 Light - Accent 31"/>
    <w:basedOn w:val="TableNormal"/>
    <w:uiPriority w:val="46"/>
    <w:rsid w:val="002415B3"/>
    <w:rPr>
      <w:rFonts w:ascii="Times New Roman" w:eastAsia="Times New Roman" w:hAnsi="Times New Roman" w:cs="Times New Roman"/>
      <w:sz w:val="20"/>
      <w:szCs w:val="20"/>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2415B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15B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415B3"/>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A16A49"/>
  </w:style>
  <w:style w:type="paragraph" w:styleId="TOC1">
    <w:name w:val="toc 1"/>
    <w:basedOn w:val="Normal"/>
    <w:next w:val="Normal"/>
    <w:autoRedefine/>
    <w:uiPriority w:val="39"/>
    <w:unhideWhenUsed/>
    <w:rsid w:val="0083454A"/>
    <w:pPr>
      <w:tabs>
        <w:tab w:val="right" w:leader="dot" w:pos="9016"/>
      </w:tabs>
      <w:spacing w:after="0" w:line="240" w:lineRule="auto"/>
    </w:pPr>
    <w:rPr>
      <w:noProof/>
      <w:szCs w:val="18"/>
      <w:lang w:val="en-AU"/>
    </w:rPr>
  </w:style>
  <w:style w:type="paragraph" w:customStyle="1" w:styleId="T1TableStyle">
    <w:name w:val="T1TableStyle"/>
  </w:style>
  <w:style w:type="paragraph" w:customStyle="1" w:styleId="Normal1">
    <w:name w:val="Normal_1"/>
    <w:qFormat/>
    <w:rsid w:val="00725A6C"/>
  </w:style>
  <w:style w:type="paragraph" w:customStyle="1" w:styleId="Normal00">
    <w:name w:val="Normal_0_0"/>
    <w:rsid w:val="00870146"/>
  </w:style>
  <w:style w:type="paragraph" w:styleId="TOC2">
    <w:name w:val="toc 2"/>
    <w:basedOn w:val="Normal"/>
    <w:next w:val="Normal"/>
    <w:autoRedefine/>
    <w:uiPriority w:val="39"/>
    <w:rsid w:val="00ED421E"/>
    <w:pPr>
      <w:tabs>
        <w:tab w:val="right" w:pos="8789"/>
      </w:tabs>
      <w:ind w:left="240"/>
    </w:pPr>
  </w:style>
  <w:style w:type="character" w:customStyle="1" w:styleId="apple-converted-space">
    <w:name w:val="apple-converted-space"/>
    <w:basedOn w:val="DefaultParagraphFont"/>
    <w:rsid w:val="009B0628"/>
  </w:style>
  <w:style w:type="paragraph" w:styleId="NoSpacing">
    <w:name w:val="No Spacing"/>
    <w:uiPriority w:val="1"/>
    <w:rsid w:val="009B0628"/>
    <w:rPr>
      <w:rFonts w:ascii="Times New Roman" w:eastAsia="Times New Roman" w:hAnsi="Times New Roman" w:cs="Times New Roman"/>
      <w:lang w:val="en-GB"/>
    </w:rPr>
  </w:style>
  <w:style w:type="character" w:styleId="Emphasis">
    <w:name w:val="Emphasis"/>
    <w:basedOn w:val="DefaultParagraphFont"/>
    <w:rsid w:val="009B0628"/>
    <w:rPr>
      <w:i/>
      <w:iCs/>
    </w:rPr>
  </w:style>
  <w:style w:type="character" w:styleId="PlaceholderText">
    <w:name w:val="Placeholder Text"/>
    <w:basedOn w:val="DefaultParagraphFont"/>
    <w:uiPriority w:val="99"/>
    <w:semiHidden/>
    <w:rsid w:val="009448E9"/>
    <w:rPr>
      <w:color w:val="808080"/>
    </w:rPr>
  </w:style>
  <w:style w:type="paragraph" w:styleId="TOCHeading">
    <w:name w:val="TOC Heading"/>
    <w:basedOn w:val="Heading1"/>
    <w:next w:val="Normal"/>
    <w:uiPriority w:val="39"/>
    <w:unhideWhenUsed/>
    <w:qFormat/>
    <w:rsid w:val="00705BDF"/>
    <w:pPr>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b/>
      <w:bCs/>
      <w:color w:val="2E74B5" w:themeColor="accent1" w:themeShade="BF"/>
      <w:spacing w:val="0"/>
      <w:szCs w:val="28"/>
      <w:lang w:val="en-US" w:eastAsia="ja-JP"/>
    </w:rPr>
  </w:style>
  <w:style w:type="paragraph" w:customStyle="1" w:styleId="VAHeading">
    <w:name w:val="VA Heading"/>
    <w:basedOn w:val="Heading2"/>
    <w:link w:val="VAHeadingChar"/>
    <w:qFormat/>
    <w:rsid w:val="005A4F99"/>
    <w:rPr>
      <w:rFonts w:asciiTheme="minorHAnsi" w:hAnsiTheme="minorHAnsi"/>
      <w:b w:val="0"/>
      <w:smallCaps/>
      <w:color w:val="25316C"/>
      <w:sz w:val="32"/>
    </w:rPr>
  </w:style>
  <w:style w:type="paragraph" w:customStyle="1" w:styleId="VAHeadingLevel2">
    <w:name w:val="VA Heading Level 2"/>
    <w:link w:val="VAHeadingLevel2Char"/>
    <w:qFormat/>
    <w:rsid w:val="00943DA3"/>
    <w:pPr>
      <w:numPr>
        <w:ilvl w:val="1"/>
      </w:numPr>
      <w:tabs>
        <w:tab w:val="left" w:pos="1418"/>
      </w:tabs>
      <w:spacing w:after="80" w:line="276" w:lineRule="auto"/>
    </w:pPr>
    <w:rPr>
      <w:rFonts w:eastAsia="Times New Roman" w:cs="Times New Roman"/>
      <w:bCs/>
      <w:color w:val="25316C"/>
      <w:lang w:val="en-GB"/>
    </w:rPr>
  </w:style>
  <w:style w:type="character" w:customStyle="1" w:styleId="VAHeadingChar">
    <w:name w:val="VA Heading Char"/>
    <w:basedOn w:val="Heading2Char"/>
    <w:link w:val="VAHeading"/>
    <w:rsid w:val="005A4F99"/>
    <w:rPr>
      <w:rFonts w:ascii="Times New Roman" w:eastAsia="Times New Roman" w:hAnsi="Times New Roman" w:cs="Times New Roman"/>
      <w:b w:val="0"/>
      <w:bCs/>
      <w:smallCaps/>
      <w:color w:val="25316C"/>
      <w:sz w:val="32"/>
      <w:lang w:val="en-GB"/>
    </w:rPr>
  </w:style>
  <w:style w:type="paragraph" w:customStyle="1" w:styleId="VAHeadingLevel3">
    <w:name w:val="VA Heading Level 3"/>
    <w:basedOn w:val="VAHeadingLevel2"/>
    <w:link w:val="VAHeadingLevel3Char"/>
    <w:qFormat/>
    <w:rsid w:val="00FC7A8D"/>
    <w:pPr>
      <w:numPr>
        <w:ilvl w:val="2"/>
      </w:numPr>
      <w:tabs>
        <w:tab w:val="clear" w:pos="1418"/>
        <w:tab w:val="left" w:pos="1985"/>
      </w:tabs>
    </w:pPr>
    <w:rPr>
      <w:rFonts w:ascii="Calibri" w:hAnsi="Calibri"/>
      <w:sz w:val="20"/>
    </w:rPr>
  </w:style>
  <w:style w:type="character" w:customStyle="1" w:styleId="VAHeadingLevel2Char">
    <w:name w:val="VA Heading Level 2 Char"/>
    <w:basedOn w:val="VAHeadingChar"/>
    <w:link w:val="VAHeadingLevel2"/>
    <w:rsid w:val="00943DA3"/>
    <w:rPr>
      <w:rFonts w:ascii="Times New Roman" w:eastAsia="Times New Roman" w:hAnsi="Times New Roman" w:cs="Times New Roman"/>
      <w:b w:val="0"/>
      <w:bCs/>
      <w:smallCaps w:val="0"/>
      <w:color w:val="25316C"/>
      <w:sz w:val="32"/>
      <w:lang w:val="en-GB"/>
    </w:rPr>
  </w:style>
  <w:style w:type="character" w:customStyle="1" w:styleId="VAHeadingLevel3Char">
    <w:name w:val="VA Heading Level 3 Char"/>
    <w:basedOn w:val="VAHeadingLevel2Char"/>
    <w:link w:val="VAHeadingLevel3"/>
    <w:rsid w:val="00FC7A8D"/>
    <w:rPr>
      <w:rFonts w:ascii="Calibri" w:eastAsia="Times New Roman" w:hAnsi="Calibri" w:cs="Times New Roman"/>
      <w:b w:val="0"/>
      <w:bCs/>
      <w:smallCaps w:val="0"/>
      <w:color w:val="25316C"/>
      <w:sz w:val="20"/>
      <w:lang w:val="en-GB"/>
    </w:rPr>
  </w:style>
  <w:style w:type="paragraph" w:customStyle="1" w:styleId="RedBullet">
    <w:name w:val="Red Bullet"/>
    <w:basedOn w:val="ListParagraph"/>
    <w:link w:val="RedBulletChar"/>
    <w:qFormat/>
    <w:rsid w:val="00AE32D7"/>
    <w:pPr>
      <w:numPr>
        <w:numId w:val="2"/>
      </w:numPr>
      <w:spacing w:after="0"/>
    </w:pPr>
    <w:rPr>
      <w:rFonts w:asciiTheme="minorHAnsi" w:hAnsiTheme="minorHAnsi"/>
      <w:sz w:val="20"/>
      <w:szCs w:val="20"/>
    </w:rPr>
  </w:style>
  <w:style w:type="character" w:customStyle="1" w:styleId="ListParagraphChar">
    <w:name w:val="List Paragraph Char"/>
    <w:aliases w:val="List Paragrap Char"/>
    <w:basedOn w:val="DefaultParagraphFont"/>
    <w:link w:val="ListParagraph"/>
    <w:uiPriority w:val="34"/>
    <w:rsid w:val="00AE0CA0"/>
    <w:rPr>
      <w:rFonts w:ascii="Calibri" w:eastAsia="Times New Roman" w:hAnsi="Calibri" w:cs="Times New Roman"/>
      <w:color w:val="000000" w:themeColor="text1"/>
      <w:sz w:val="22"/>
      <w:szCs w:val="22"/>
      <w:lang w:val="en-GB"/>
    </w:rPr>
  </w:style>
  <w:style w:type="character" w:customStyle="1" w:styleId="RedBulletChar">
    <w:name w:val="Red Bullet Char"/>
    <w:basedOn w:val="ListParagraphChar"/>
    <w:link w:val="RedBullet"/>
    <w:rsid w:val="00AE32D7"/>
    <w:rPr>
      <w:rFonts w:ascii="Calibri" w:eastAsia="Times New Roman" w:hAnsi="Calibri" w:cs="Times New Roman"/>
      <w:color w:val="000000" w:themeColor="text1"/>
      <w:sz w:val="20"/>
      <w:szCs w:val="20"/>
      <w:lang w:val="en-GB"/>
    </w:rPr>
  </w:style>
  <w:style w:type="paragraph" w:customStyle="1" w:styleId="ChapterHeading">
    <w:name w:val="Chapter Heading"/>
    <w:basedOn w:val="Heading2"/>
    <w:link w:val="ChapterHeadingChar"/>
    <w:qFormat/>
    <w:rsid w:val="005A4F99"/>
    <w:rPr>
      <w:rFonts w:asciiTheme="minorHAnsi" w:hAnsiTheme="minorHAnsi"/>
      <w:smallCaps/>
      <w:color w:val="25316C"/>
      <w:sz w:val="36"/>
    </w:rPr>
  </w:style>
  <w:style w:type="character" w:customStyle="1" w:styleId="ChapterHeadingChar">
    <w:name w:val="Chapter Heading Char"/>
    <w:basedOn w:val="VAHeadingChar"/>
    <w:link w:val="ChapterHeading"/>
    <w:rsid w:val="005A4F99"/>
    <w:rPr>
      <w:rFonts w:ascii="Times New Roman" w:eastAsia="Times New Roman" w:hAnsi="Times New Roman" w:cs="Times New Roman"/>
      <w:b/>
      <w:bCs/>
      <w:smallCaps/>
      <w:color w:val="25316C"/>
      <w:sz w:val="36"/>
      <w:lang w:val="en-GB"/>
    </w:rPr>
  </w:style>
  <w:style w:type="paragraph" w:customStyle="1" w:styleId="NoteHeader">
    <w:name w:val="Note Header"/>
    <w:basedOn w:val="VAHeading"/>
    <w:link w:val="NoteHeaderChar"/>
    <w:qFormat/>
    <w:rsid w:val="005A4F99"/>
    <w:rPr>
      <w:b/>
      <w:smallCaps w:val="0"/>
      <w:sz w:val="24"/>
      <w:u w:val="single"/>
    </w:rPr>
  </w:style>
  <w:style w:type="paragraph" w:styleId="TOC3">
    <w:name w:val="toc 3"/>
    <w:basedOn w:val="Normal"/>
    <w:next w:val="Normal"/>
    <w:autoRedefine/>
    <w:uiPriority w:val="39"/>
    <w:unhideWhenUsed/>
    <w:qFormat/>
    <w:rsid w:val="00C878E9"/>
    <w:pPr>
      <w:spacing w:after="100"/>
      <w:ind w:left="440"/>
      <w:jc w:val="left"/>
    </w:pPr>
    <w:rPr>
      <w:rFonts w:eastAsiaTheme="minorEastAsia"/>
      <w:color w:val="auto"/>
      <w:sz w:val="22"/>
      <w:szCs w:val="22"/>
      <w:lang w:val="en-US" w:eastAsia="ja-JP"/>
    </w:rPr>
  </w:style>
  <w:style w:type="character" w:customStyle="1" w:styleId="NoteHeaderChar">
    <w:name w:val="Note Header Char"/>
    <w:basedOn w:val="VAHeadingLevel2Char"/>
    <w:link w:val="NoteHeader"/>
    <w:rsid w:val="005A4F99"/>
    <w:rPr>
      <w:rFonts w:ascii="Times New Roman" w:eastAsia="Times New Roman" w:hAnsi="Times New Roman" w:cs="Times New Roman"/>
      <w:b/>
      <w:bCs/>
      <w:smallCaps w:val="0"/>
      <w:color w:val="25316C"/>
      <w:sz w:val="32"/>
      <w:u w:val="single"/>
      <w:lang w:val="en-GB"/>
    </w:rPr>
  </w:style>
  <w:style w:type="paragraph" w:customStyle="1" w:styleId="Numbering">
    <w:name w:val="Numbering"/>
    <w:basedOn w:val="VAHeadingLevel2"/>
    <w:link w:val="NumberingChar"/>
    <w:qFormat/>
    <w:rsid w:val="005A4F99"/>
    <w:pPr>
      <w:numPr>
        <w:ilvl w:val="0"/>
        <w:numId w:val="3"/>
      </w:numPr>
      <w:ind w:left="426" w:hanging="426"/>
    </w:pPr>
  </w:style>
  <w:style w:type="character" w:customStyle="1" w:styleId="NumberingChar">
    <w:name w:val="Numbering Char"/>
    <w:basedOn w:val="VAHeadingLevel2Char"/>
    <w:link w:val="Numbering"/>
    <w:rsid w:val="005A4F99"/>
    <w:rPr>
      <w:rFonts w:ascii="Times New Roman" w:eastAsia="Times New Roman" w:hAnsi="Times New Roman" w:cs="Times New Roman"/>
      <w:b w:val="0"/>
      <w:bCs/>
      <w:smallCaps w:val="0"/>
      <w:color w:val="25316C"/>
      <w:sz w:val="32"/>
      <w:lang w:val="en-GB"/>
    </w:rPr>
  </w:style>
  <w:style w:type="table" w:customStyle="1" w:styleId="TableGrid4">
    <w:name w:val="Table Grid4"/>
    <w:basedOn w:val="TableNormal"/>
    <w:next w:val="TableGrid"/>
    <w:uiPriority w:val="39"/>
    <w:rsid w:val="00973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colouredtext">
    <w:name w:val="Bullet (coloured text)"/>
    <w:basedOn w:val="VAHeadingLevel3"/>
    <w:link w:val="BulletcolouredtextChar"/>
    <w:rsid w:val="00C725A9"/>
    <w:pPr>
      <w:numPr>
        <w:ilvl w:val="0"/>
        <w:numId w:val="4"/>
      </w:numPr>
      <w:jc w:val="both"/>
    </w:pPr>
    <w:rPr>
      <w:rFonts w:ascii="Times New Roman" w:hAnsi="Times New Roman"/>
      <w:color w:val="990033"/>
    </w:rPr>
  </w:style>
  <w:style w:type="character" w:customStyle="1" w:styleId="BulletcolouredtextChar">
    <w:name w:val="Bullet (coloured text) Char"/>
    <w:basedOn w:val="VAHeadingLevel3Char"/>
    <w:link w:val="Bulletcolouredtext"/>
    <w:rsid w:val="00C725A9"/>
    <w:rPr>
      <w:rFonts w:ascii="Times New Roman" w:eastAsia="Times New Roman" w:hAnsi="Times New Roman" w:cs="Times New Roman"/>
      <w:b w:val="0"/>
      <w:bCs/>
      <w:smallCaps w:val="0"/>
      <w:color w:val="990033"/>
      <w:sz w:val="20"/>
      <w:lang w:val="en-GB"/>
    </w:rPr>
  </w:style>
  <w:style w:type="paragraph" w:customStyle="1" w:styleId="Bulletscolouredtext">
    <w:name w:val="Bullets (coloured text)"/>
    <w:basedOn w:val="VAHeadingLevel3"/>
    <w:link w:val="BulletscolouredtextChar"/>
    <w:autoRedefine/>
    <w:qFormat/>
    <w:rsid w:val="005A4F99"/>
    <w:pPr>
      <w:numPr>
        <w:ilvl w:val="0"/>
        <w:numId w:val="5"/>
      </w:numPr>
    </w:pPr>
  </w:style>
  <w:style w:type="character" w:customStyle="1" w:styleId="BulletscolouredtextChar">
    <w:name w:val="Bullets (coloured text) Char"/>
    <w:basedOn w:val="VAHeadingLevel3Char"/>
    <w:link w:val="Bulletscolouredtext"/>
    <w:rsid w:val="005A4F99"/>
    <w:rPr>
      <w:rFonts w:ascii="Calibri" w:eastAsia="Times New Roman" w:hAnsi="Calibri" w:cs="Times New Roman"/>
      <w:b w:val="0"/>
      <w:bCs/>
      <w:smallCaps w:val="0"/>
      <w:color w:val="25316C"/>
      <w:sz w:val="20"/>
      <w:lang w:val="en-GB"/>
    </w:rPr>
  </w:style>
  <w:style w:type="character" w:styleId="UnresolvedMention">
    <w:name w:val="Unresolved Mention"/>
    <w:basedOn w:val="DefaultParagraphFont"/>
    <w:uiPriority w:val="99"/>
    <w:unhideWhenUsed/>
    <w:rsid w:val="00C24415"/>
    <w:rPr>
      <w:color w:val="605E5C"/>
      <w:shd w:val="clear" w:color="auto" w:fill="E1DFDD"/>
    </w:rPr>
  </w:style>
  <w:style w:type="character" w:styleId="Mention">
    <w:name w:val="Mention"/>
    <w:basedOn w:val="DefaultParagraphFont"/>
    <w:uiPriority w:val="99"/>
    <w:unhideWhenUsed/>
    <w:rsid w:val="00C24415"/>
    <w:rPr>
      <w:color w:val="2B579A"/>
      <w:shd w:val="clear" w:color="auto" w:fill="E1DFDD"/>
    </w:rPr>
  </w:style>
  <w:style w:type="character" w:customStyle="1" w:styleId="FirebulletChar">
    <w:name w:val="Fire bullet Char"/>
    <w:basedOn w:val="DefaultParagraphFont"/>
    <w:link w:val="Firebullet"/>
    <w:locked/>
    <w:rsid w:val="005F41F0"/>
    <w:rPr>
      <w:rFonts w:ascii="Calibri" w:eastAsia="Calibri" w:hAnsi="Calibri" w:cs="Calibri"/>
    </w:rPr>
  </w:style>
  <w:style w:type="paragraph" w:customStyle="1" w:styleId="Firebullet">
    <w:name w:val="Fire bullet"/>
    <w:basedOn w:val="ListParagraph"/>
    <w:link w:val="FirebulletChar"/>
    <w:qFormat/>
    <w:rsid w:val="005F41F0"/>
    <w:pPr>
      <w:numPr>
        <w:numId w:val="7"/>
      </w:numPr>
      <w:spacing w:after="0"/>
      <w:ind w:left="284" w:hanging="284"/>
      <w:contextualSpacing/>
    </w:pPr>
    <w:rPr>
      <w:rFonts w:eastAsia="Calibri" w:cs="Calibri"/>
      <w:color w:val="auto"/>
      <w:sz w:val="24"/>
      <w:szCs w:val="24"/>
      <w:lang w:val="en-US"/>
    </w:rPr>
  </w:style>
  <w:style w:type="paragraph" w:styleId="TOC4">
    <w:name w:val="toc 4"/>
    <w:basedOn w:val="Normal"/>
    <w:next w:val="Normal"/>
    <w:autoRedefine/>
    <w:uiPriority w:val="39"/>
    <w:unhideWhenUsed/>
    <w:rsid w:val="00DD1BD6"/>
    <w:pPr>
      <w:spacing w:after="100" w:line="278" w:lineRule="auto"/>
      <w:ind w:left="720"/>
      <w:jc w:val="left"/>
    </w:pPr>
    <w:rPr>
      <w:rFonts w:asciiTheme="minorHAnsi" w:eastAsiaTheme="minorEastAsia" w:hAnsiTheme="minorHAnsi"/>
      <w:color w:val="auto"/>
      <w:kern w:val="2"/>
      <w:sz w:val="24"/>
      <w:lang w:eastAsia="en-GB"/>
      <w14:ligatures w14:val="standardContextual"/>
    </w:rPr>
  </w:style>
  <w:style w:type="paragraph" w:styleId="TOC5">
    <w:name w:val="toc 5"/>
    <w:basedOn w:val="Normal"/>
    <w:next w:val="Normal"/>
    <w:autoRedefine/>
    <w:uiPriority w:val="39"/>
    <w:unhideWhenUsed/>
    <w:rsid w:val="00DD1BD6"/>
    <w:pPr>
      <w:spacing w:after="100" w:line="278" w:lineRule="auto"/>
      <w:ind w:left="960"/>
      <w:jc w:val="left"/>
    </w:pPr>
    <w:rPr>
      <w:rFonts w:asciiTheme="minorHAnsi" w:eastAsiaTheme="minorEastAsia" w:hAnsiTheme="minorHAnsi"/>
      <w:color w:val="auto"/>
      <w:kern w:val="2"/>
      <w:sz w:val="24"/>
      <w:lang w:eastAsia="en-GB"/>
      <w14:ligatures w14:val="standardContextual"/>
    </w:rPr>
  </w:style>
  <w:style w:type="paragraph" w:styleId="TOC6">
    <w:name w:val="toc 6"/>
    <w:basedOn w:val="Normal"/>
    <w:next w:val="Normal"/>
    <w:autoRedefine/>
    <w:uiPriority w:val="39"/>
    <w:unhideWhenUsed/>
    <w:rsid w:val="00DD1BD6"/>
    <w:pPr>
      <w:spacing w:after="100" w:line="278" w:lineRule="auto"/>
      <w:ind w:left="1200"/>
      <w:jc w:val="left"/>
    </w:pPr>
    <w:rPr>
      <w:rFonts w:asciiTheme="minorHAnsi" w:eastAsiaTheme="minorEastAsia" w:hAnsiTheme="minorHAnsi"/>
      <w:color w:val="auto"/>
      <w:kern w:val="2"/>
      <w:sz w:val="24"/>
      <w:lang w:eastAsia="en-GB"/>
      <w14:ligatures w14:val="standardContextual"/>
    </w:rPr>
  </w:style>
  <w:style w:type="paragraph" w:styleId="TOC7">
    <w:name w:val="toc 7"/>
    <w:basedOn w:val="Normal"/>
    <w:next w:val="Normal"/>
    <w:autoRedefine/>
    <w:uiPriority w:val="39"/>
    <w:unhideWhenUsed/>
    <w:rsid w:val="00DD1BD6"/>
    <w:pPr>
      <w:spacing w:after="100" w:line="278" w:lineRule="auto"/>
      <w:ind w:left="1440"/>
      <w:jc w:val="left"/>
    </w:pPr>
    <w:rPr>
      <w:rFonts w:asciiTheme="minorHAnsi" w:eastAsiaTheme="minorEastAsia" w:hAnsiTheme="minorHAnsi"/>
      <w:color w:val="auto"/>
      <w:kern w:val="2"/>
      <w:sz w:val="24"/>
      <w:lang w:eastAsia="en-GB"/>
      <w14:ligatures w14:val="standardContextual"/>
    </w:rPr>
  </w:style>
  <w:style w:type="paragraph" w:styleId="TOC8">
    <w:name w:val="toc 8"/>
    <w:basedOn w:val="Normal"/>
    <w:next w:val="Normal"/>
    <w:autoRedefine/>
    <w:uiPriority w:val="39"/>
    <w:unhideWhenUsed/>
    <w:rsid w:val="00DD1BD6"/>
    <w:pPr>
      <w:spacing w:after="100" w:line="278" w:lineRule="auto"/>
      <w:ind w:left="1680"/>
      <w:jc w:val="left"/>
    </w:pPr>
    <w:rPr>
      <w:rFonts w:asciiTheme="minorHAnsi" w:eastAsiaTheme="minorEastAsia" w:hAnsiTheme="minorHAnsi"/>
      <w:color w:val="auto"/>
      <w:kern w:val="2"/>
      <w:sz w:val="24"/>
      <w:lang w:eastAsia="en-GB"/>
      <w14:ligatures w14:val="standardContextual"/>
    </w:rPr>
  </w:style>
  <w:style w:type="paragraph" w:styleId="TOC9">
    <w:name w:val="toc 9"/>
    <w:basedOn w:val="Normal"/>
    <w:next w:val="Normal"/>
    <w:autoRedefine/>
    <w:uiPriority w:val="39"/>
    <w:unhideWhenUsed/>
    <w:rsid w:val="00DD1BD6"/>
    <w:pPr>
      <w:spacing w:after="100" w:line="278" w:lineRule="auto"/>
      <w:ind w:left="1920"/>
      <w:jc w:val="left"/>
    </w:pPr>
    <w:rPr>
      <w:rFonts w:asciiTheme="minorHAnsi" w:eastAsiaTheme="minorEastAsia" w:hAnsiTheme="minorHAnsi"/>
      <w:color w:val="auto"/>
      <w:kern w:val="2"/>
      <w:sz w:val="24"/>
      <w:lang w:eastAsia="en-GB"/>
      <w14:ligatures w14:val="standardContextual"/>
    </w:rPr>
  </w:style>
  <w:style w:type="paragraph" w:styleId="Title">
    <w:name w:val="Title"/>
    <w:basedOn w:val="Normal"/>
    <w:next w:val="Normal"/>
    <w:link w:val="TitleChar"/>
    <w:uiPriority w:val="1"/>
    <w:qFormat/>
    <w:rsid w:val="003D06FE"/>
    <w:pPr>
      <w:autoSpaceDE w:val="0"/>
      <w:autoSpaceDN w:val="0"/>
      <w:adjustRightInd w:val="0"/>
      <w:spacing w:line="284" w:lineRule="exact"/>
      <w:ind w:left="40"/>
      <w:jc w:val="left"/>
    </w:pPr>
    <w:rPr>
      <w:rFonts w:ascii="Arial" w:hAnsi="Arial" w:cs="Arial"/>
      <w:color w:val="auto"/>
      <w:sz w:val="26"/>
      <w:szCs w:val="26"/>
    </w:rPr>
  </w:style>
  <w:style w:type="character" w:customStyle="1" w:styleId="TitleChar">
    <w:name w:val="Title Char"/>
    <w:basedOn w:val="DefaultParagraphFont"/>
    <w:link w:val="Title"/>
    <w:uiPriority w:val="1"/>
    <w:rsid w:val="003D06FE"/>
    <w:rPr>
      <w:rFonts w:ascii="Arial" w:hAnsi="Arial" w:cs="Arial"/>
      <w:sz w:val="26"/>
      <w:szCs w:val="26"/>
      <w:lang w:val="en-GB"/>
    </w:rPr>
  </w:style>
  <w:style w:type="paragraph" w:customStyle="1" w:styleId="TableParagraph">
    <w:name w:val="Table Paragraph"/>
    <w:basedOn w:val="Normal"/>
    <w:uiPriority w:val="1"/>
    <w:qFormat/>
    <w:rsid w:val="003D06FE"/>
    <w:pPr>
      <w:autoSpaceDE w:val="0"/>
      <w:autoSpaceDN w:val="0"/>
      <w:adjustRightInd w:val="0"/>
      <w:spacing w:line="240" w:lineRule="auto"/>
      <w:jc w:val="left"/>
    </w:pPr>
    <w:rPr>
      <w:rFonts w:ascii="Times New Roman" w:hAnsi="Times New Roman" w:cs="Times New Roman"/>
      <w:color w:val="auto"/>
      <w:sz w:val="24"/>
    </w:rPr>
  </w:style>
  <w:style w:type="paragraph" w:customStyle="1" w:styleId="MainBody">
    <w:name w:val="Main Body"/>
    <w:basedOn w:val="ListParagraph"/>
    <w:autoRedefine/>
    <w:qFormat/>
    <w:rsid w:val="00EA47B5"/>
    <w:pPr>
      <w:numPr>
        <w:ilvl w:val="1"/>
        <w:numId w:val="8"/>
      </w:numPr>
      <w:spacing w:after="120" w:line="360" w:lineRule="auto"/>
      <w:ind w:left="993" w:hanging="633"/>
      <w:contextualSpacing/>
    </w:pPr>
    <w:rPr>
      <w:rFonts w:eastAsia="Calibri"/>
      <w:color w:val="auto"/>
      <w:sz w:val="24"/>
      <w:szCs w:val="24"/>
    </w:rPr>
  </w:style>
  <w:style w:type="paragraph" w:customStyle="1" w:styleId="heading10">
    <w:name w:val="heading 10"/>
    <w:basedOn w:val="Heading2"/>
    <w:autoRedefine/>
    <w:qFormat/>
    <w:rsid w:val="00EA47B5"/>
    <w:pPr>
      <w:keepLines/>
      <w:numPr>
        <w:numId w:val="8"/>
      </w:numPr>
      <w:tabs>
        <w:tab w:val="clear" w:pos="360"/>
        <w:tab w:val="clear" w:pos="7740"/>
      </w:tabs>
      <w:spacing w:before="40" w:line="360" w:lineRule="auto"/>
      <w:ind w:left="383" w:hanging="284"/>
      <w:jc w:val="left"/>
    </w:pPr>
    <w:rPr>
      <w:rFonts w:asciiTheme="minorHAnsi" w:hAnsiTheme="minorHAnsi" w:cstheme="minorHAnsi"/>
      <w:color w:val="auto"/>
      <w:sz w:val="24"/>
      <w:szCs w:val="22"/>
    </w:rPr>
  </w:style>
  <w:style w:type="paragraph" w:customStyle="1" w:styleId="Subheadings">
    <w:name w:val="Subheadings"/>
    <w:basedOn w:val="MainBody"/>
    <w:qFormat/>
    <w:rsid w:val="00EA47B5"/>
    <w:pPr>
      <w:numPr>
        <w:ilvl w:val="2"/>
      </w:numPr>
      <w:ind w:left="2160" w:hanging="360"/>
    </w:pPr>
  </w:style>
  <w:style w:type="numbering" w:customStyle="1" w:styleId="NoList1">
    <w:name w:val="No List1"/>
    <w:next w:val="NoList"/>
    <w:uiPriority w:val="99"/>
    <w:semiHidden/>
    <w:unhideWhenUsed/>
    <w:rsid w:val="00353005"/>
  </w:style>
  <w:style w:type="table" w:customStyle="1" w:styleId="ListTable3-Accent311">
    <w:name w:val="List Table 3 - Accent 311"/>
    <w:basedOn w:val="TableNormal"/>
    <w:uiPriority w:val="48"/>
    <w:rsid w:val="00353005"/>
    <w:rPr>
      <w:rFonts w:ascii="Times New Roman" w:eastAsia="Times New Roman" w:hAnsi="Times New Roman" w:cs="Times New Roman"/>
      <w:sz w:val="20"/>
      <w:szCs w:val="20"/>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GridTable1Light-Accent311">
    <w:name w:val="Grid Table 1 Light - Accent 311"/>
    <w:basedOn w:val="TableNormal"/>
    <w:uiPriority w:val="46"/>
    <w:rsid w:val="00353005"/>
    <w:rPr>
      <w:rFonts w:ascii="Times New Roman" w:eastAsia="Times New Roman" w:hAnsi="Times New Roman" w:cs="Times New Roman"/>
      <w:sz w:val="20"/>
      <w:szCs w:val="20"/>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NarrativeHeading">
    <w:name w:val="Narrative Heading"/>
    <w:basedOn w:val="Normal"/>
    <w:link w:val="NarrativeHeadingChar"/>
    <w:qFormat/>
    <w:rsid w:val="00503560"/>
    <w:pPr>
      <w:keepNext/>
      <w:tabs>
        <w:tab w:val="left" w:pos="360"/>
        <w:tab w:val="left" w:pos="7740"/>
      </w:tabs>
      <w:spacing w:line="240" w:lineRule="auto"/>
      <w:outlineLvl w:val="1"/>
    </w:pPr>
    <w:rPr>
      <w:rFonts w:asciiTheme="minorHAnsi" w:eastAsia="Times New Roman" w:hAnsiTheme="minorHAnsi" w:cs="Times New Roman"/>
      <w:bCs/>
      <w:smallCaps/>
      <w:color w:val="25316C"/>
      <w:sz w:val="32"/>
    </w:rPr>
  </w:style>
  <w:style w:type="character" w:customStyle="1" w:styleId="NarrativeHeadingChar">
    <w:name w:val="Narrative Heading Char"/>
    <w:basedOn w:val="DefaultParagraphFont"/>
    <w:link w:val="NarrativeHeading"/>
    <w:rsid w:val="00503560"/>
    <w:rPr>
      <w:rFonts w:eastAsia="Times New Roman" w:cs="Times New Roman"/>
      <w:bCs/>
      <w:smallCaps/>
      <w:color w:val="25316C"/>
      <w:sz w:val="32"/>
      <w:lang w:val="en-GB"/>
    </w:rPr>
  </w:style>
  <w:style w:type="character" w:customStyle="1" w:styleId="wacimagecontainer">
    <w:name w:val="wacimagecontainer"/>
    <w:basedOn w:val="DefaultParagraphFont"/>
    <w:rsid w:val="00740F4A"/>
  </w:style>
  <w:style w:type="paragraph" w:styleId="Bibliography">
    <w:name w:val="Bibliography"/>
    <w:basedOn w:val="Normal"/>
    <w:next w:val="Normal"/>
    <w:uiPriority w:val="37"/>
    <w:semiHidden/>
    <w:unhideWhenUsed/>
    <w:rsid w:val="00A24A4C"/>
  </w:style>
  <w:style w:type="paragraph" w:styleId="BlockText">
    <w:name w:val="Block Text"/>
    <w:basedOn w:val="Normal"/>
    <w:uiPriority w:val="99"/>
    <w:semiHidden/>
    <w:unhideWhenUsed/>
    <w:rsid w:val="00A24A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FirstIndent">
    <w:name w:val="Body Text First Indent"/>
    <w:basedOn w:val="BodyText"/>
    <w:link w:val="BodyTextFirstIndentChar"/>
    <w:uiPriority w:val="99"/>
    <w:semiHidden/>
    <w:unhideWhenUsed/>
    <w:rsid w:val="00A24A4C"/>
    <w:pPr>
      <w:tabs>
        <w:tab w:val="clear" w:pos="360"/>
        <w:tab w:val="clear" w:pos="7020"/>
      </w:tabs>
      <w:ind w:firstLine="360"/>
    </w:pPr>
    <w:rPr>
      <w:rFonts w:ascii="Calibri" w:eastAsiaTheme="minorHAnsi" w:hAnsi="Calibri" w:cstheme="minorBidi"/>
      <w:b w:val="0"/>
      <w:bCs w:val="0"/>
      <w:sz w:val="20"/>
    </w:rPr>
  </w:style>
  <w:style w:type="character" w:customStyle="1" w:styleId="BodyTextFirstIndentChar">
    <w:name w:val="Body Text First Indent Char"/>
    <w:basedOn w:val="BodyTextChar"/>
    <w:link w:val="BodyTextFirstIndent"/>
    <w:uiPriority w:val="99"/>
    <w:semiHidden/>
    <w:rsid w:val="00A24A4C"/>
    <w:rPr>
      <w:rFonts w:ascii="Calibri" w:eastAsia="Times New Roman" w:hAnsi="Calibri" w:cs="Times New Roman"/>
      <w:b w:val="0"/>
      <w:bCs w:val="0"/>
      <w:color w:val="000000" w:themeColor="text1"/>
      <w:sz w:val="20"/>
      <w:lang w:val="en-GB"/>
    </w:rPr>
  </w:style>
  <w:style w:type="paragraph" w:styleId="BodyTextFirstIndent2">
    <w:name w:val="Body Text First Indent 2"/>
    <w:basedOn w:val="BodyTextIndent"/>
    <w:link w:val="BodyTextFirstIndent2Char"/>
    <w:uiPriority w:val="99"/>
    <w:semiHidden/>
    <w:unhideWhenUsed/>
    <w:rsid w:val="00A24A4C"/>
    <w:pPr>
      <w:tabs>
        <w:tab w:val="clear" w:pos="3960"/>
      </w:tabs>
      <w:ind w:left="360" w:firstLine="360"/>
    </w:pPr>
    <w:rPr>
      <w:rFonts w:ascii="Calibri" w:eastAsiaTheme="minorHAnsi" w:hAnsi="Calibri" w:cstheme="minorBidi"/>
    </w:rPr>
  </w:style>
  <w:style w:type="character" w:customStyle="1" w:styleId="BodyTextFirstIndent2Char">
    <w:name w:val="Body Text First Indent 2 Char"/>
    <w:basedOn w:val="BodyTextIndentChar"/>
    <w:link w:val="BodyTextFirstIndent2"/>
    <w:uiPriority w:val="99"/>
    <w:semiHidden/>
    <w:rsid w:val="00A24A4C"/>
    <w:rPr>
      <w:rFonts w:ascii="Calibri" w:eastAsia="Times New Roman" w:hAnsi="Calibri" w:cs="Times New Roman"/>
      <w:color w:val="000000" w:themeColor="text1"/>
      <w:sz w:val="20"/>
      <w:lang w:val="en-GB"/>
    </w:rPr>
  </w:style>
  <w:style w:type="paragraph" w:styleId="Closing">
    <w:name w:val="Closing"/>
    <w:basedOn w:val="Normal"/>
    <w:link w:val="ClosingChar"/>
    <w:uiPriority w:val="99"/>
    <w:semiHidden/>
    <w:unhideWhenUsed/>
    <w:rsid w:val="00A24A4C"/>
    <w:pPr>
      <w:spacing w:line="240" w:lineRule="auto"/>
      <w:ind w:left="4252"/>
    </w:pPr>
  </w:style>
  <w:style w:type="character" w:customStyle="1" w:styleId="ClosingChar">
    <w:name w:val="Closing Char"/>
    <w:basedOn w:val="DefaultParagraphFont"/>
    <w:link w:val="Closing"/>
    <w:uiPriority w:val="99"/>
    <w:semiHidden/>
    <w:rsid w:val="00A24A4C"/>
    <w:rPr>
      <w:rFonts w:ascii="Calibri" w:hAnsi="Calibri"/>
      <w:color w:val="000000" w:themeColor="text1"/>
      <w:sz w:val="20"/>
      <w:lang w:val="en-GB"/>
    </w:rPr>
  </w:style>
  <w:style w:type="paragraph" w:styleId="Date">
    <w:name w:val="Date"/>
    <w:basedOn w:val="Normal"/>
    <w:next w:val="Normal"/>
    <w:link w:val="DateChar"/>
    <w:uiPriority w:val="99"/>
    <w:semiHidden/>
    <w:unhideWhenUsed/>
    <w:rsid w:val="00A24A4C"/>
  </w:style>
  <w:style w:type="character" w:customStyle="1" w:styleId="DateChar">
    <w:name w:val="Date Char"/>
    <w:basedOn w:val="DefaultParagraphFont"/>
    <w:link w:val="Date"/>
    <w:uiPriority w:val="99"/>
    <w:semiHidden/>
    <w:rsid w:val="00A24A4C"/>
    <w:rPr>
      <w:rFonts w:ascii="Calibri" w:hAnsi="Calibri"/>
      <w:color w:val="000000" w:themeColor="text1"/>
      <w:sz w:val="20"/>
      <w:lang w:val="en-GB"/>
    </w:rPr>
  </w:style>
  <w:style w:type="paragraph" w:styleId="DocumentMap">
    <w:name w:val="Document Map"/>
    <w:basedOn w:val="Normal"/>
    <w:link w:val="DocumentMapChar"/>
    <w:uiPriority w:val="99"/>
    <w:semiHidden/>
    <w:unhideWhenUsed/>
    <w:rsid w:val="00A24A4C"/>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24A4C"/>
    <w:rPr>
      <w:rFonts w:ascii="Segoe UI" w:hAnsi="Segoe UI" w:cs="Segoe UI"/>
      <w:color w:val="000000" w:themeColor="text1"/>
      <w:sz w:val="16"/>
      <w:szCs w:val="16"/>
      <w:lang w:val="en-GB"/>
    </w:rPr>
  </w:style>
  <w:style w:type="paragraph" w:styleId="EmailSignature">
    <w:name w:val="E-mail Signature"/>
    <w:basedOn w:val="Normal"/>
    <w:link w:val="EmailSignatureChar"/>
    <w:uiPriority w:val="99"/>
    <w:semiHidden/>
    <w:unhideWhenUsed/>
    <w:rsid w:val="00A24A4C"/>
    <w:pPr>
      <w:spacing w:line="240" w:lineRule="auto"/>
    </w:pPr>
  </w:style>
  <w:style w:type="character" w:customStyle="1" w:styleId="EmailSignatureChar">
    <w:name w:val="Email Signature Char"/>
    <w:basedOn w:val="DefaultParagraphFont"/>
    <w:link w:val="EmailSignature"/>
    <w:uiPriority w:val="99"/>
    <w:semiHidden/>
    <w:rsid w:val="00A24A4C"/>
    <w:rPr>
      <w:rFonts w:ascii="Calibri" w:hAnsi="Calibri"/>
      <w:color w:val="000000" w:themeColor="text1"/>
      <w:sz w:val="20"/>
      <w:lang w:val="en-GB"/>
    </w:rPr>
  </w:style>
  <w:style w:type="paragraph" w:styleId="EndnoteText">
    <w:name w:val="endnote text"/>
    <w:basedOn w:val="Normal"/>
    <w:link w:val="EndnoteTextChar"/>
    <w:uiPriority w:val="99"/>
    <w:semiHidden/>
    <w:unhideWhenUsed/>
    <w:rsid w:val="00A24A4C"/>
    <w:pPr>
      <w:spacing w:line="240" w:lineRule="auto"/>
    </w:pPr>
    <w:rPr>
      <w:szCs w:val="20"/>
    </w:rPr>
  </w:style>
  <w:style w:type="character" w:customStyle="1" w:styleId="EndnoteTextChar">
    <w:name w:val="Endnote Text Char"/>
    <w:basedOn w:val="DefaultParagraphFont"/>
    <w:link w:val="EndnoteText"/>
    <w:uiPriority w:val="99"/>
    <w:semiHidden/>
    <w:rsid w:val="00A24A4C"/>
    <w:rPr>
      <w:rFonts w:ascii="Calibri" w:hAnsi="Calibri"/>
      <w:color w:val="000000" w:themeColor="text1"/>
      <w:sz w:val="20"/>
      <w:szCs w:val="20"/>
      <w:lang w:val="en-GB"/>
    </w:rPr>
  </w:style>
  <w:style w:type="paragraph" w:styleId="EnvelopeAddress">
    <w:name w:val="envelope address"/>
    <w:basedOn w:val="Normal"/>
    <w:uiPriority w:val="99"/>
    <w:semiHidden/>
    <w:unhideWhenUsed/>
    <w:rsid w:val="00A24A4C"/>
    <w:pPr>
      <w:framePr w:w="7920" w:h="1980" w:hRule="exact" w:hSpace="180" w:wrap="auto" w:hAnchor="page" w:xAlign="center" w:yAlign="bottom"/>
      <w:spacing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A24A4C"/>
    <w:pPr>
      <w:spacing w:line="240" w:lineRule="auto"/>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A24A4C"/>
    <w:pPr>
      <w:spacing w:line="240" w:lineRule="auto"/>
    </w:pPr>
    <w:rPr>
      <w:i/>
      <w:iCs/>
    </w:rPr>
  </w:style>
  <w:style w:type="character" w:customStyle="1" w:styleId="HTMLAddressChar">
    <w:name w:val="HTML Address Char"/>
    <w:basedOn w:val="DefaultParagraphFont"/>
    <w:link w:val="HTMLAddress"/>
    <w:uiPriority w:val="99"/>
    <w:semiHidden/>
    <w:rsid w:val="00A24A4C"/>
    <w:rPr>
      <w:rFonts w:ascii="Calibri" w:hAnsi="Calibri"/>
      <w:i/>
      <w:iCs/>
      <w:color w:val="000000" w:themeColor="text1"/>
      <w:sz w:val="20"/>
      <w:lang w:val="en-GB"/>
    </w:rPr>
  </w:style>
  <w:style w:type="paragraph" w:styleId="HTMLPreformatted">
    <w:name w:val="HTML Preformatted"/>
    <w:basedOn w:val="Normal"/>
    <w:link w:val="HTMLPreformattedChar"/>
    <w:uiPriority w:val="99"/>
    <w:semiHidden/>
    <w:unhideWhenUsed/>
    <w:rsid w:val="00A24A4C"/>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24A4C"/>
    <w:rPr>
      <w:rFonts w:ascii="Consolas" w:hAnsi="Consolas"/>
      <w:color w:val="000000" w:themeColor="text1"/>
      <w:sz w:val="20"/>
      <w:szCs w:val="20"/>
      <w:lang w:val="en-GB"/>
    </w:rPr>
  </w:style>
  <w:style w:type="paragraph" w:styleId="Index1">
    <w:name w:val="index 1"/>
    <w:basedOn w:val="Normal"/>
    <w:next w:val="Normal"/>
    <w:autoRedefine/>
    <w:uiPriority w:val="99"/>
    <w:semiHidden/>
    <w:unhideWhenUsed/>
    <w:rsid w:val="00A24A4C"/>
    <w:pPr>
      <w:spacing w:line="240" w:lineRule="auto"/>
      <w:ind w:left="200" w:hanging="200"/>
    </w:pPr>
  </w:style>
  <w:style w:type="paragraph" w:styleId="Index2">
    <w:name w:val="index 2"/>
    <w:basedOn w:val="Normal"/>
    <w:next w:val="Normal"/>
    <w:autoRedefine/>
    <w:uiPriority w:val="99"/>
    <w:semiHidden/>
    <w:unhideWhenUsed/>
    <w:rsid w:val="00A24A4C"/>
    <w:pPr>
      <w:spacing w:line="240" w:lineRule="auto"/>
      <w:ind w:left="400" w:hanging="200"/>
    </w:pPr>
  </w:style>
  <w:style w:type="paragraph" w:styleId="Index3">
    <w:name w:val="index 3"/>
    <w:basedOn w:val="Normal"/>
    <w:next w:val="Normal"/>
    <w:autoRedefine/>
    <w:uiPriority w:val="99"/>
    <w:semiHidden/>
    <w:unhideWhenUsed/>
    <w:rsid w:val="00A24A4C"/>
    <w:pPr>
      <w:spacing w:line="240" w:lineRule="auto"/>
      <w:ind w:left="600" w:hanging="200"/>
    </w:pPr>
  </w:style>
  <w:style w:type="paragraph" w:styleId="Index4">
    <w:name w:val="index 4"/>
    <w:basedOn w:val="Normal"/>
    <w:next w:val="Normal"/>
    <w:autoRedefine/>
    <w:uiPriority w:val="99"/>
    <w:semiHidden/>
    <w:unhideWhenUsed/>
    <w:rsid w:val="00A24A4C"/>
    <w:pPr>
      <w:spacing w:line="240" w:lineRule="auto"/>
      <w:ind w:left="800" w:hanging="200"/>
    </w:pPr>
  </w:style>
  <w:style w:type="paragraph" w:styleId="Index5">
    <w:name w:val="index 5"/>
    <w:basedOn w:val="Normal"/>
    <w:next w:val="Normal"/>
    <w:autoRedefine/>
    <w:uiPriority w:val="99"/>
    <w:semiHidden/>
    <w:unhideWhenUsed/>
    <w:rsid w:val="00A24A4C"/>
    <w:pPr>
      <w:spacing w:line="240" w:lineRule="auto"/>
      <w:ind w:left="1000" w:hanging="200"/>
    </w:pPr>
  </w:style>
  <w:style w:type="paragraph" w:styleId="Index6">
    <w:name w:val="index 6"/>
    <w:basedOn w:val="Normal"/>
    <w:next w:val="Normal"/>
    <w:autoRedefine/>
    <w:uiPriority w:val="99"/>
    <w:semiHidden/>
    <w:unhideWhenUsed/>
    <w:rsid w:val="00A24A4C"/>
    <w:pPr>
      <w:spacing w:line="240" w:lineRule="auto"/>
      <w:ind w:left="1200" w:hanging="200"/>
    </w:pPr>
  </w:style>
  <w:style w:type="paragraph" w:styleId="Index7">
    <w:name w:val="index 7"/>
    <w:basedOn w:val="Normal"/>
    <w:next w:val="Normal"/>
    <w:autoRedefine/>
    <w:uiPriority w:val="99"/>
    <w:semiHidden/>
    <w:unhideWhenUsed/>
    <w:rsid w:val="00A24A4C"/>
    <w:pPr>
      <w:spacing w:line="240" w:lineRule="auto"/>
      <w:ind w:left="1400" w:hanging="200"/>
    </w:pPr>
  </w:style>
  <w:style w:type="paragraph" w:styleId="Index8">
    <w:name w:val="index 8"/>
    <w:basedOn w:val="Normal"/>
    <w:next w:val="Normal"/>
    <w:autoRedefine/>
    <w:uiPriority w:val="99"/>
    <w:semiHidden/>
    <w:unhideWhenUsed/>
    <w:rsid w:val="00A24A4C"/>
    <w:pPr>
      <w:spacing w:line="240" w:lineRule="auto"/>
      <w:ind w:left="1600" w:hanging="200"/>
    </w:pPr>
  </w:style>
  <w:style w:type="paragraph" w:styleId="Index9">
    <w:name w:val="index 9"/>
    <w:basedOn w:val="Normal"/>
    <w:next w:val="Normal"/>
    <w:autoRedefine/>
    <w:uiPriority w:val="99"/>
    <w:semiHidden/>
    <w:unhideWhenUsed/>
    <w:rsid w:val="00A24A4C"/>
    <w:pPr>
      <w:spacing w:line="240" w:lineRule="auto"/>
      <w:ind w:left="1800" w:hanging="200"/>
    </w:pPr>
  </w:style>
  <w:style w:type="paragraph" w:styleId="IndexHeading">
    <w:name w:val="index heading"/>
    <w:basedOn w:val="Normal"/>
    <w:next w:val="Index1"/>
    <w:uiPriority w:val="99"/>
    <w:semiHidden/>
    <w:unhideWhenUsed/>
    <w:rsid w:val="00A24A4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A24A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24A4C"/>
    <w:rPr>
      <w:rFonts w:ascii="Calibri" w:hAnsi="Calibri"/>
      <w:i/>
      <w:iCs/>
      <w:color w:val="5B9BD5" w:themeColor="accent1"/>
      <w:sz w:val="20"/>
      <w:lang w:val="en-GB"/>
    </w:rPr>
  </w:style>
  <w:style w:type="paragraph" w:styleId="List">
    <w:name w:val="List"/>
    <w:basedOn w:val="Normal"/>
    <w:uiPriority w:val="99"/>
    <w:semiHidden/>
    <w:unhideWhenUsed/>
    <w:rsid w:val="00A24A4C"/>
    <w:pPr>
      <w:ind w:left="283" w:hanging="283"/>
      <w:contextualSpacing/>
    </w:pPr>
  </w:style>
  <w:style w:type="paragraph" w:styleId="List2">
    <w:name w:val="List 2"/>
    <w:basedOn w:val="Normal"/>
    <w:uiPriority w:val="99"/>
    <w:semiHidden/>
    <w:unhideWhenUsed/>
    <w:rsid w:val="00A24A4C"/>
    <w:pPr>
      <w:ind w:left="566" w:hanging="283"/>
      <w:contextualSpacing/>
    </w:pPr>
  </w:style>
  <w:style w:type="paragraph" w:styleId="List3">
    <w:name w:val="List 3"/>
    <w:basedOn w:val="Normal"/>
    <w:uiPriority w:val="99"/>
    <w:semiHidden/>
    <w:unhideWhenUsed/>
    <w:rsid w:val="00A24A4C"/>
    <w:pPr>
      <w:ind w:left="849" w:hanging="283"/>
      <w:contextualSpacing/>
    </w:pPr>
  </w:style>
  <w:style w:type="paragraph" w:styleId="List4">
    <w:name w:val="List 4"/>
    <w:basedOn w:val="Normal"/>
    <w:uiPriority w:val="99"/>
    <w:semiHidden/>
    <w:unhideWhenUsed/>
    <w:rsid w:val="00A24A4C"/>
    <w:pPr>
      <w:ind w:left="1132" w:hanging="283"/>
      <w:contextualSpacing/>
    </w:pPr>
  </w:style>
  <w:style w:type="paragraph" w:styleId="List5">
    <w:name w:val="List 5"/>
    <w:basedOn w:val="Normal"/>
    <w:uiPriority w:val="99"/>
    <w:semiHidden/>
    <w:unhideWhenUsed/>
    <w:rsid w:val="00A24A4C"/>
    <w:pPr>
      <w:ind w:left="1415" w:hanging="283"/>
      <w:contextualSpacing/>
    </w:pPr>
  </w:style>
  <w:style w:type="paragraph" w:styleId="ListBullet">
    <w:name w:val="List Bullet"/>
    <w:basedOn w:val="Normal"/>
    <w:uiPriority w:val="99"/>
    <w:semiHidden/>
    <w:unhideWhenUsed/>
    <w:rsid w:val="00A24A4C"/>
    <w:pPr>
      <w:numPr>
        <w:numId w:val="9"/>
      </w:numPr>
      <w:contextualSpacing/>
    </w:pPr>
  </w:style>
  <w:style w:type="paragraph" w:styleId="ListBullet2">
    <w:name w:val="List Bullet 2"/>
    <w:basedOn w:val="Normal"/>
    <w:uiPriority w:val="99"/>
    <w:semiHidden/>
    <w:unhideWhenUsed/>
    <w:rsid w:val="00A24A4C"/>
    <w:pPr>
      <w:numPr>
        <w:numId w:val="10"/>
      </w:numPr>
      <w:contextualSpacing/>
    </w:pPr>
  </w:style>
  <w:style w:type="paragraph" w:styleId="ListBullet3">
    <w:name w:val="List Bullet 3"/>
    <w:basedOn w:val="Normal"/>
    <w:uiPriority w:val="99"/>
    <w:semiHidden/>
    <w:unhideWhenUsed/>
    <w:rsid w:val="00A24A4C"/>
    <w:pPr>
      <w:numPr>
        <w:numId w:val="11"/>
      </w:numPr>
      <w:contextualSpacing/>
    </w:pPr>
  </w:style>
  <w:style w:type="paragraph" w:styleId="ListBullet4">
    <w:name w:val="List Bullet 4"/>
    <w:basedOn w:val="Normal"/>
    <w:uiPriority w:val="99"/>
    <w:semiHidden/>
    <w:unhideWhenUsed/>
    <w:rsid w:val="00A24A4C"/>
    <w:pPr>
      <w:numPr>
        <w:numId w:val="12"/>
      </w:numPr>
      <w:contextualSpacing/>
    </w:pPr>
  </w:style>
  <w:style w:type="paragraph" w:styleId="ListBullet5">
    <w:name w:val="List Bullet 5"/>
    <w:basedOn w:val="Normal"/>
    <w:uiPriority w:val="99"/>
    <w:semiHidden/>
    <w:unhideWhenUsed/>
    <w:rsid w:val="00A24A4C"/>
    <w:pPr>
      <w:numPr>
        <w:numId w:val="13"/>
      </w:numPr>
      <w:contextualSpacing/>
    </w:pPr>
  </w:style>
  <w:style w:type="paragraph" w:styleId="ListContinue">
    <w:name w:val="List Continue"/>
    <w:basedOn w:val="Normal"/>
    <w:uiPriority w:val="99"/>
    <w:semiHidden/>
    <w:unhideWhenUsed/>
    <w:rsid w:val="00A24A4C"/>
    <w:pPr>
      <w:spacing w:after="120"/>
      <w:ind w:left="283"/>
      <w:contextualSpacing/>
    </w:pPr>
  </w:style>
  <w:style w:type="paragraph" w:styleId="ListContinue2">
    <w:name w:val="List Continue 2"/>
    <w:basedOn w:val="Normal"/>
    <w:uiPriority w:val="99"/>
    <w:semiHidden/>
    <w:unhideWhenUsed/>
    <w:rsid w:val="00A24A4C"/>
    <w:pPr>
      <w:spacing w:after="120"/>
      <w:ind w:left="566"/>
      <w:contextualSpacing/>
    </w:pPr>
  </w:style>
  <w:style w:type="paragraph" w:styleId="ListContinue3">
    <w:name w:val="List Continue 3"/>
    <w:basedOn w:val="Normal"/>
    <w:uiPriority w:val="99"/>
    <w:semiHidden/>
    <w:unhideWhenUsed/>
    <w:rsid w:val="00A24A4C"/>
    <w:pPr>
      <w:spacing w:after="120"/>
      <w:ind w:left="849"/>
      <w:contextualSpacing/>
    </w:pPr>
  </w:style>
  <w:style w:type="paragraph" w:styleId="ListContinue4">
    <w:name w:val="List Continue 4"/>
    <w:basedOn w:val="Normal"/>
    <w:uiPriority w:val="99"/>
    <w:semiHidden/>
    <w:unhideWhenUsed/>
    <w:rsid w:val="00A24A4C"/>
    <w:pPr>
      <w:spacing w:after="120"/>
      <w:ind w:left="1132"/>
      <w:contextualSpacing/>
    </w:pPr>
  </w:style>
  <w:style w:type="paragraph" w:styleId="ListContinue5">
    <w:name w:val="List Continue 5"/>
    <w:basedOn w:val="Normal"/>
    <w:uiPriority w:val="99"/>
    <w:semiHidden/>
    <w:unhideWhenUsed/>
    <w:rsid w:val="00A24A4C"/>
    <w:pPr>
      <w:spacing w:after="120"/>
      <w:ind w:left="1415"/>
      <w:contextualSpacing/>
    </w:pPr>
  </w:style>
  <w:style w:type="paragraph" w:styleId="ListNumber">
    <w:name w:val="List Number"/>
    <w:basedOn w:val="Normal"/>
    <w:uiPriority w:val="99"/>
    <w:semiHidden/>
    <w:unhideWhenUsed/>
    <w:rsid w:val="00A24A4C"/>
    <w:pPr>
      <w:numPr>
        <w:numId w:val="14"/>
      </w:numPr>
      <w:contextualSpacing/>
    </w:pPr>
  </w:style>
  <w:style w:type="paragraph" w:styleId="ListNumber2">
    <w:name w:val="List Number 2"/>
    <w:basedOn w:val="Normal"/>
    <w:uiPriority w:val="99"/>
    <w:semiHidden/>
    <w:unhideWhenUsed/>
    <w:rsid w:val="00A24A4C"/>
    <w:pPr>
      <w:numPr>
        <w:numId w:val="15"/>
      </w:numPr>
      <w:contextualSpacing/>
    </w:pPr>
  </w:style>
  <w:style w:type="paragraph" w:styleId="ListNumber3">
    <w:name w:val="List Number 3"/>
    <w:basedOn w:val="Normal"/>
    <w:uiPriority w:val="99"/>
    <w:semiHidden/>
    <w:unhideWhenUsed/>
    <w:rsid w:val="00A24A4C"/>
    <w:pPr>
      <w:numPr>
        <w:numId w:val="16"/>
      </w:numPr>
      <w:contextualSpacing/>
    </w:pPr>
  </w:style>
  <w:style w:type="paragraph" w:styleId="ListNumber4">
    <w:name w:val="List Number 4"/>
    <w:basedOn w:val="Normal"/>
    <w:uiPriority w:val="99"/>
    <w:semiHidden/>
    <w:unhideWhenUsed/>
    <w:rsid w:val="00A24A4C"/>
    <w:pPr>
      <w:numPr>
        <w:numId w:val="17"/>
      </w:numPr>
      <w:contextualSpacing/>
    </w:pPr>
  </w:style>
  <w:style w:type="paragraph" w:styleId="ListNumber5">
    <w:name w:val="List Number 5"/>
    <w:basedOn w:val="Normal"/>
    <w:uiPriority w:val="99"/>
    <w:semiHidden/>
    <w:unhideWhenUsed/>
    <w:rsid w:val="00A24A4C"/>
    <w:pPr>
      <w:numPr>
        <w:numId w:val="18"/>
      </w:numPr>
      <w:contextualSpacing/>
    </w:pPr>
  </w:style>
  <w:style w:type="paragraph" w:styleId="MacroText">
    <w:name w:val="macro"/>
    <w:link w:val="MacroTextChar"/>
    <w:uiPriority w:val="99"/>
    <w:semiHidden/>
    <w:unhideWhenUsed/>
    <w:rsid w:val="00A24A4C"/>
    <w:pPr>
      <w:tabs>
        <w:tab w:val="left" w:pos="480"/>
        <w:tab w:val="left" w:pos="960"/>
        <w:tab w:val="left" w:pos="1440"/>
        <w:tab w:val="left" w:pos="1920"/>
        <w:tab w:val="left" w:pos="2400"/>
        <w:tab w:val="left" w:pos="2880"/>
        <w:tab w:val="left" w:pos="3360"/>
        <w:tab w:val="left" w:pos="3840"/>
        <w:tab w:val="left" w:pos="4320"/>
      </w:tabs>
      <w:spacing w:line="276" w:lineRule="auto"/>
      <w:jc w:val="both"/>
    </w:pPr>
    <w:rPr>
      <w:rFonts w:ascii="Consolas" w:hAnsi="Consolas"/>
      <w:color w:val="000000" w:themeColor="text1"/>
      <w:sz w:val="20"/>
      <w:szCs w:val="20"/>
      <w:lang w:val="en-GB"/>
    </w:rPr>
  </w:style>
  <w:style w:type="character" w:customStyle="1" w:styleId="MacroTextChar">
    <w:name w:val="Macro Text Char"/>
    <w:basedOn w:val="DefaultParagraphFont"/>
    <w:link w:val="MacroText"/>
    <w:uiPriority w:val="99"/>
    <w:semiHidden/>
    <w:rsid w:val="00A24A4C"/>
    <w:rPr>
      <w:rFonts w:ascii="Consolas" w:hAnsi="Consolas"/>
      <w:color w:val="000000" w:themeColor="text1"/>
      <w:sz w:val="20"/>
      <w:szCs w:val="20"/>
      <w:lang w:val="en-GB"/>
    </w:rPr>
  </w:style>
  <w:style w:type="paragraph" w:styleId="MessageHeader">
    <w:name w:val="Message Header"/>
    <w:basedOn w:val="Normal"/>
    <w:link w:val="MessageHeaderChar"/>
    <w:uiPriority w:val="99"/>
    <w:semiHidden/>
    <w:unhideWhenUsed/>
    <w:rsid w:val="00A24A4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A24A4C"/>
    <w:rPr>
      <w:rFonts w:asciiTheme="majorHAnsi" w:eastAsiaTheme="majorEastAsia" w:hAnsiTheme="majorHAnsi" w:cstheme="majorBidi"/>
      <w:color w:val="000000" w:themeColor="text1"/>
      <w:shd w:val="pct20" w:color="auto" w:fill="auto"/>
      <w:lang w:val="en-GB"/>
    </w:rPr>
  </w:style>
  <w:style w:type="paragraph" w:styleId="NormalIndent">
    <w:name w:val="Normal Indent"/>
    <w:basedOn w:val="Normal"/>
    <w:uiPriority w:val="99"/>
    <w:semiHidden/>
    <w:unhideWhenUsed/>
    <w:rsid w:val="00A24A4C"/>
    <w:pPr>
      <w:ind w:left="720"/>
    </w:pPr>
  </w:style>
  <w:style w:type="paragraph" w:styleId="NoteHeading">
    <w:name w:val="Note Heading"/>
    <w:basedOn w:val="Normal"/>
    <w:next w:val="Normal"/>
    <w:link w:val="NoteHeadingChar"/>
    <w:uiPriority w:val="99"/>
    <w:rsid w:val="00A24A4C"/>
    <w:pPr>
      <w:spacing w:line="240" w:lineRule="auto"/>
    </w:pPr>
  </w:style>
  <w:style w:type="character" w:customStyle="1" w:styleId="NoteHeadingChar">
    <w:name w:val="Note Heading Char"/>
    <w:basedOn w:val="DefaultParagraphFont"/>
    <w:link w:val="NoteHeading"/>
    <w:uiPriority w:val="99"/>
    <w:rsid w:val="00A24A4C"/>
    <w:rPr>
      <w:rFonts w:ascii="Calibri" w:hAnsi="Calibri"/>
      <w:color w:val="000000" w:themeColor="text1"/>
      <w:sz w:val="20"/>
      <w:lang w:val="en-GB"/>
    </w:rPr>
  </w:style>
  <w:style w:type="paragraph" w:styleId="Quote">
    <w:name w:val="Quote"/>
    <w:basedOn w:val="Normal"/>
    <w:next w:val="Normal"/>
    <w:link w:val="QuoteChar"/>
    <w:uiPriority w:val="29"/>
    <w:rsid w:val="00A24A4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24A4C"/>
    <w:rPr>
      <w:rFonts w:ascii="Calibri" w:hAnsi="Calibri"/>
      <w:i/>
      <w:iCs/>
      <w:color w:val="404040" w:themeColor="text1" w:themeTint="BF"/>
      <w:sz w:val="20"/>
      <w:lang w:val="en-GB"/>
    </w:rPr>
  </w:style>
  <w:style w:type="paragraph" w:styleId="Salutation">
    <w:name w:val="Salutation"/>
    <w:basedOn w:val="Normal"/>
    <w:next w:val="Normal"/>
    <w:link w:val="SalutationChar"/>
    <w:uiPriority w:val="99"/>
    <w:semiHidden/>
    <w:unhideWhenUsed/>
    <w:rsid w:val="00A24A4C"/>
  </w:style>
  <w:style w:type="character" w:customStyle="1" w:styleId="SalutationChar">
    <w:name w:val="Salutation Char"/>
    <w:basedOn w:val="DefaultParagraphFont"/>
    <w:link w:val="Salutation"/>
    <w:uiPriority w:val="99"/>
    <w:semiHidden/>
    <w:rsid w:val="00A24A4C"/>
    <w:rPr>
      <w:rFonts w:ascii="Calibri" w:hAnsi="Calibri"/>
      <w:color w:val="000000" w:themeColor="text1"/>
      <w:sz w:val="20"/>
      <w:lang w:val="en-GB"/>
    </w:rPr>
  </w:style>
  <w:style w:type="paragraph" w:styleId="Signature">
    <w:name w:val="Signature"/>
    <w:basedOn w:val="Normal"/>
    <w:link w:val="SignatureChar"/>
    <w:uiPriority w:val="99"/>
    <w:semiHidden/>
    <w:unhideWhenUsed/>
    <w:rsid w:val="00A24A4C"/>
    <w:pPr>
      <w:spacing w:line="240" w:lineRule="auto"/>
      <w:ind w:left="4252"/>
    </w:pPr>
  </w:style>
  <w:style w:type="character" w:customStyle="1" w:styleId="SignatureChar">
    <w:name w:val="Signature Char"/>
    <w:basedOn w:val="DefaultParagraphFont"/>
    <w:link w:val="Signature"/>
    <w:uiPriority w:val="99"/>
    <w:semiHidden/>
    <w:rsid w:val="00A24A4C"/>
    <w:rPr>
      <w:rFonts w:ascii="Calibri" w:hAnsi="Calibri"/>
      <w:color w:val="000000" w:themeColor="text1"/>
      <w:sz w:val="20"/>
      <w:lang w:val="en-GB"/>
    </w:rPr>
  </w:style>
  <w:style w:type="paragraph" w:styleId="Subtitle">
    <w:name w:val="Subtitle"/>
    <w:basedOn w:val="Normal"/>
    <w:next w:val="Normal"/>
    <w:link w:val="SubtitleChar"/>
    <w:uiPriority w:val="11"/>
    <w:rsid w:val="00A24A4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A24A4C"/>
    <w:rPr>
      <w:rFonts w:eastAsiaTheme="minorEastAsia"/>
      <w:color w:val="5A5A5A" w:themeColor="text1" w:themeTint="A5"/>
      <w:spacing w:val="15"/>
      <w:sz w:val="22"/>
      <w:szCs w:val="22"/>
      <w:lang w:val="en-GB"/>
    </w:rPr>
  </w:style>
  <w:style w:type="paragraph" w:styleId="TableofAuthorities">
    <w:name w:val="table of authorities"/>
    <w:basedOn w:val="Normal"/>
    <w:next w:val="Normal"/>
    <w:uiPriority w:val="99"/>
    <w:semiHidden/>
    <w:unhideWhenUsed/>
    <w:rsid w:val="00A24A4C"/>
    <w:pPr>
      <w:ind w:left="200" w:hanging="200"/>
    </w:pPr>
  </w:style>
  <w:style w:type="paragraph" w:styleId="TableofFigures">
    <w:name w:val="table of figures"/>
    <w:basedOn w:val="Normal"/>
    <w:next w:val="Normal"/>
    <w:uiPriority w:val="99"/>
    <w:semiHidden/>
    <w:unhideWhenUsed/>
    <w:rsid w:val="00A24A4C"/>
  </w:style>
  <w:style w:type="paragraph" w:styleId="TOAHeading">
    <w:name w:val="toa heading"/>
    <w:basedOn w:val="Normal"/>
    <w:next w:val="Normal"/>
    <w:uiPriority w:val="99"/>
    <w:semiHidden/>
    <w:unhideWhenUsed/>
    <w:rsid w:val="00A24A4C"/>
    <w:pPr>
      <w:spacing w:before="120"/>
    </w:pPr>
    <w:rPr>
      <w:rFonts w:asciiTheme="majorHAnsi" w:eastAsiaTheme="majorEastAsia" w:hAnsiTheme="majorHAnsi" w:cstheme="majorBidi"/>
      <w:b/>
      <w:bCs/>
      <w:sz w:val="24"/>
    </w:rPr>
  </w:style>
  <w:style w:type="character" w:customStyle="1" w:styleId="normaltextrun">
    <w:name w:val="normaltextrun"/>
    <w:basedOn w:val="DefaultParagraphFont"/>
    <w:rsid w:val="00712FC6"/>
  </w:style>
  <w:style w:type="character" w:customStyle="1" w:styleId="eop">
    <w:name w:val="eop"/>
    <w:basedOn w:val="DefaultParagraphFont"/>
    <w:rsid w:val="00712FC6"/>
  </w:style>
  <w:style w:type="paragraph" w:customStyle="1" w:styleId="paragraph">
    <w:name w:val="paragraph"/>
    <w:basedOn w:val="Normal"/>
    <w:rsid w:val="00712FC6"/>
    <w:pPr>
      <w:spacing w:before="100" w:beforeAutospacing="1" w:after="100" w:afterAutospacing="1" w:line="240" w:lineRule="auto"/>
      <w:jc w:val="left"/>
    </w:pPr>
    <w:rPr>
      <w:rFonts w:ascii="Times New Roman" w:eastAsia="Times New Roman" w:hAnsi="Times New Roman" w:cs="Times New Roman"/>
      <w:color w:val="auto"/>
      <w:sz w:val="24"/>
      <w:lang w:eastAsia="en-GB"/>
    </w:rPr>
  </w:style>
  <w:style w:type="character" w:customStyle="1" w:styleId="scxw137163791">
    <w:name w:val="scxw137163791"/>
    <w:basedOn w:val="DefaultParagraphFont"/>
    <w:rsid w:val="00712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
      <w:bodyDiv w:val="1"/>
      <w:marLeft w:val="0"/>
      <w:marRight w:val="0"/>
      <w:marTop w:val="0"/>
      <w:marBottom w:val="0"/>
      <w:divBdr>
        <w:top w:val="none" w:sz="0" w:space="0" w:color="auto"/>
        <w:left w:val="none" w:sz="0" w:space="0" w:color="auto"/>
        <w:bottom w:val="none" w:sz="0" w:space="0" w:color="auto"/>
        <w:right w:val="none" w:sz="0" w:space="0" w:color="auto"/>
      </w:divBdr>
    </w:div>
    <w:div w:id="11223339">
      <w:bodyDiv w:val="1"/>
      <w:marLeft w:val="0"/>
      <w:marRight w:val="0"/>
      <w:marTop w:val="0"/>
      <w:marBottom w:val="0"/>
      <w:divBdr>
        <w:top w:val="none" w:sz="0" w:space="0" w:color="auto"/>
        <w:left w:val="none" w:sz="0" w:space="0" w:color="auto"/>
        <w:bottom w:val="none" w:sz="0" w:space="0" w:color="auto"/>
        <w:right w:val="none" w:sz="0" w:space="0" w:color="auto"/>
      </w:divBdr>
      <w:divsChild>
        <w:div w:id="701049872">
          <w:marLeft w:val="0"/>
          <w:marRight w:val="0"/>
          <w:marTop w:val="0"/>
          <w:marBottom w:val="0"/>
          <w:divBdr>
            <w:top w:val="none" w:sz="0" w:space="0" w:color="auto"/>
            <w:left w:val="none" w:sz="0" w:space="0" w:color="auto"/>
            <w:bottom w:val="none" w:sz="0" w:space="0" w:color="auto"/>
            <w:right w:val="none" w:sz="0" w:space="0" w:color="auto"/>
          </w:divBdr>
        </w:div>
      </w:divsChild>
    </w:div>
    <w:div w:id="11761522">
      <w:bodyDiv w:val="1"/>
      <w:marLeft w:val="0"/>
      <w:marRight w:val="0"/>
      <w:marTop w:val="0"/>
      <w:marBottom w:val="0"/>
      <w:divBdr>
        <w:top w:val="none" w:sz="0" w:space="0" w:color="auto"/>
        <w:left w:val="none" w:sz="0" w:space="0" w:color="auto"/>
        <w:bottom w:val="none" w:sz="0" w:space="0" w:color="auto"/>
        <w:right w:val="none" w:sz="0" w:space="0" w:color="auto"/>
      </w:divBdr>
    </w:div>
    <w:div w:id="14816615">
      <w:bodyDiv w:val="1"/>
      <w:marLeft w:val="0"/>
      <w:marRight w:val="0"/>
      <w:marTop w:val="0"/>
      <w:marBottom w:val="0"/>
      <w:divBdr>
        <w:top w:val="none" w:sz="0" w:space="0" w:color="auto"/>
        <w:left w:val="none" w:sz="0" w:space="0" w:color="auto"/>
        <w:bottom w:val="none" w:sz="0" w:space="0" w:color="auto"/>
        <w:right w:val="none" w:sz="0" w:space="0" w:color="auto"/>
      </w:divBdr>
    </w:div>
    <w:div w:id="22748805">
      <w:bodyDiv w:val="1"/>
      <w:marLeft w:val="0"/>
      <w:marRight w:val="0"/>
      <w:marTop w:val="0"/>
      <w:marBottom w:val="0"/>
      <w:divBdr>
        <w:top w:val="none" w:sz="0" w:space="0" w:color="auto"/>
        <w:left w:val="none" w:sz="0" w:space="0" w:color="auto"/>
        <w:bottom w:val="none" w:sz="0" w:space="0" w:color="auto"/>
        <w:right w:val="none" w:sz="0" w:space="0" w:color="auto"/>
      </w:divBdr>
    </w:div>
    <w:div w:id="26104638">
      <w:bodyDiv w:val="1"/>
      <w:marLeft w:val="0"/>
      <w:marRight w:val="0"/>
      <w:marTop w:val="0"/>
      <w:marBottom w:val="0"/>
      <w:divBdr>
        <w:top w:val="none" w:sz="0" w:space="0" w:color="auto"/>
        <w:left w:val="none" w:sz="0" w:space="0" w:color="auto"/>
        <w:bottom w:val="none" w:sz="0" w:space="0" w:color="auto"/>
        <w:right w:val="none" w:sz="0" w:space="0" w:color="auto"/>
      </w:divBdr>
    </w:div>
    <w:div w:id="26834837">
      <w:bodyDiv w:val="1"/>
      <w:marLeft w:val="0"/>
      <w:marRight w:val="0"/>
      <w:marTop w:val="0"/>
      <w:marBottom w:val="0"/>
      <w:divBdr>
        <w:top w:val="none" w:sz="0" w:space="0" w:color="auto"/>
        <w:left w:val="none" w:sz="0" w:space="0" w:color="auto"/>
        <w:bottom w:val="none" w:sz="0" w:space="0" w:color="auto"/>
        <w:right w:val="none" w:sz="0" w:space="0" w:color="auto"/>
      </w:divBdr>
    </w:div>
    <w:div w:id="27489438">
      <w:bodyDiv w:val="1"/>
      <w:marLeft w:val="0"/>
      <w:marRight w:val="0"/>
      <w:marTop w:val="0"/>
      <w:marBottom w:val="0"/>
      <w:divBdr>
        <w:top w:val="none" w:sz="0" w:space="0" w:color="auto"/>
        <w:left w:val="none" w:sz="0" w:space="0" w:color="auto"/>
        <w:bottom w:val="none" w:sz="0" w:space="0" w:color="auto"/>
        <w:right w:val="none" w:sz="0" w:space="0" w:color="auto"/>
      </w:divBdr>
    </w:div>
    <w:div w:id="30038301">
      <w:bodyDiv w:val="1"/>
      <w:marLeft w:val="0"/>
      <w:marRight w:val="0"/>
      <w:marTop w:val="0"/>
      <w:marBottom w:val="0"/>
      <w:divBdr>
        <w:top w:val="none" w:sz="0" w:space="0" w:color="auto"/>
        <w:left w:val="none" w:sz="0" w:space="0" w:color="auto"/>
        <w:bottom w:val="none" w:sz="0" w:space="0" w:color="auto"/>
        <w:right w:val="none" w:sz="0" w:space="0" w:color="auto"/>
      </w:divBdr>
    </w:div>
    <w:div w:id="36129024">
      <w:bodyDiv w:val="1"/>
      <w:marLeft w:val="0"/>
      <w:marRight w:val="0"/>
      <w:marTop w:val="0"/>
      <w:marBottom w:val="0"/>
      <w:divBdr>
        <w:top w:val="none" w:sz="0" w:space="0" w:color="auto"/>
        <w:left w:val="none" w:sz="0" w:space="0" w:color="auto"/>
        <w:bottom w:val="none" w:sz="0" w:space="0" w:color="auto"/>
        <w:right w:val="none" w:sz="0" w:space="0" w:color="auto"/>
      </w:divBdr>
    </w:div>
    <w:div w:id="38405172">
      <w:bodyDiv w:val="1"/>
      <w:marLeft w:val="0"/>
      <w:marRight w:val="0"/>
      <w:marTop w:val="0"/>
      <w:marBottom w:val="0"/>
      <w:divBdr>
        <w:top w:val="none" w:sz="0" w:space="0" w:color="auto"/>
        <w:left w:val="none" w:sz="0" w:space="0" w:color="auto"/>
        <w:bottom w:val="none" w:sz="0" w:space="0" w:color="auto"/>
        <w:right w:val="none" w:sz="0" w:space="0" w:color="auto"/>
      </w:divBdr>
    </w:div>
    <w:div w:id="48115404">
      <w:bodyDiv w:val="1"/>
      <w:marLeft w:val="0"/>
      <w:marRight w:val="0"/>
      <w:marTop w:val="0"/>
      <w:marBottom w:val="0"/>
      <w:divBdr>
        <w:top w:val="none" w:sz="0" w:space="0" w:color="auto"/>
        <w:left w:val="none" w:sz="0" w:space="0" w:color="auto"/>
        <w:bottom w:val="none" w:sz="0" w:space="0" w:color="auto"/>
        <w:right w:val="none" w:sz="0" w:space="0" w:color="auto"/>
      </w:divBdr>
    </w:div>
    <w:div w:id="50078811">
      <w:bodyDiv w:val="1"/>
      <w:marLeft w:val="0"/>
      <w:marRight w:val="0"/>
      <w:marTop w:val="0"/>
      <w:marBottom w:val="0"/>
      <w:divBdr>
        <w:top w:val="none" w:sz="0" w:space="0" w:color="auto"/>
        <w:left w:val="none" w:sz="0" w:space="0" w:color="auto"/>
        <w:bottom w:val="none" w:sz="0" w:space="0" w:color="auto"/>
        <w:right w:val="none" w:sz="0" w:space="0" w:color="auto"/>
      </w:divBdr>
    </w:div>
    <w:div w:id="50160345">
      <w:bodyDiv w:val="1"/>
      <w:marLeft w:val="0"/>
      <w:marRight w:val="0"/>
      <w:marTop w:val="0"/>
      <w:marBottom w:val="0"/>
      <w:divBdr>
        <w:top w:val="none" w:sz="0" w:space="0" w:color="auto"/>
        <w:left w:val="none" w:sz="0" w:space="0" w:color="auto"/>
        <w:bottom w:val="none" w:sz="0" w:space="0" w:color="auto"/>
        <w:right w:val="none" w:sz="0" w:space="0" w:color="auto"/>
      </w:divBdr>
    </w:div>
    <w:div w:id="53746551">
      <w:bodyDiv w:val="1"/>
      <w:marLeft w:val="0"/>
      <w:marRight w:val="0"/>
      <w:marTop w:val="0"/>
      <w:marBottom w:val="0"/>
      <w:divBdr>
        <w:top w:val="none" w:sz="0" w:space="0" w:color="auto"/>
        <w:left w:val="none" w:sz="0" w:space="0" w:color="auto"/>
        <w:bottom w:val="none" w:sz="0" w:space="0" w:color="auto"/>
        <w:right w:val="none" w:sz="0" w:space="0" w:color="auto"/>
      </w:divBdr>
      <w:divsChild>
        <w:div w:id="410279943">
          <w:marLeft w:val="0"/>
          <w:marRight w:val="0"/>
          <w:marTop w:val="0"/>
          <w:marBottom w:val="0"/>
          <w:divBdr>
            <w:top w:val="none" w:sz="0" w:space="0" w:color="auto"/>
            <w:left w:val="none" w:sz="0" w:space="0" w:color="auto"/>
            <w:bottom w:val="none" w:sz="0" w:space="0" w:color="auto"/>
            <w:right w:val="none" w:sz="0" w:space="0" w:color="auto"/>
          </w:divBdr>
          <w:divsChild>
            <w:div w:id="1181702988">
              <w:marLeft w:val="2735"/>
              <w:marRight w:val="175"/>
              <w:marTop w:val="0"/>
              <w:marBottom w:val="0"/>
              <w:divBdr>
                <w:top w:val="none" w:sz="0" w:space="0" w:color="auto"/>
                <w:left w:val="none" w:sz="0" w:space="0" w:color="auto"/>
                <w:bottom w:val="none" w:sz="0" w:space="0" w:color="auto"/>
                <w:right w:val="none" w:sz="0" w:space="0" w:color="auto"/>
              </w:divBdr>
              <w:divsChild>
                <w:div w:id="8426250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15066745">
          <w:marLeft w:val="0"/>
          <w:marRight w:val="0"/>
          <w:marTop w:val="0"/>
          <w:marBottom w:val="0"/>
          <w:divBdr>
            <w:top w:val="none" w:sz="0" w:space="0" w:color="auto"/>
            <w:left w:val="none" w:sz="0" w:space="0" w:color="auto"/>
            <w:bottom w:val="none" w:sz="0" w:space="0" w:color="auto"/>
            <w:right w:val="none" w:sz="0" w:space="0" w:color="auto"/>
          </w:divBdr>
          <w:divsChild>
            <w:div w:id="405035574">
              <w:marLeft w:val="0"/>
              <w:marRight w:val="0"/>
              <w:marTop w:val="0"/>
              <w:marBottom w:val="0"/>
              <w:divBdr>
                <w:top w:val="none" w:sz="0" w:space="0" w:color="auto"/>
                <w:left w:val="none" w:sz="0" w:space="0" w:color="auto"/>
                <w:bottom w:val="none" w:sz="0" w:space="0" w:color="auto"/>
                <w:right w:val="none" w:sz="0" w:space="0" w:color="auto"/>
              </w:divBdr>
              <w:divsChild>
                <w:div w:id="1805192323">
                  <w:marLeft w:val="2735"/>
                  <w:marRight w:val="175"/>
                  <w:marTop w:val="0"/>
                  <w:marBottom w:val="0"/>
                  <w:divBdr>
                    <w:top w:val="none" w:sz="0" w:space="0" w:color="auto"/>
                    <w:left w:val="none" w:sz="0" w:space="0" w:color="auto"/>
                    <w:bottom w:val="none" w:sz="0" w:space="0" w:color="auto"/>
                    <w:right w:val="none" w:sz="0" w:space="0" w:color="auto"/>
                  </w:divBdr>
                </w:div>
              </w:divsChild>
            </w:div>
          </w:divsChild>
        </w:div>
      </w:divsChild>
    </w:div>
    <w:div w:id="59523759">
      <w:bodyDiv w:val="1"/>
      <w:marLeft w:val="0"/>
      <w:marRight w:val="0"/>
      <w:marTop w:val="0"/>
      <w:marBottom w:val="0"/>
      <w:divBdr>
        <w:top w:val="none" w:sz="0" w:space="0" w:color="auto"/>
        <w:left w:val="none" w:sz="0" w:space="0" w:color="auto"/>
        <w:bottom w:val="none" w:sz="0" w:space="0" w:color="auto"/>
        <w:right w:val="none" w:sz="0" w:space="0" w:color="auto"/>
      </w:divBdr>
    </w:div>
    <w:div w:id="59601605">
      <w:bodyDiv w:val="1"/>
      <w:marLeft w:val="0"/>
      <w:marRight w:val="0"/>
      <w:marTop w:val="0"/>
      <w:marBottom w:val="0"/>
      <w:divBdr>
        <w:top w:val="none" w:sz="0" w:space="0" w:color="auto"/>
        <w:left w:val="none" w:sz="0" w:space="0" w:color="auto"/>
        <w:bottom w:val="none" w:sz="0" w:space="0" w:color="auto"/>
        <w:right w:val="none" w:sz="0" w:space="0" w:color="auto"/>
      </w:divBdr>
    </w:div>
    <w:div w:id="67312055">
      <w:bodyDiv w:val="1"/>
      <w:marLeft w:val="0"/>
      <w:marRight w:val="0"/>
      <w:marTop w:val="0"/>
      <w:marBottom w:val="0"/>
      <w:divBdr>
        <w:top w:val="none" w:sz="0" w:space="0" w:color="auto"/>
        <w:left w:val="none" w:sz="0" w:space="0" w:color="auto"/>
        <w:bottom w:val="none" w:sz="0" w:space="0" w:color="auto"/>
        <w:right w:val="none" w:sz="0" w:space="0" w:color="auto"/>
      </w:divBdr>
    </w:div>
    <w:div w:id="70473151">
      <w:bodyDiv w:val="1"/>
      <w:marLeft w:val="0"/>
      <w:marRight w:val="0"/>
      <w:marTop w:val="0"/>
      <w:marBottom w:val="0"/>
      <w:divBdr>
        <w:top w:val="none" w:sz="0" w:space="0" w:color="auto"/>
        <w:left w:val="none" w:sz="0" w:space="0" w:color="auto"/>
        <w:bottom w:val="none" w:sz="0" w:space="0" w:color="auto"/>
        <w:right w:val="none" w:sz="0" w:space="0" w:color="auto"/>
      </w:divBdr>
    </w:div>
    <w:div w:id="71054390">
      <w:bodyDiv w:val="1"/>
      <w:marLeft w:val="0"/>
      <w:marRight w:val="0"/>
      <w:marTop w:val="0"/>
      <w:marBottom w:val="0"/>
      <w:divBdr>
        <w:top w:val="none" w:sz="0" w:space="0" w:color="auto"/>
        <w:left w:val="none" w:sz="0" w:space="0" w:color="auto"/>
        <w:bottom w:val="none" w:sz="0" w:space="0" w:color="auto"/>
        <w:right w:val="none" w:sz="0" w:space="0" w:color="auto"/>
      </w:divBdr>
    </w:div>
    <w:div w:id="74977253">
      <w:bodyDiv w:val="1"/>
      <w:marLeft w:val="0"/>
      <w:marRight w:val="0"/>
      <w:marTop w:val="0"/>
      <w:marBottom w:val="0"/>
      <w:divBdr>
        <w:top w:val="none" w:sz="0" w:space="0" w:color="auto"/>
        <w:left w:val="none" w:sz="0" w:space="0" w:color="auto"/>
        <w:bottom w:val="none" w:sz="0" w:space="0" w:color="auto"/>
        <w:right w:val="none" w:sz="0" w:space="0" w:color="auto"/>
      </w:divBdr>
    </w:div>
    <w:div w:id="78330541">
      <w:bodyDiv w:val="1"/>
      <w:marLeft w:val="0"/>
      <w:marRight w:val="0"/>
      <w:marTop w:val="0"/>
      <w:marBottom w:val="0"/>
      <w:divBdr>
        <w:top w:val="none" w:sz="0" w:space="0" w:color="auto"/>
        <w:left w:val="none" w:sz="0" w:space="0" w:color="auto"/>
        <w:bottom w:val="none" w:sz="0" w:space="0" w:color="auto"/>
        <w:right w:val="none" w:sz="0" w:space="0" w:color="auto"/>
      </w:divBdr>
    </w:div>
    <w:div w:id="78796139">
      <w:bodyDiv w:val="1"/>
      <w:marLeft w:val="0"/>
      <w:marRight w:val="0"/>
      <w:marTop w:val="0"/>
      <w:marBottom w:val="0"/>
      <w:divBdr>
        <w:top w:val="none" w:sz="0" w:space="0" w:color="auto"/>
        <w:left w:val="none" w:sz="0" w:space="0" w:color="auto"/>
        <w:bottom w:val="none" w:sz="0" w:space="0" w:color="auto"/>
        <w:right w:val="none" w:sz="0" w:space="0" w:color="auto"/>
      </w:divBdr>
    </w:div>
    <w:div w:id="79571352">
      <w:bodyDiv w:val="1"/>
      <w:marLeft w:val="0"/>
      <w:marRight w:val="0"/>
      <w:marTop w:val="0"/>
      <w:marBottom w:val="0"/>
      <w:divBdr>
        <w:top w:val="none" w:sz="0" w:space="0" w:color="auto"/>
        <w:left w:val="none" w:sz="0" w:space="0" w:color="auto"/>
        <w:bottom w:val="none" w:sz="0" w:space="0" w:color="auto"/>
        <w:right w:val="none" w:sz="0" w:space="0" w:color="auto"/>
      </w:divBdr>
    </w:div>
    <w:div w:id="81295369">
      <w:bodyDiv w:val="1"/>
      <w:marLeft w:val="0"/>
      <w:marRight w:val="0"/>
      <w:marTop w:val="0"/>
      <w:marBottom w:val="0"/>
      <w:divBdr>
        <w:top w:val="none" w:sz="0" w:space="0" w:color="auto"/>
        <w:left w:val="none" w:sz="0" w:space="0" w:color="auto"/>
        <w:bottom w:val="none" w:sz="0" w:space="0" w:color="auto"/>
        <w:right w:val="none" w:sz="0" w:space="0" w:color="auto"/>
      </w:divBdr>
    </w:div>
    <w:div w:id="81491542">
      <w:bodyDiv w:val="1"/>
      <w:marLeft w:val="0"/>
      <w:marRight w:val="0"/>
      <w:marTop w:val="0"/>
      <w:marBottom w:val="0"/>
      <w:divBdr>
        <w:top w:val="none" w:sz="0" w:space="0" w:color="auto"/>
        <w:left w:val="none" w:sz="0" w:space="0" w:color="auto"/>
        <w:bottom w:val="none" w:sz="0" w:space="0" w:color="auto"/>
        <w:right w:val="none" w:sz="0" w:space="0" w:color="auto"/>
      </w:divBdr>
    </w:div>
    <w:div w:id="89200140">
      <w:bodyDiv w:val="1"/>
      <w:marLeft w:val="0"/>
      <w:marRight w:val="0"/>
      <w:marTop w:val="0"/>
      <w:marBottom w:val="0"/>
      <w:divBdr>
        <w:top w:val="none" w:sz="0" w:space="0" w:color="auto"/>
        <w:left w:val="none" w:sz="0" w:space="0" w:color="auto"/>
        <w:bottom w:val="none" w:sz="0" w:space="0" w:color="auto"/>
        <w:right w:val="none" w:sz="0" w:space="0" w:color="auto"/>
      </w:divBdr>
    </w:div>
    <w:div w:id="95634529">
      <w:bodyDiv w:val="1"/>
      <w:marLeft w:val="0"/>
      <w:marRight w:val="0"/>
      <w:marTop w:val="0"/>
      <w:marBottom w:val="0"/>
      <w:divBdr>
        <w:top w:val="none" w:sz="0" w:space="0" w:color="auto"/>
        <w:left w:val="none" w:sz="0" w:space="0" w:color="auto"/>
        <w:bottom w:val="none" w:sz="0" w:space="0" w:color="auto"/>
        <w:right w:val="none" w:sz="0" w:space="0" w:color="auto"/>
      </w:divBdr>
    </w:div>
    <w:div w:id="99035112">
      <w:bodyDiv w:val="1"/>
      <w:marLeft w:val="0"/>
      <w:marRight w:val="0"/>
      <w:marTop w:val="0"/>
      <w:marBottom w:val="0"/>
      <w:divBdr>
        <w:top w:val="none" w:sz="0" w:space="0" w:color="auto"/>
        <w:left w:val="none" w:sz="0" w:space="0" w:color="auto"/>
        <w:bottom w:val="none" w:sz="0" w:space="0" w:color="auto"/>
        <w:right w:val="none" w:sz="0" w:space="0" w:color="auto"/>
      </w:divBdr>
    </w:div>
    <w:div w:id="106198725">
      <w:bodyDiv w:val="1"/>
      <w:marLeft w:val="0"/>
      <w:marRight w:val="0"/>
      <w:marTop w:val="0"/>
      <w:marBottom w:val="0"/>
      <w:divBdr>
        <w:top w:val="none" w:sz="0" w:space="0" w:color="auto"/>
        <w:left w:val="none" w:sz="0" w:space="0" w:color="auto"/>
        <w:bottom w:val="none" w:sz="0" w:space="0" w:color="auto"/>
        <w:right w:val="none" w:sz="0" w:space="0" w:color="auto"/>
      </w:divBdr>
    </w:div>
    <w:div w:id="108284335">
      <w:bodyDiv w:val="1"/>
      <w:marLeft w:val="0"/>
      <w:marRight w:val="0"/>
      <w:marTop w:val="0"/>
      <w:marBottom w:val="0"/>
      <w:divBdr>
        <w:top w:val="none" w:sz="0" w:space="0" w:color="auto"/>
        <w:left w:val="none" w:sz="0" w:space="0" w:color="auto"/>
        <w:bottom w:val="none" w:sz="0" w:space="0" w:color="auto"/>
        <w:right w:val="none" w:sz="0" w:space="0" w:color="auto"/>
      </w:divBdr>
    </w:div>
    <w:div w:id="110710393">
      <w:bodyDiv w:val="1"/>
      <w:marLeft w:val="0"/>
      <w:marRight w:val="0"/>
      <w:marTop w:val="0"/>
      <w:marBottom w:val="0"/>
      <w:divBdr>
        <w:top w:val="none" w:sz="0" w:space="0" w:color="auto"/>
        <w:left w:val="none" w:sz="0" w:space="0" w:color="auto"/>
        <w:bottom w:val="none" w:sz="0" w:space="0" w:color="auto"/>
        <w:right w:val="none" w:sz="0" w:space="0" w:color="auto"/>
      </w:divBdr>
      <w:divsChild>
        <w:div w:id="705176662">
          <w:marLeft w:val="0"/>
          <w:marRight w:val="0"/>
          <w:marTop w:val="0"/>
          <w:marBottom w:val="0"/>
          <w:divBdr>
            <w:top w:val="none" w:sz="0" w:space="0" w:color="auto"/>
            <w:left w:val="none" w:sz="0" w:space="0" w:color="auto"/>
            <w:bottom w:val="none" w:sz="0" w:space="0" w:color="auto"/>
            <w:right w:val="none" w:sz="0" w:space="0" w:color="auto"/>
          </w:divBdr>
        </w:div>
      </w:divsChild>
    </w:div>
    <w:div w:id="111562096">
      <w:bodyDiv w:val="1"/>
      <w:marLeft w:val="0"/>
      <w:marRight w:val="0"/>
      <w:marTop w:val="0"/>
      <w:marBottom w:val="0"/>
      <w:divBdr>
        <w:top w:val="none" w:sz="0" w:space="0" w:color="auto"/>
        <w:left w:val="none" w:sz="0" w:space="0" w:color="auto"/>
        <w:bottom w:val="none" w:sz="0" w:space="0" w:color="auto"/>
        <w:right w:val="none" w:sz="0" w:space="0" w:color="auto"/>
      </w:divBdr>
    </w:div>
    <w:div w:id="113213062">
      <w:bodyDiv w:val="1"/>
      <w:marLeft w:val="0"/>
      <w:marRight w:val="0"/>
      <w:marTop w:val="0"/>
      <w:marBottom w:val="0"/>
      <w:divBdr>
        <w:top w:val="none" w:sz="0" w:space="0" w:color="auto"/>
        <w:left w:val="none" w:sz="0" w:space="0" w:color="auto"/>
        <w:bottom w:val="none" w:sz="0" w:space="0" w:color="auto"/>
        <w:right w:val="none" w:sz="0" w:space="0" w:color="auto"/>
      </w:divBdr>
    </w:div>
    <w:div w:id="113521899">
      <w:bodyDiv w:val="1"/>
      <w:marLeft w:val="0"/>
      <w:marRight w:val="0"/>
      <w:marTop w:val="0"/>
      <w:marBottom w:val="0"/>
      <w:divBdr>
        <w:top w:val="none" w:sz="0" w:space="0" w:color="auto"/>
        <w:left w:val="none" w:sz="0" w:space="0" w:color="auto"/>
        <w:bottom w:val="none" w:sz="0" w:space="0" w:color="auto"/>
        <w:right w:val="none" w:sz="0" w:space="0" w:color="auto"/>
      </w:divBdr>
    </w:div>
    <w:div w:id="117376682">
      <w:bodyDiv w:val="1"/>
      <w:marLeft w:val="0"/>
      <w:marRight w:val="0"/>
      <w:marTop w:val="0"/>
      <w:marBottom w:val="0"/>
      <w:divBdr>
        <w:top w:val="none" w:sz="0" w:space="0" w:color="auto"/>
        <w:left w:val="none" w:sz="0" w:space="0" w:color="auto"/>
        <w:bottom w:val="none" w:sz="0" w:space="0" w:color="auto"/>
        <w:right w:val="none" w:sz="0" w:space="0" w:color="auto"/>
      </w:divBdr>
    </w:div>
    <w:div w:id="121190159">
      <w:bodyDiv w:val="1"/>
      <w:marLeft w:val="0"/>
      <w:marRight w:val="0"/>
      <w:marTop w:val="0"/>
      <w:marBottom w:val="0"/>
      <w:divBdr>
        <w:top w:val="none" w:sz="0" w:space="0" w:color="auto"/>
        <w:left w:val="none" w:sz="0" w:space="0" w:color="auto"/>
        <w:bottom w:val="none" w:sz="0" w:space="0" w:color="auto"/>
        <w:right w:val="none" w:sz="0" w:space="0" w:color="auto"/>
      </w:divBdr>
    </w:div>
    <w:div w:id="124935349">
      <w:bodyDiv w:val="1"/>
      <w:marLeft w:val="0"/>
      <w:marRight w:val="0"/>
      <w:marTop w:val="0"/>
      <w:marBottom w:val="0"/>
      <w:divBdr>
        <w:top w:val="none" w:sz="0" w:space="0" w:color="auto"/>
        <w:left w:val="none" w:sz="0" w:space="0" w:color="auto"/>
        <w:bottom w:val="none" w:sz="0" w:space="0" w:color="auto"/>
        <w:right w:val="none" w:sz="0" w:space="0" w:color="auto"/>
      </w:divBdr>
    </w:div>
    <w:div w:id="126247439">
      <w:bodyDiv w:val="1"/>
      <w:marLeft w:val="0"/>
      <w:marRight w:val="0"/>
      <w:marTop w:val="0"/>
      <w:marBottom w:val="0"/>
      <w:divBdr>
        <w:top w:val="none" w:sz="0" w:space="0" w:color="auto"/>
        <w:left w:val="none" w:sz="0" w:space="0" w:color="auto"/>
        <w:bottom w:val="none" w:sz="0" w:space="0" w:color="auto"/>
        <w:right w:val="none" w:sz="0" w:space="0" w:color="auto"/>
      </w:divBdr>
    </w:div>
    <w:div w:id="128910319">
      <w:bodyDiv w:val="1"/>
      <w:marLeft w:val="0"/>
      <w:marRight w:val="0"/>
      <w:marTop w:val="0"/>
      <w:marBottom w:val="0"/>
      <w:divBdr>
        <w:top w:val="none" w:sz="0" w:space="0" w:color="auto"/>
        <w:left w:val="none" w:sz="0" w:space="0" w:color="auto"/>
        <w:bottom w:val="none" w:sz="0" w:space="0" w:color="auto"/>
        <w:right w:val="none" w:sz="0" w:space="0" w:color="auto"/>
      </w:divBdr>
    </w:div>
    <w:div w:id="129827014">
      <w:bodyDiv w:val="1"/>
      <w:marLeft w:val="0"/>
      <w:marRight w:val="0"/>
      <w:marTop w:val="0"/>
      <w:marBottom w:val="0"/>
      <w:divBdr>
        <w:top w:val="none" w:sz="0" w:space="0" w:color="auto"/>
        <w:left w:val="none" w:sz="0" w:space="0" w:color="auto"/>
        <w:bottom w:val="none" w:sz="0" w:space="0" w:color="auto"/>
        <w:right w:val="none" w:sz="0" w:space="0" w:color="auto"/>
      </w:divBdr>
    </w:div>
    <w:div w:id="131750470">
      <w:bodyDiv w:val="1"/>
      <w:marLeft w:val="0"/>
      <w:marRight w:val="0"/>
      <w:marTop w:val="0"/>
      <w:marBottom w:val="0"/>
      <w:divBdr>
        <w:top w:val="none" w:sz="0" w:space="0" w:color="auto"/>
        <w:left w:val="none" w:sz="0" w:space="0" w:color="auto"/>
        <w:bottom w:val="none" w:sz="0" w:space="0" w:color="auto"/>
        <w:right w:val="none" w:sz="0" w:space="0" w:color="auto"/>
      </w:divBdr>
    </w:div>
    <w:div w:id="133644388">
      <w:bodyDiv w:val="1"/>
      <w:marLeft w:val="0"/>
      <w:marRight w:val="0"/>
      <w:marTop w:val="0"/>
      <w:marBottom w:val="0"/>
      <w:divBdr>
        <w:top w:val="none" w:sz="0" w:space="0" w:color="auto"/>
        <w:left w:val="none" w:sz="0" w:space="0" w:color="auto"/>
        <w:bottom w:val="none" w:sz="0" w:space="0" w:color="auto"/>
        <w:right w:val="none" w:sz="0" w:space="0" w:color="auto"/>
      </w:divBdr>
    </w:div>
    <w:div w:id="136380604">
      <w:bodyDiv w:val="1"/>
      <w:marLeft w:val="0"/>
      <w:marRight w:val="0"/>
      <w:marTop w:val="0"/>
      <w:marBottom w:val="0"/>
      <w:divBdr>
        <w:top w:val="none" w:sz="0" w:space="0" w:color="auto"/>
        <w:left w:val="none" w:sz="0" w:space="0" w:color="auto"/>
        <w:bottom w:val="none" w:sz="0" w:space="0" w:color="auto"/>
        <w:right w:val="none" w:sz="0" w:space="0" w:color="auto"/>
      </w:divBdr>
    </w:div>
    <w:div w:id="136991427">
      <w:bodyDiv w:val="1"/>
      <w:marLeft w:val="0"/>
      <w:marRight w:val="0"/>
      <w:marTop w:val="0"/>
      <w:marBottom w:val="0"/>
      <w:divBdr>
        <w:top w:val="none" w:sz="0" w:space="0" w:color="auto"/>
        <w:left w:val="none" w:sz="0" w:space="0" w:color="auto"/>
        <w:bottom w:val="none" w:sz="0" w:space="0" w:color="auto"/>
        <w:right w:val="none" w:sz="0" w:space="0" w:color="auto"/>
      </w:divBdr>
    </w:div>
    <w:div w:id="137306396">
      <w:bodyDiv w:val="1"/>
      <w:marLeft w:val="0"/>
      <w:marRight w:val="0"/>
      <w:marTop w:val="0"/>
      <w:marBottom w:val="0"/>
      <w:divBdr>
        <w:top w:val="none" w:sz="0" w:space="0" w:color="auto"/>
        <w:left w:val="none" w:sz="0" w:space="0" w:color="auto"/>
        <w:bottom w:val="none" w:sz="0" w:space="0" w:color="auto"/>
        <w:right w:val="none" w:sz="0" w:space="0" w:color="auto"/>
      </w:divBdr>
      <w:divsChild>
        <w:div w:id="1830093160">
          <w:marLeft w:val="0"/>
          <w:marRight w:val="0"/>
          <w:marTop w:val="0"/>
          <w:marBottom w:val="0"/>
          <w:divBdr>
            <w:top w:val="none" w:sz="0" w:space="0" w:color="auto"/>
            <w:left w:val="none" w:sz="0" w:space="0" w:color="auto"/>
            <w:bottom w:val="none" w:sz="0" w:space="0" w:color="auto"/>
            <w:right w:val="none" w:sz="0" w:space="0" w:color="auto"/>
          </w:divBdr>
        </w:div>
      </w:divsChild>
    </w:div>
    <w:div w:id="138037292">
      <w:bodyDiv w:val="1"/>
      <w:marLeft w:val="0"/>
      <w:marRight w:val="0"/>
      <w:marTop w:val="0"/>
      <w:marBottom w:val="0"/>
      <w:divBdr>
        <w:top w:val="none" w:sz="0" w:space="0" w:color="auto"/>
        <w:left w:val="none" w:sz="0" w:space="0" w:color="auto"/>
        <w:bottom w:val="none" w:sz="0" w:space="0" w:color="auto"/>
        <w:right w:val="none" w:sz="0" w:space="0" w:color="auto"/>
      </w:divBdr>
    </w:div>
    <w:div w:id="142934921">
      <w:bodyDiv w:val="1"/>
      <w:marLeft w:val="0"/>
      <w:marRight w:val="0"/>
      <w:marTop w:val="0"/>
      <w:marBottom w:val="0"/>
      <w:divBdr>
        <w:top w:val="none" w:sz="0" w:space="0" w:color="auto"/>
        <w:left w:val="none" w:sz="0" w:space="0" w:color="auto"/>
        <w:bottom w:val="none" w:sz="0" w:space="0" w:color="auto"/>
        <w:right w:val="none" w:sz="0" w:space="0" w:color="auto"/>
      </w:divBdr>
    </w:div>
    <w:div w:id="145896833">
      <w:bodyDiv w:val="1"/>
      <w:marLeft w:val="0"/>
      <w:marRight w:val="0"/>
      <w:marTop w:val="0"/>
      <w:marBottom w:val="0"/>
      <w:divBdr>
        <w:top w:val="none" w:sz="0" w:space="0" w:color="auto"/>
        <w:left w:val="none" w:sz="0" w:space="0" w:color="auto"/>
        <w:bottom w:val="none" w:sz="0" w:space="0" w:color="auto"/>
        <w:right w:val="none" w:sz="0" w:space="0" w:color="auto"/>
      </w:divBdr>
    </w:div>
    <w:div w:id="147788915">
      <w:bodyDiv w:val="1"/>
      <w:marLeft w:val="0"/>
      <w:marRight w:val="0"/>
      <w:marTop w:val="0"/>
      <w:marBottom w:val="0"/>
      <w:divBdr>
        <w:top w:val="none" w:sz="0" w:space="0" w:color="auto"/>
        <w:left w:val="none" w:sz="0" w:space="0" w:color="auto"/>
        <w:bottom w:val="none" w:sz="0" w:space="0" w:color="auto"/>
        <w:right w:val="none" w:sz="0" w:space="0" w:color="auto"/>
      </w:divBdr>
    </w:div>
    <w:div w:id="148636646">
      <w:bodyDiv w:val="1"/>
      <w:marLeft w:val="0"/>
      <w:marRight w:val="0"/>
      <w:marTop w:val="0"/>
      <w:marBottom w:val="0"/>
      <w:divBdr>
        <w:top w:val="none" w:sz="0" w:space="0" w:color="auto"/>
        <w:left w:val="none" w:sz="0" w:space="0" w:color="auto"/>
        <w:bottom w:val="none" w:sz="0" w:space="0" w:color="auto"/>
        <w:right w:val="none" w:sz="0" w:space="0" w:color="auto"/>
      </w:divBdr>
    </w:div>
    <w:div w:id="148789915">
      <w:bodyDiv w:val="1"/>
      <w:marLeft w:val="0"/>
      <w:marRight w:val="0"/>
      <w:marTop w:val="0"/>
      <w:marBottom w:val="0"/>
      <w:divBdr>
        <w:top w:val="none" w:sz="0" w:space="0" w:color="auto"/>
        <w:left w:val="none" w:sz="0" w:space="0" w:color="auto"/>
        <w:bottom w:val="none" w:sz="0" w:space="0" w:color="auto"/>
        <w:right w:val="none" w:sz="0" w:space="0" w:color="auto"/>
      </w:divBdr>
      <w:divsChild>
        <w:div w:id="201015978">
          <w:marLeft w:val="0"/>
          <w:marRight w:val="0"/>
          <w:marTop w:val="0"/>
          <w:marBottom w:val="0"/>
          <w:divBdr>
            <w:top w:val="none" w:sz="0" w:space="0" w:color="auto"/>
            <w:left w:val="none" w:sz="0" w:space="0" w:color="auto"/>
            <w:bottom w:val="none" w:sz="0" w:space="0" w:color="auto"/>
            <w:right w:val="none" w:sz="0" w:space="0" w:color="auto"/>
          </w:divBdr>
        </w:div>
      </w:divsChild>
    </w:div>
    <w:div w:id="150610100">
      <w:bodyDiv w:val="1"/>
      <w:marLeft w:val="0"/>
      <w:marRight w:val="0"/>
      <w:marTop w:val="0"/>
      <w:marBottom w:val="0"/>
      <w:divBdr>
        <w:top w:val="none" w:sz="0" w:space="0" w:color="auto"/>
        <w:left w:val="none" w:sz="0" w:space="0" w:color="auto"/>
        <w:bottom w:val="none" w:sz="0" w:space="0" w:color="auto"/>
        <w:right w:val="none" w:sz="0" w:space="0" w:color="auto"/>
      </w:divBdr>
    </w:div>
    <w:div w:id="152988335">
      <w:bodyDiv w:val="1"/>
      <w:marLeft w:val="0"/>
      <w:marRight w:val="0"/>
      <w:marTop w:val="0"/>
      <w:marBottom w:val="0"/>
      <w:divBdr>
        <w:top w:val="none" w:sz="0" w:space="0" w:color="auto"/>
        <w:left w:val="none" w:sz="0" w:space="0" w:color="auto"/>
        <w:bottom w:val="none" w:sz="0" w:space="0" w:color="auto"/>
        <w:right w:val="none" w:sz="0" w:space="0" w:color="auto"/>
      </w:divBdr>
    </w:div>
    <w:div w:id="156848072">
      <w:bodyDiv w:val="1"/>
      <w:marLeft w:val="0"/>
      <w:marRight w:val="0"/>
      <w:marTop w:val="0"/>
      <w:marBottom w:val="0"/>
      <w:divBdr>
        <w:top w:val="none" w:sz="0" w:space="0" w:color="auto"/>
        <w:left w:val="none" w:sz="0" w:space="0" w:color="auto"/>
        <w:bottom w:val="none" w:sz="0" w:space="0" w:color="auto"/>
        <w:right w:val="none" w:sz="0" w:space="0" w:color="auto"/>
      </w:divBdr>
    </w:div>
    <w:div w:id="158156849">
      <w:bodyDiv w:val="1"/>
      <w:marLeft w:val="0"/>
      <w:marRight w:val="0"/>
      <w:marTop w:val="0"/>
      <w:marBottom w:val="0"/>
      <w:divBdr>
        <w:top w:val="none" w:sz="0" w:space="0" w:color="auto"/>
        <w:left w:val="none" w:sz="0" w:space="0" w:color="auto"/>
        <w:bottom w:val="none" w:sz="0" w:space="0" w:color="auto"/>
        <w:right w:val="none" w:sz="0" w:space="0" w:color="auto"/>
      </w:divBdr>
    </w:div>
    <w:div w:id="159272242">
      <w:bodyDiv w:val="1"/>
      <w:marLeft w:val="0"/>
      <w:marRight w:val="0"/>
      <w:marTop w:val="0"/>
      <w:marBottom w:val="0"/>
      <w:divBdr>
        <w:top w:val="none" w:sz="0" w:space="0" w:color="auto"/>
        <w:left w:val="none" w:sz="0" w:space="0" w:color="auto"/>
        <w:bottom w:val="none" w:sz="0" w:space="0" w:color="auto"/>
        <w:right w:val="none" w:sz="0" w:space="0" w:color="auto"/>
      </w:divBdr>
    </w:div>
    <w:div w:id="160901109">
      <w:bodyDiv w:val="1"/>
      <w:marLeft w:val="0"/>
      <w:marRight w:val="0"/>
      <w:marTop w:val="0"/>
      <w:marBottom w:val="0"/>
      <w:divBdr>
        <w:top w:val="none" w:sz="0" w:space="0" w:color="auto"/>
        <w:left w:val="none" w:sz="0" w:space="0" w:color="auto"/>
        <w:bottom w:val="none" w:sz="0" w:space="0" w:color="auto"/>
        <w:right w:val="none" w:sz="0" w:space="0" w:color="auto"/>
      </w:divBdr>
    </w:div>
    <w:div w:id="161362639">
      <w:bodyDiv w:val="1"/>
      <w:marLeft w:val="0"/>
      <w:marRight w:val="0"/>
      <w:marTop w:val="0"/>
      <w:marBottom w:val="0"/>
      <w:divBdr>
        <w:top w:val="none" w:sz="0" w:space="0" w:color="auto"/>
        <w:left w:val="none" w:sz="0" w:space="0" w:color="auto"/>
        <w:bottom w:val="none" w:sz="0" w:space="0" w:color="auto"/>
        <w:right w:val="none" w:sz="0" w:space="0" w:color="auto"/>
      </w:divBdr>
    </w:div>
    <w:div w:id="161969867">
      <w:bodyDiv w:val="1"/>
      <w:marLeft w:val="0"/>
      <w:marRight w:val="0"/>
      <w:marTop w:val="0"/>
      <w:marBottom w:val="0"/>
      <w:divBdr>
        <w:top w:val="none" w:sz="0" w:space="0" w:color="auto"/>
        <w:left w:val="none" w:sz="0" w:space="0" w:color="auto"/>
        <w:bottom w:val="none" w:sz="0" w:space="0" w:color="auto"/>
        <w:right w:val="none" w:sz="0" w:space="0" w:color="auto"/>
      </w:divBdr>
    </w:div>
    <w:div w:id="170343430">
      <w:bodyDiv w:val="1"/>
      <w:marLeft w:val="0"/>
      <w:marRight w:val="0"/>
      <w:marTop w:val="0"/>
      <w:marBottom w:val="0"/>
      <w:divBdr>
        <w:top w:val="none" w:sz="0" w:space="0" w:color="auto"/>
        <w:left w:val="none" w:sz="0" w:space="0" w:color="auto"/>
        <w:bottom w:val="none" w:sz="0" w:space="0" w:color="auto"/>
        <w:right w:val="none" w:sz="0" w:space="0" w:color="auto"/>
      </w:divBdr>
    </w:div>
    <w:div w:id="175192562">
      <w:bodyDiv w:val="1"/>
      <w:marLeft w:val="0"/>
      <w:marRight w:val="0"/>
      <w:marTop w:val="0"/>
      <w:marBottom w:val="0"/>
      <w:divBdr>
        <w:top w:val="none" w:sz="0" w:space="0" w:color="auto"/>
        <w:left w:val="none" w:sz="0" w:space="0" w:color="auto"/>
        <w:bottom w:val="none" w:sz="0" w:space="0" w:color="auto"/>
        <w:right w:val="none" w:sz="0" w:space="0" w:color="auto"/>
      </w:divBdr>
    </w:div>
    <w:div w:id="179049938">
      <w:bodyDiv w:val="1"/>
      <w:marLeft w:val="0"/>
      <w:marRight w:val="0"/>
      <w:marTop w:val="0"/>
      <w:marBottom w:val="0"/>
      <w:divBdr>
        <w:top w:val="none" w:sz="0" w:space="0" w:color="auto"/>
        <w:left w:val="none" w:sz="0" w:space="0" w:color="auto"/>
        <w:bottom w:val="none" w:sz="0" w:space="0" w:color="auto"/>
        <w:right w:val="none" w:sz="0" w:space="0" w:color="auto"/>
      </w:divBdr>
    </w:div>
    <w:div w:id="180821094">
      <w:bodyDiv w:val="1"/>
      <w:marLeft w:val="0"/>
      <w:marRight w:val="0"/>
      <w:marTop w:val="0"/>
      <w:marBottom w:val="0"/>
      <w:divBdr>
        <w:top w:val="none" w:sz="0" w:space="0" w:color="auto"/>
        <w:left w:val="none" w:sz="0" w:space="0" w:color="auto"/>
        <w:bottom w:val="none" w:sz="0" w:space="0" w:color="auto"/>
        <w:right w:val="none" w:sz="0" w:space="0" w:color="auto"/>
      </w:divBdr>
    </w:div>
    <w:div w:id="183443152">
      <w:bodyDiv w:val="1"/>
      <w:marLeft w:val="0"/>
      <w:marRight w:val="0"/>
      <w:marTop w:val="0"/>
      <w:marBottom w:val="0"/>
      <w:divBdr>
        <w:top w:val="none" w:sz="0" w:space="0" w:color="auto"/>
        <w:left w:val="none" w:sz="0" w:space="0" w:color="auto"/>
        <w:bottom w:val="none" w:sz="0" w:space="0" w:color="auto"/>
        <w:right w:val="none" w:sz="0" w:space="0" w:color="auto"/>
      </w:divBdr>
      <w:divsChild>
        <w:div w:id="1388914754">
          <w:marLeft w:val="0"/>
          <w:marRight w:val="0"/>
          <w:marTop w:val="0"/>
          <w:marBottom w:val="0"/>
          <w:divBdr>
            <w:top w:val="none" w:sz="0" w:space="0" w:color="auto"/>
            <w:left w:val="none" w:sz="0" w:space="0" w:color="auto"/>
            <w:bottom w:val="none" w:sz="0" w:space="0" w:color="auto"/>
            <w:right w:val="none" w:sz="0" w:space="0" w:color="auto"/>
          </w:divBdr>
        </w:div>
      </w:divsChild>
    </w:div>
    <w:div w:id="183978908">
      <w:bodyDiv w:val="1"/>
      <w:marLeft w:val="0"/>
      <w:marRight w:val="0"/>
      <w:marTop w:val="0"/>
      <w:marBottom w:val="0"/>
      <w:divBdr>
        <w:top w:val="none" w:sz="0" w:space="0" w:color="auto"/>
        <w:left w:val="none" w:sz="0" w:space="0" w:color="auto"/>
        <w:bottom w:val="none" w:sz="0" w:space="0" w:color="auto"/>
        <w:right w:val="none" w:sz="0" w:space="0" w:color="auto"/>
      </w:divBdr>
    </w:div>
    <w:div w:id="187447983">
      <w:bodyDiv w:val="1"/>
      <w:marLeft w:val="0"/>
      <w:marRight w:val="0"/>
      <w:marTop w:val="0"/>
      <w:marBottom w:val="0"/>
      <w:divBdr>
        <w:top w:val="none" w:sz="0" w:space="0" w:color="auto"/>
        <w:left w:val="none" w:sz="0" w:space="0" w:color="auto"/>
        <w:bottom w:val="none" w:sz="0" w:space="0" w:color="auto"/>
        <w:right w:val="none" w:sz="0" w:space="0" w:color="auto"/>
      </w:divBdr>
    </w:div>
    <w:div w:id="191967518">
      <w:bodyDiv w:val="1"/>
      <w:marLeft w:val="0"/>
      <w:marRight w:val="0"/>
      <w:marTop w:val="0"/>
      <w:marBottom w:val="0"/>
      <w:divBdr>
        <w:top w:val="none" w:sz="0" w:space="0" w:color="auto"/>
        <w:left w:val="none" w:sz="0" w:space="0" w:color="auto"/>
        <w:bottom w:val="none" w:sz="0" w:space="0" w:color="auto"/>
        <w:right w:val="none" w:sz="0" w:space="0" w:color="auto"/>
      </w:divBdr>
    </w:div>
    <w:div w:id="193352499">
      <w:bodyDiv w:val="1"/>
      <w:marLeft w:val="0"/>
      <w:marRight w:val="0"/>
      <w:marTop w:val="0"/>
      <w:marBottom w:val="0"/>
      <w:divBdr>
        <w:top w:val="none" w:sz="0" w:space="0" w:color="auto"/>
        <w:left w:val="none" w:sz="0" w:space="0" w:color="auto"/>
        <w:bottom w:val="none" w:sz="0" w:space="0" w:color="auto"/>
        <w:right w:val="none" w:sz="0" w:space="0" w:color="auto"/>
      </w:divBdr>
    </w:div>
    <w:div w:id="195047176">
      <w:bodyDiv w:val="1"/>
      <w:marLeft w:val="0"/>
      <w:marRight w:val="0"/>
      <w:marTop w:val="0"/>
      <w:marBottom w:val="0"/>
      <w:divBdr>
        <w:top w:val="none" w:sz="0" w:space="0" w:color="auto"/>
        <w:left w:val="none" w:sz="0" w:space="0" w:color="auto"/>
        <w:bottom w:val="none" w:sz="0" w:space="0" w:color="auto"/>
        <w:right w:val="none" w:sz="0" w:space="0" w:color="auto"/>
      </w:divBdr>
    </w:div>
    <w:div w:id="195625078">
      <w:bodyDiv w:val="1"/>
      <w:marLeft w:val="0"/>
      <w:marRight w:val="0"/>
      <w:marTop w:val="0"/>
      <w:marBottom w:val="0"/>
      <w:divBdr>
        <w:top w:val="none" w:sz="0" w:space="0" w:color="auto"/>
        <w:left w:val="none" w:sz="0" w:space="0" w:color="auto"/>
        <w:bottom w:val="none" w:sz="0" w:space="0" w:color="auto"/>
        <w:right w:val="none" w:sz="0" w:space="0" w:color="auto"/>
      </w:divBdr>
    </w:div>
    <w:div w:id="210074488">
      <w:bodyDiv w:val="1"/>
      <w:marLeft w:val="0"/>
      <w:marRight w:val="0"/>
      <w:marTop w:val="0"/>
      <w:marBottom w:val="0"/>
      <w:divBdr>
        <w:top w:val="none" w:sz="0" w:space="0" w:color="auto"/>
        <w:left w:val="none" w:sz="0" w:space="0" w:color="auto"/>
        <w:bottom w:val="none" w:sz="0" w:space="0" w:color="auto"/>
        <w:right w:val="none" w:sz="0" w:space="0" w:color="auto"/>
      </w:divBdr>
    </w:div>
    <w:div w:id="211189104">
      <w:bodyDiv w:val="1"/>
      <w:marLeft w:val="0"/>
      <w:marRight w:val="0"/>
      <w:marTop w:val="0"/>
      <w:marBottom w:val="0"/>
      <w:divBdr>
        <w:top w:val="none" w:sz="0" w:space="0" w:color="auto"/>
        <w:left w:val="none" w:sz="0" w:space="0" w:color="auto"/>
        <w:bottom w:val="none" w:sz="0" w:space="0" w:color="auto"/>
        <w:right w:val="none" w:sz="0" w:space="0" w:color="auto"/>
      </w:divBdr>
    </w:div>
    <w:div w:id="214003026">
      <w:bodyDiv w:val="1"/>
      <w:marLeft w:val="0"/>
      <w:marRight w:val="0"/>
      <w:marTop w:val="0"/>
      <w:marBottom w:val="0"/>
      <w:divBdr>
        <w:top w:val="none" w:sz="0" w:space="0" w:color="auto"/>
        <w:left w:val="none" w:sz="0" w:space="0" w:color="auto"/>
        <w:bottom w:val="none" w:sz="0" w:space="0" w:color="auto"/>
        <w:right w:val="none" w:sz="0" w:space="0" w:color="auto"/>
      </w:divBdr>
    </w:div>
    <w:div w:id="214972488">
      <w:bodyDiv w:val="1"/>
      <w:marLeft w:val="0"/>
      <w:marRight w:val="0"/>
      <w:marTop w:val="0"/>
      <w:marBottom w:val="0"/>
      <w:divBdr>
        <w:top w:val="none" w:sz="0" w:space="0" w:color="auto"/>
        <w:left w:val="none" w:sz="0" w:space="0" w:color="auto"/>
        <w:bottom w:val="none" w:sz="0" w:space="0" w:color="auto"/>
        <w:right w:val="none" w:sz="0" w:space="0" w:color="auto"/>
      </w:divBdr>
      <w:divsChild>
        <w:div w:id="1915816604">
          <w:marLeft w:val="0"/>
          <w:marRight w:val="0"/>
          <w:marTop w:val="0"/>
          <w:marBottom w:val="0"/>
          <w:divBdr>
            <w:top w:val="none" w:sz="0" w:space="0" w:color="auto"/>
            <w:left w:val="none" w:sz="0" w:space="0" w:color="auto"/>
            <w:bottom w:val="none" w:sz="0" w:space="0" w:color="auto"/>
            <w:right w:val="none" w:sz="0" w:space="0" w:color="auto"/>
          </w:divBdr>
        </w:div>
      </w:divsChild>
    </w:div>
    <w:div w:id="219176338">
      <w:bodyDiv w:val="1"/>
      <w:marLeft w:val="0"/>
      <w:marRight w:val="0"/>
      <w:marTop w:val="0"/>
      <w:marBottom w:val="0"/>
      <w:divBdr>
        <w:top w:val="none" w:sz="0" w:space="0" w:color="auto"/>
        <w:left w:val="none" w:sz="0" w:space="0" w:color="auto"/>
        <w:bottom w:val="none" w:sz="0" w:space="0" w:color="auto"/>
        <w:right w:val="none" w:sz="0" w:space="0" w:color="auto"/>
      </w:divBdr>
    </w:div>
    <w:div w:id="219564090">
      <w:bodyDiv w:val="1"/>
      <w:marLeft w:val="0"/>
      <w:marRight w:val="0"/>
      <w:marTop w:val="0"/>
      <w:marBottom w:val="0"/>
      <w:divBdr>
        <w:top w:val="none" w:sz="0" w:space="0" w:color="auto"/>
        <w:left w:val="none" w:sz="0" w:space="0" w:color="auto"/>
        <w:bottom w:val="none" w:sz="0" w:space="0" w:color="auto"/>
        <w:right w:val="none" w:sz="0" w:space="0" w:color="auto"/>
      </w:divBdr>
    </w:div>
    <w:div w:id="223761113">
      <w:bodyDiv w:val="1"/>
      <w:marLeft w:val="0"/>
      <w:marRight w:val="0"/>
      <w:marTop w:val="0"/>
      <w:marBottom w:val="0"/>
      <w:divBdr>
        <w:top w:val="none" w:sz="0" w:space="0" w:color="auto"/>
        <w:left w:val="none" w:sz="0" w:space="0" w:color="auto"/>
        <w:bottom w:val="none" w:sz="0" w:space="0" w:color="auto"/>
        <w:right w:val="none" w:sz="0" w:space="0" w:color="auto"/>
      </w:divBdr>
    </w:div>
    <w:div w:id="224142441">
      <w:bodyDiv w:val="1"/>
      <w:marLeft w:val="0"/>
      <w:marRight w:val="0"/>
      <w:marTop w:val="0"/>
      <w:marBottom w:val="0"/>
      <w:divBdr>
        <w:top w:val="none" w:sz="0" w:space="0" w:color="auto"/>
        <w:left w:val="none" w:sz="0" w:space="0" w:color="auto"/>
        <w:bottom w:val="none" w:sz="0" w:space="0" w:color="auto"/>
        <w:right w:val="none" w:sz="0" w:space="0" w:color="auto"/>
      </w:divBdr>
    </w:div>
    <w:div w:id="226261250">
      <w:bodyDiv w:val="1"/>
      <w:marLeft w:val="0"/>
      <w:marRight w:val="0"/>
      <w:marTop w:val="0"/>
      <w:marBottom w:val="0"/>
      <w:divBdr>
        <w:top w:val="none" w:sz="0" w:space="0" w:color="auto"/>
        <w:left w:val="none" w:sz="0" w:space="0" w:color="auto"/>
        <w:bottom w:val="none" w:sz="0" w:space="0" w:color="auto"/>
        <w:right w:val="none" w:sz="0" w:space="0" w:color="auto"/>
      </w:divBdr>
    </w:div>
    <w:div w:id="227545484">
      <w:bodyDiv w:val="1"/>
      <w:marLeft w:val="0"/>
      <w:marRight w:val="0"/>
      <w:marTop w:val="0"/>
      <w:marBottom w:val="0"/>
      <w:divBdr>
        <w:top w:val="none" w:sz="0" w:space="0" w:color="auto"/>
        <w:left w:val="none" w:sz="0" w:space="0" w:color="auto"/>
        <w:bottom w:val="none" w:sz="0" w:space="0" w:color="auto"/>
        <w:right w:val="none" w:sz="0" w:space="0" w:color="auto"/>
      </w:divBdr>
    </w:div>
    <w:div w:id="230772106">
      <w:bodyDiv w:val="1"/>
      <w:marLeft w:val="0"/>
      <w:marRight w:val="0"/>
      <w:marTop w:val="0"/>
      <w:marBottom w:val="0"/>
      <w:divBdr>
        <w:top w:val="none" w:sz="0" w:space="0" w:color="auto"/>
        <w:left w:val="none" w:sz="0" w:space="0" w:color="auto"/>
        <w:bottom w:val="none" w:sz="0" w:space="0" w:color="auto"/>
        <w:right w:val="none" w:sz="0" w:space="0" w:color="auto"/>
      </w:divBdr>
    </w:div>
    <w:div w:id="231239065">
      <w:bodyDiv w:val="1"/>
      <w:marLeft w:val="0"/>
      <w:marRight w:val="0"/>
      <w:marTop w:val="0"/>
      <w:marBottom w:val="0"/>
      <w:divBdr>
        <w:top w:val="none" w:sz="0" w:space="0" w:color="auto"/>
        <w:left w:val="none" w:sz="0" w:space="0" w:color="auto"/>
        <w:bottom w:val="none" w:sz="0" w:space="0" w:color="auto"/>
        <w:right w:val="none" w:sz="0" w:space="0" w:color="auto"/>
      </w:divBdr>
    </w:div>
    <w:div w:id="231820458">
      <w:bodyDiv w:val="1"/>
      <w:marLeft w:val="0"/>
      <w:marRight w:val="0"/>
      <w:marTop w:val="0"/>
      <w:marBottom w:val="0"/>
      <w:divBdr>
        <w:top w:val="none" w:sz="0" w:space="0" w:color="auto"/>
        <w:left w:val="none" w:sz="0" w:space="0" w:color="auto"/>
        <w:bottom w:val="none" w:sz="0" w:space="0" w:color="auto"/>
        <w:right w:val="none" w:sz="0" w:space="0" w:color="auto"/>
      </w:divBdr>
    </w:div>
    <w:div w:id="235437954">
      <w:bodyDiv w:val="1"/>
      <w:marLeft w:val="0"/>
      <w:marRight w:val="0"/>
      <w:marTop w:val="0"/>
      <w:marBottom w:val="0"/>
      <w:divBdr>
        <w:top w:val="none" w:sz="0" w:space="0" w:color="auto"/>
        <w:left w:val="none" w:sz="0" w:space="0" w:color="auto"/>
        <w:bottom w:val="none" w:sz="0" w:space="0" w:color="auto"/>
        <w:right w:val="none" w:sz="0" w:space="0" w:color="auto"/>
      </w:divBdr>
      <w:divsChild>
        <w:div w:id="834027401">
          <w:marLeft w:val="0"/>
          <w:marRight w:val="0"/>
          <w:marTop w:val="0"/>
          <w:marBottom w:val="0"/>
          <w:divBdr>
            <w:top w:val="none" w:sz="0" w:space="0" w:color="auto"/>
            <w:left w:val="none" w:sz="0" w:space="0" w:color="auto"/>
            <w:bottom w:val="none" w:sz="0" w:space="0" w:color="auto"/>
            <w:right w:val="none" w:sz="0" w:space="0" w:color="auto"/>
          </w:divBdr>
        </w:div>
      </w:divsChild>
    </w:div>
    <w:div w:id="235479838">
      <w:bodyDiv w:val="1"/>
      <w:marLeft w:val="0"/>
      <w:marRight w:val="0"/>
      <w:marTop w:val="0"/>
      <w:marBottom w:val="0"/>
      <w:divBdr>
        <w:top w:val="none" w:sz="0" w:space="0" w:color="auto"/>
        <w:left w:val="none" w:sz="0" w:space="0" w:color="auto"/>
        <w:bottom w:val="none" w:sz="0" w:space="0" w:color="auto"/>
        <w:right w:val="none" w:sz="0" w:space="0" w:color="auto"/>
      </w:divBdr>
      <w:divsChild>
        <w:div w:id="362024881">
          <w:marLeft w:val="0"/>
          <w:marRight w:val="0"/>
          <w:marTop w:val="0"/>
          <w:marBottom w:val="0"/>
          <w:divBdr>
            <w:top w:val="none" w:sz="0" w:space="0" w:color="auto"/>
            <w:left w:val="none" w:sz="0" w:space="0" w:color="auto"/>
            <w:bottom w:val="none" w:sz="0" w:space="0" w:color="auto"/>
            <w:right w:val="none" w:sz="0" w:space="0" w:color="auto"/>
          </w:divBdr>
        </w:div>
      </w:divsChild>
    </w:div>
    <w:div w:id="242228868">
      <w:bodyDiv w:val="1"/>
      <w:marLeft w:val="0"/>
      <w:marRight w:val="0"/>
      <w:marTop w:val="0"/>
      <w:marBottom w:val="0"/>
      <w:divBdr>
        <w:top w:val="none" w:sz="0" w:space="0" w:color="auto"/>
        <w:left w:val="none" w:sz="0" w:space="0" w:color="auto"/>
        <w:bottom w:val="none" w:sz="0" w:space="0" w:color="auto"/>
        <w:right w:val="none" w:sz="0" w:space="0" w:color="auto"/>
      </w:divBdr>
    </w:div>
    <w:div w:id="245960904">
      <w:bodyDiv w:val="1"/>
      <w:marLeft w:val="0"/>
      <w:marRight w:val="0"/>
      <w:marTop w:val="0"/>
      <w:marBottom w:val="0"/>
      <w:divBdr>
        <w:top w:val="none" w:sz="0" w:space="0" w:color="auto"/>
        <w:left w:val="none" w:sz="0" w:space="0" w:color="auto"/>
        <w:bottom w:val="none" w:sz="0" w:space="0" w:color="auto"/>
        <w:right w:val="none" w:sz="0" w:space="0" w:color="auto"/>
      </w:divBdr>
    </w:div>
    <w:div w:id="248081213">
      <w:bodyDiv w:val="1"/>
      <w:marLeft w:val="0"/>
      <w:marRight w:val="0"/>
      <w:marTop w:val="0"/>
      <w:marBottom w:val="0"/>
      <w:divBdr>
        <w:top w:val="none" w:sz="0" w:space="0" w:color="auto"/>
        <w:left w:val="none" w:sz="0" w:space="0" w:color="auto"/>
        <w:bottom w:val="none" w:sz="0" w:space="0" w:color="auto"/>
        <w:right w:val="none" w:sz="0" w:space="0" w:color="auto"/>
      </w:divBdr>
    </w:div>
    <w:div w:id="253167829">
      <w:bodyDiv w:val="1"/>
      <w:marLeft w:val="0"/>
      <w:marRight w:val="0"/>
      <w:marTop w:val="0"/>
      <w:marBottom w:val="0"/>
      <w:divBdr>
        <w:top w:val="none" w:sz="0" w:space="0" w:color="auto"/>
        <w:left w:val="none" w:sz="0" w:space="0" w:color="auto"/>
        <w:bottom w:val="none" w:sz="0" w:space="0" w:color="auto"/>
        <w:right w:val="none" w:sz="0" w:space="0" w:color="auto"/>
      </w:divBdr>
    </w:div>
    <w:div w:id="259877260">
      <w:bodyDiv w:val="1"/>
      <w:marLeft w:val="0"/>
      <w:marRight w:val="0"/>
      <w:marTop w:val="0"/>
      <w:marBottom w:val="0"/>
      <w:divBdr>
        <w:top w:val="none" w:sz="0" w:space="0" w:color="auto"/>
        <w:left w:val="none" w:sz="0" w:space="0" w:color="auto"/>
        <w:bottom w:val="none" w:sz="0" w:space="0" w:color="auto"/>
        <w:right w:val="none" w:sz="0" w:space="0" w:color="auto"/>
      </w:divBdr>
    </w:div>
    <w:div w:id="262148978">
      <w:bodyDiv w:val="1"/>
      <w:marLeft w:val="0"/>
      <w:marRight w:val="0"/>
      <w:marTop w:val="0"/>
      <w:marBottom w:val="0"/>
      <w:divBdr>
        <w:top w:val="none" w:sz="0" w:space="0" w:color="auto"/>
        <w:left w:val="none" w:sz="0" w:space="0" w:color="auto"/>
        <w:bottom w:val="none" w:sz="0" w:space="0" w:color="auto"/>
        <w:right w:val="none" w:sz="0" w:space="0" w:color="auto"/>
      </w:divBdr>
      <w:divsChild>
        <w:div w:id="1600017478">
          <w:marLeft w:val="0"/>
          <w:marRight w:val="0"/>
          <w:marTop w:val="0"/>
          <w:marBottom w:val="0"/>
          <w:divBdr>
            <w:top w:val="none" w:sz="0" w:space="0" w:color="auto"/>
            <w:left w:val="none" w:sz="0" w:space="0" w:color="auto"/>
            <w:bottom w:val="none" w:sz="0" w:space="0" w:color="auto"/>
            <w:right w:val="none" w:sz="0" w:space="0" w:color="auto"/>
          </w:divBdr>
        </w:div>
      </w:divsChild>
    </w:div>
    <w:div w:id="265428050">
      <w:bodyDiv w:val="1"/>
      <w:marLeft w:val="0"/>
      <w:marRight w:val="0"/>
      <w:marTop w:val="0"/>
      <w:marBottom w:val="0"/>
      <w:divBdr>
        <w:top w:val="none" w:sz="0" w:space="0" w:color="auto"/>
        <w:left w:val="none" w:sz="0" w:space="0" w:color="auto"/>
        <w:bottom w:val="none" w:sz="0" w:space="0" w:color="auto"/>
        <w:right w:val="none" w:sz="0" w:space="0" w:color="auto"/>
      </w:divBdr>
    </w:div>
    <w:div w:id="267931396">
      <w:bodyDiv w:val="1"/>
      <w:marLeft w:val="0"/>
      <w:marRight w:val="0"/>
      <w:marTop w:val="0"/>
      <w:marBottom w:val="0"/>
      <w:divBdr>
        <w:top w:val="none" w:sz="0" w:space="0" w:color="auto"/>
        <w:left w:val="none" w:sz="0" w:space="0" w:color="auto"/>
        <w:bottom w:val="none" w:sz="0" w:space="0" w:color="auto"/>
        <w:right w:val="none" w:sz="0" w:space="0" w:color="auto"/>
      </w:divBdr>
    </w:div>
    <w:div w:id="269944002">
      <w:bodyDiv w:val="1"/>
      <w:marLeft w:val="0"/>
      <w:marRight w:val="0"/>
      <w:marTop w:val="0"/>
      <w:marBottom w:val="0"/>
      <w:divBdr>
        <w:top w:val="none" w:sz="0" w:space="0" w:color="auto"/>
        <w:left w:val="none" w:sz="0" w:space="0" w:color="auto"/>
        <w:bottom w:val="none" w:sz="0" w:space="0" w:color="auto"/>
        <w:right w:val="none" w:sz="0" w:space="0" w:color="auto"/>
      </w:divBdr>
    </w:div>
    <w:div w:id="270404823">
      <w:bodyDiv w:val="1"/>
      <w:marLeft w:val="0"/>
      <w:marRight w:val="0"/>
      <w:marTop w:val="0"/>
      <w:marBottom w:val="0"/>
      <w:divBdr>
        <w:top w:val="none" w:sz="0" w:space="0" w:color="auto"/>
        <w:left w:val="none" w:sz="0" w:space="0" w:color="auto"/>
        <w:bottom w:val="none" w:sz="0" w:space="0" w:color="auto"/>
        <w:right w:val="none" w:sz="0" w:space="0" w:color="auto"/>
      </w:divBdr>
    </w:div>
    <w:div w:id="271743784">
      <w:bodyDiv w:val="1"/>
      <w:marLeft w:val="0"/>
      <w:marRight w:val="0"/>
      <w:marTop w:val="0"/>
      <w:marBottom w:val="0"/>
      <w:divBdr>
        <w:top w:val="none" w:sz="0" w:space="0" w:color="auto"/>
        <w:left w:val="none" w:sz="0" w:space="0" w:color="auto"/>
        <w:bottom w:val="none" w:sz="0" w:space="0" w:color="auto"/>
        <w:right w:val="none" w:sz="0" w:space="0" w:color="auto"/>
      </w:divBdr>
    </w:div>
    <w:div w:id="277183327">
      <w:bodyDiv w:val="1"/>
      <w:marLeft w:val="0"/>
      <w:marRight w:val="0"/>
      <w:marTop w:val="0"/>
      <w:marBottom w:val="0"/>
      <w:divBdr>
        <w:top w:val="none" w:sz="0" w:space="0" w:color="auto"/>
        <w:left w:val="none" w:sz="0" w:space="0" w:color="auto"/>
        <w:bottom w:val="none" w:sz="0" w:space="0" w:color="auto"/>
        <w:right w:val="none" w:sz="0" w:space="0" w:color="auto"/>
      </w:divBdr>
    </w:div>
    <w:div w:id="279335331">
      <w:bodyDiv w:val="1"/>
      <w:marLeft w:val="0"/>
      <w:marRight w:val="0"/>
      <w:marTop w:val="0"/>
      <w:marBottom w:val="0"/>
      <w:divBdr>
        <w:top w:val="none" w:sz="0" w:space="0" w:color="auto"/>
        <w:left w:val="none" w:sz="0" w:space="0" w:color="auto"/>
        <w:bottom w:val="none" w:sz="0" w:space="0" w:color="auto"/>
        <w:right w:val="none" w:sz="0" w:space="0" w:color="auto"/>
      </w:divBdr>
    </w:div>
    <w:div w:id="283079773">
      <w:bodyDiv w:val="1"/>
      <w:marLeft w:val="0"/>
      <w:marRight w:val="0"/>
      <w:marTop w:val="0"/>
      <w:marBottom w:val="0"/>
      <w:divBdr>
        <w:top w:val="none" w:sz="0" w:space="0" w:color="auto"/>
        <w:left w:val="none" w:sz="0" w:space="0" w:color="auto"/>
        <w:bottom w:val="none" w:sz="0" w:space="0" w:color="auto"/>
        <w:right w:val="none" w:sz="0" w:space="0" w:color="auto"/>
      </w:divBdr>
      <w:divsChild>
        <w:div w:id="1054742019">
          <w:marLeft w:val="0"/>
          <w:marRight w:val="0"/>
          <w:marTop w:val="0"/>
          <w:marBottom w:val="0"/>
          <w:divBdr>
            <w:top w:val="none" w:sz="0" w:space="0" w:color="auto"/>
            <w:left w:val="none" w:sz="0" w:space="0" w:color="auto"/>
            <w:bottom w:val="none" w:sz="0" w:space="0" w:color="auto"/>
            <w:right w:val="none" w:sz="0" w:space="0" w:color="auto"/>
          </w:divBdr>
        </w:div>
      </w:divsChild>
    </w:div>
    <w:div w:id="287782690">
      <w:bodyDiv w:val="1"/>
      <w:marLeft w:val="0"/>
      <w:marRight w:val="0"/>
      <w:marTop w:val="0"/>
      <w:marBottom w:val="0"/>
      <w:divBdr>
        <w:top w:val="none" w:sz="0" w:space="0" w:color="auto"/>
        <w:left w:val="none" w:sz="0" w:space="0" w:color="auto"/>
        <w:bottom w:val="none" w:sz="0" w:space="0" w:color="auto"/>
        <w:right w:val="none" w:sz="0" w:space="0" w:color="auto"/>
      </w:divBdr>
      <w:divsChild>
        <w:div w:id="173806127">
          <w:marLeft w:val="0"/>
          <w:marRight w:val="0"/>
          <w:marTop w:val="0"/>
          <w:marBottom w:val="0"/>
          <w:divBdr>
            <w:top w:val="none" w:sz="0" w:space="0" w:color="auto"/>
            <w:left w:val="none" w:sz="0" w:space="0" w:color="auto"/>
            <w:bottom w:val="none" w:sz="0" w:space="0" w:color="auto"/>
            <w:right w:val="none" w:sz="0" w:space="0" w:color="auto"/>
          </w:divBdr>
        </w:div>
      </w:divsChild>
    </w:div>
    <w:div w:id="288050218">
      <w:bodyDiv w:val="1"/>
      <w:marLeft w:val="0"/>
      <w:marRight w:val="0"/>
      <w:marTop w:val="0"/>
      <w:marBottom w:val="0"/>
      <w:divBdr>
        <w:top w:val="none" w:sz="0" w:space="0" w:color="auto"/>
        <w:left w:val="none" w:sz="0" w:space="0" w:color="auto"/>
        <w:bottom w:val="none" w:sz="0" w:space="0" w:color="auto"/>
        <w:right w:val="none" w:sz="0" w:space="0" w:color="auto"/>
      </w:divBdr>
    </w:div>
    <w:div w:id="288054849">
      <w:bodyDiv w:val="1"/>
      <w:marLeft w:val="0"/>
      <w:marRight w:val="0"/>
      <w:marTop w:val="0"/>
      <w:marBottom w:val="0"/>
      <w:divBdr>
        <w:top w:val="none" w:sz="0" w:space="0" w:color="auto"/>
        <w:left w:val="none" w:sz="0" w:space="0" w:color="auto"/>
        <w:bottom w:val="none" w:sz="0" w:space="0" w:color="auto"/>
        <w:right w:val="none" w:sz="0" w:space="0" w:color="auto"/>
      </w:divBdr>
    </w:div>
    <w:div w:id="290481231">
      <w:bodyDiv w:val="1"/>
      <w:marLeft w:val="0"/>
      <w:marRight w:val="0"/>
      <w:marTop w:val="0"/>
      <w:marBottom w:val="0"/>
      <w:divBdr>
        <w:top w:val="none" w:sz="0" w:space="0" w:color="auto"/>
        <w:left w:val="none" w:sz="0" w:space="0" w:color="auto"/>
        <w:bottom w:val="none" w:sz="0" w:space="0" w:color="auto"/>
        <w:right w:val="none" w:sz="0" w:space="0" w:color="auto"/>
      </w:divBdr>
    </w:div>
    <w:div w:id="304703068">
      <w:bodyDiv w:val="1"/>
      <w:marLeft w:val="0"/>
      <w:marRight w:val="0"/>
      <w:marTop w:val="0"/>
      <w:marBottom w:val="0"/>
      <w:divBdr>
        <w:top w:val="none" w:sz="0" w:space="0" w:color="auto"/>
        <w:left w:val="none" w:sz="0" w:space="0" w:color="auto"/>
        <w:bottom w:val="none" w:sz="0" w:space="0" w:color="auto"/>
        <w:right w:val="none" w:sz="0" w:space="0" w:color="auto"/>
      </w:divBdr>
    </w:div>
    <w:div w:id="315378429">
      <w:bodyDiv w:val="1"/>
      <w:marLeft w:val="0"/>
      <w:marRight w:val="0"/>
      <w:marTop w:val="0"/>
      <w:marBottom w:val="0"/>
      <w:divBdr>
        <w:top w:val="none" w:sz="0" w:space="0" w:color="auto"/>
        <w:left w:val="none" w:sz="0" w:space="0" w:color="auto"/>
        <w:bottom w:val="none" w:sz="0" w:space="0" w:color="auto"/>
        <w:right w:val="none" w:sz="0" w:space="0" w:color="auto"/>
      </w:divBdr>
      <w:divsChild>
        <w:div w:id="332075527">
          <w:marLeft w:val="0"/>
          <w:marRight w:val="0"/>
          <w:marTop w:val="0"/>
          <w:marBottom w:val="0"/>
          <w:divBdr>
            <w:top w:val="none" w:sz="0" w:space="0" w:color="auto"/>
            <w:left w:val="none" w:sz="0" w:space="0" w:color="auto"/>
            <w:bottom w:val="none" w:sz="0" w:space="0" w:color="auto"/>
            <w:right w:val="none" w:sz="0" w:space="0" w:color="auto"/>
          </w:divBdr>
        </w:div>
      </w:divsChild>
    </w:div>
    <w:div w:id="316495663">
      <w:bodyDiv w:val="1"/>
      <w:marLeft w:val="0"/>
      <w:marRight w:val="0"/>
      <w:marTop w:val="0"/>
      <w:marBottom w:val="0"/>
      <w:divBdr>
        <w:top w:val="none" w:sz="0" w:space="0" w:color="auto"/>
        <w:left w:val="none" w:sz="0" w:space="0" w:color="auto"/>
        <w:bottom w:val="none" w:sz="0" w:space="0" w:color="auto"/>
        <w:right w:val="none" w:sz="0" w:space="0" w:color="auto"/>
      </w:divBdr>
    </w:div>
    <w:div w:id="320933360">
      <w:bodyDiv w:val="1"/>
      <w:marLeft w:val="0"/>
      <w:marRight w:val="0"/>
      <w:marTop w:val="0"/>
      <w:marBottom w:val="0"/>
      <w:divBdr>
        <w:top w:val="none" w:sz="0" w:space="0" w:color="auto"/>
        <w:left w:val="none" w:sz="0" w:space="0" w:color="auto"/>
        <w:bottom w:val="none" w:sz="0" w:space="0" w:color="auto"/>
        <w:right w:val="none" w:sz="0" w:space="0" w:color="auto"/>
      </w:divBdr>
    </w:div>
    <w:div w:id="322320330">
      <w:bodyDiv w:val="1"/>
      <w:marLeft w:val="0"/>
      <w:marRight w:val="0"/>
      <w:marTop w:val="0"/>
      <w:marBottom w:val="0"/>
      <w:divBdr>
        <w:top w:val="none" w:sz="0" w:space="0" w:color="auto"/>
        <w:left w:val="none" w:sz="0" w:space="0" w:color="auto"/>
        <w:bottom w:val="none" w:sz="0" w:space="0" w:color="auto"/>
        <w:right w:val="none" w:sz="0" w:space="0" w:color="auto"/>
      </w:divBdr>
    </w:div>
    <w:div w:id="322706831">
      <w:bodyDiv w:val="1"/>
      <w:marLeft w:val="0"/>
      <w:marRight w:val="0"/>
      <w:marTop w:val="0"/>
      <w:marBottom w:val="0"/>
      <w:divBdr>
        <w:top w:val="none" w:sz="0" w:space="0" w:color="auto"/>
        <w:left w:val="none" w:sz="0" w:space="0" w:color="auto"/>
        <w:bottom w:val="none" w:sz="0" w:space="0" w:color="auto"/>
        <w:right w:val="none" w:sz="0" w:space="0" w:color="auto"/>
      </w:divBdr>
    </w:div>
    <w:div w:id="324825872">
      <w:bodyDiv w:val="1"/>
      <w:marLeft w:val="0"/>
      <w:marRight w:val="0"/>
      <w:marTop w:val="0"/>
      <w:marBottom w:val="0"/>
      <w:divBdr>
        <w:top w:val="none" w:sz="0" w:space="0" w:color="auto"/>
        <w:left w:val="none" w:sz="0" w:space="0" w:color="auto"/>
        <w:bottom w:val="none" w:sz="0" w:space="0" w:color="auto"/>
        <w:right w:val="none" w:sz="0" w:space="0" w:color="auto"/>
      </w:divBdr>
    </w:div>
    <w:div w:id="328485337">
      <w:bodyDiv w:val="1"/>
      <w:marLeft w:val="0"/>
      <w:marRight w:val="0"/>
      <w:marTop w:val="0"/>
      <w:marBottom w:val="0"/>
      <w:divBdr>
        <w:top w:val="none" w:sz="0" w:space="0" w:color="auto"/>
        <w:left w:val="none" w:sz="0" w:space="0" w:color="auto"/>
        <w:bottom w:val="none" w:sz="0" w:space="0" w:color="auto"/>
        <w:right w:val="none" w:sz="0" w:space="0" w:color="auto"/>
      </w:divBdr>
    </w:div>
    <w:div w:id="332145481">
      <w:bodyDiv w:val="1"/>
      <w:marLeft w:val="0"/>
      <w:marRight w:val="0"/>
      <w:marTop w:val="0"/>
      <w:marBottom w:val="0"/>
      <w:divBdr>
        <w:top w:val="none" w:sz="0" w:space="0" w:color="auto"/>
        <w:left w:val="none" w:sz="0" w:space="0" w:color="auto"/>
        <w:bottom w:val="none" w:sz="0" w:space="0" w:color="auto"/>
        <w:right w:val="none" w:sz="0" w:space="0" w:color="auto"/>
      </w:divBdr>
    </w:div>
    <w:div w:id="334841838">
      <w:bodyDiv w:val="1"/>
      <w:marLeft w:val="0"/>
      <w:marRight w:val="0"/>
      <w:marTop w:val="0"/>
      <w:marBottom w:val="0"/>
      <w:divBdr>
        <w:top w:val="none" w:sz="0" w:space="0" w:color="auto"/>
        <w:left w:val="none" w:sz="0" w:space="0" w:color="auto"/>
        <w:bottom w:val="none" w:sz="0" w:space="0" w:color="auto"/>
        <w:right w:val="none" w:sz="0" w:space="0" w:color="auto"/>
      </w:divBdr>
    </w:div>
    <w:div w:id="338507659">
      <w:bodyDiv w:val="1"/>
      <w:marLeft w:val="0"/>
      <w:marRight w:val="0"/>
      <w:marTop w:val="0"/>
      <w:marBottom w:val="0"/>
      <w:divBdr>
        <w:top w:val="none" w:sz="0" w:space="0" w:color="auto"/>
        <w:left w:val="none" w:sz="0" w:space="0" w:color="auto"/>
        <w:bottom w:val="none" w:sz="0" w:space="0" w:color="auto"/>
        <w:right w:val="none" w:sz="0" w:space="0" w:color="auto"/>
      </w:divBdr>
    </w:div>
    <w:div w:id="340667220">
      <w:bodyDiv w:val="1"/>
      <w:marLeft w:val="0"/>
      <w:marRight w:val="0"/>
      <w:marTop w:val="0"/>
      <w:marBottom w:val="0"/>
      <w:divBdr>
        <w:top w:val="none" w:sz="0" w:space="0" w:color="auto"/>
        <w:left w:val="none" w:sz="0" w:space="0" w:color="auto"/>
        <w:bottom w:val="none" w:sz="0" w:space="0" w:color="auto"/>
        <w:right w:val="none" w:sz="0" w:space="0" w:color="auto"/>
      </w:divBdr>
    </w:div>
    <w:div w:id="344131343">
      <w:bodyDiv w:val="1"/>
      <w:marLeft w:val="0"/>
      <w:marRight w:val="0"/>
      <w:marTop w:val="0"/>
      <w:marBottom w:val="0"/>
      <w:divBdr>
        <w:top w:val="none" w:sz="0" w:space="0" w:color="auto"/>
        <w:left w:val="none" w:sz="0" w:space="0" w:color="auto"/>
        <w:bottom w:val="none" w:sz="0" w:space="0" w:color="auto"/>
        <w:right w:val="none" w:sz="0" w:space="0" w:color="auto"/>
      </w:divBdr>
    </w:div>
    <w:div w:id="344984805">
      <w:bodyDiv w:val="1"/>
      <w:marLeft w:val="0"/>
      <w:marRight w:val="0"/>
      <w:marTop w:val="0"/>
      <w:marBottom w:val="0"/>
      <w:divBdr>
        <w:top w:val="none" w:sz="0" w:space="0" w:color="auto"/>
        <w:left w:val="none" w:sz="0" w:space="0" w:color="auto"/>
        <w:bottom w:val="none" w:sz="0" w:space="0" w:color="auto"/>
        <w:right w:val="none" w:sz="0" w:space="0" w:color="auto"/>
      </w:divBdr>
    </w:div>
    <w:div w:id="345402188">
      <w:bodyDiv w:val="1"/>
      <w:marLeft w:val="0"/>
      <w:marRight w:val="0"/>
      <w:marTop w:val="0"/>
      <w:marBottom w:val="0"/>
      <w:divBdr>
        <w:top w:val="none" w:sz="0" w:space="0" w:color="auto"/>
        <w:left w:val="none" w:sz="0" w:space="0" w:color="auto"/>
        <w:bottom w:val="none" w:sz="0" w:space="0" w:color="auto"/>
        <w:right w:val="none" w:sz="0" w:space="0" w:color="auto"/>
      </w:divBdr>
    </w:div>
    <w:div w:id="345911070">
      <w:bodyDiv w:val="1"/>
      <w:marLeft w:val="0"/>
      <w:marRight w:val="0"/>
      <w:marTop w:val="0"/>
      <w:marBottom w:val="0"/>
      <w:divBdr>
        <w:top w:val="none" w:sz="0" w:space="0" w:color="auto"/>
        <w:left w:val="none" w:sz="0" w:space="0" w:color="auto"/>
        <w:bottom w:val="none" w:sz="0" w:space="0" w:color="auto"/>
        <w:right w:val="none" w:sz="0" w:space="0" w:color="auto"/>
      </w:divBdr>
    </w:div>
    <w:div w:id="348873193">
      <w:bodyDiv w:val="1"/>
      <w:marLeft w:val="0"/>
      <w:marRight w:val="0"/>
      <w:marTop w:val="0"/>
      <w:marBottom w:val="0"/>
      <w:divBdr>
        <w:top w:val="none" w:sz="0" w:space="0" w:color="auto"/>
        <w:left w:val="none" w:sz="0" w:space="0" w:color="auto"/>
        <w:bottom w:val="none" w:sz="0" w:space="0" w:color="auto"/>
        <w:right w:val="none" w:sz="0" w:space="0" w:color="auto"/>
      </w:divBdr>
    </w:div>
    <w:div w:id="351491813">
      <w:bodyDiv w:val="1"/>
      <w:marLeft w:val="0"/>
      <w:marRight w:val="0"/>
      <w:marTop w:val="0"/>
      <w:marBottom w:val="0"/>
      <w:divBdr>
        <w:top w:val="none" w:sz="0" w:space="0" w:color="auto"/>
        <w:left w:val="none" w:sz="0" w:space="0" w:color="auto"/>
        <w:bottom w:val="none" w:sz="0" w:space="0" w:color="auto"/>
        <w:right w:val="none" w:sz="0" w:space="0" w:color="auto"/>
      </w:divBdr>
    </w:div>
    <w:div w:id="360086492">
      <w:bodyDiv w:val="1"/>
      <w:marLeft w:val="0"/>
      <w:marRight w:val="0"/>
      <w:marTop w:val="0"/>
      <w:marBottom w:val="0"/>
      <w:divBdr>
        <w:top w:val="none" w:sz="0" w:space="0" w:color="auto"/>
        <w:left w:val="none" w:sz="0" w:space="0" w:color="auto"/>
        <w:bottom w:val="none" w:sz="0" w:space="0" w:color="auto"/>
        <w:right w:val="none" w:sz="0" w:space="0" w:color="auto"/>
      </w:divBdr>
    </w:div>
    <w:div w:id="361521344">
      <w:bodyDiv w:val="1"/>
      <w:marLeft w:val="0"/>
      <w:marRight w:val="0"/>
      <w:marTop w:val="0"/>
      <w:marBottom w:val="0"/>
      <w:divBdr>
        <w:top w:val="none" w:sz="0" w:space="0" w:color="auto"/>
        <w:left w:val="none" w:sz="0" w:space="0" w:color="auto"/>
        <w:bottom w:val="none" w:sz="0" w:space="0" w:color="auto"/>
        <w:right w:val="none" w:sz="0" w:space="0" w:color="auto"/>
      </w:divBdr>
    </w:div>
    <w:div w:id="364522097">
      <w:bodyDiv w:val="1"/>
      <w:marLeft w:val="0"/>
      <w:marRight w:val="0"/>
      <w:marTop w:val="0"/>
      <w:marBottom w:val="0"/>
      <w:divBdr>
        <w:top w:val="none" w:sz="0" w:space="0" w:color="auto"/>
        <w:left w:val="none" w:sz="0" w:space="0" w:color="auto"/>
        <w:bottom w:val="none" w:sz="0" w:space="0" w:color="auto"/>
        <w:right w:val="none" w:sz="0" w:space="0" w:color="auto"/>
      </w:divBdr>
      <w:divsChild>
        <w:div w:id="1980643459">
          <w:marLeft w:val="0"/>
          <w:marRight w:val="0"/>
          <w:marTop w:val="0"/>
          <w:marBottom w:val="0"/>
          <w:divBdr>
            <w:top w:val="none" w:sz="0" w:space="0" w:color="auto"/>
            <w:left w:val="none" w:sz="0" w:space="0" w:color="auto"/>
            <w:bottom w:val="none" w:sz="0" w:space="0" w:color="auto"/>
            <w:right w:val="none" w:sz="0" w:space="0" w:color="auto"/>
          </w:divBdr>
        </w:div>
      </w:divsChild>
    </w:div>
    <w:div w:id="366181705">
      <w:bodyDiv w:val="1"/>
      <w:marLeft w:val="0"/>
      <w:marRight w:val="0"/>
      <w:marTop w:val="0"/>
      <w:marBottom w:val="0"/>
      <w:divBdr>
        <w:top w:val="none" w:sz="0" w:space="0" w:color="auto"/>
        <w:left w:val="none" w:sz="0" w:space="0" w:color="auto"/>
        <w:bottom w:val="none" w:sz="0" w:space="0" w:color="auto"/>
        <w:right w:val="none" w:sz="0" w:space="0" w:color="auto"/>
      </w:divBdr>
    </w:div>
    <w:div w:id="367419281">
      <w:bodyDiv w:val="1"/>
      <w:marLeft w:val="0"/>
      <w:marRight w:val="0"/>
      <w:marTop w:val="0"/>
      <w:marBottom w:val="0"/>
      <w:divBdr>
        <w:top w:val="none" w:sz="0" w:space="0" w:color="auto"/>
        <w:left w:val="none" w:sz="0" w:space="0" w:color="auto"/>
        <w:bottom w:val="none" w:sz="0" w:space="0" w:color="auto"/>
        <w:right w:val="none" w:sz="0" w:space="0" w:color="auto"/>
      </w:divBdr>
    </w:div>
    <w:div w:id="368071740">
      <w:bodyDiv w:val="1"/>
      <w:marLeft w:val="0"/>
      <w:marRight w:val="0"/>
      <w:marTop w:val="0"/>
      <w:marBottom w:val="0"/>
      <w:divBdr>
        <w:top w:val="none" w:sz="0" w:space="0" w:color="auto"/>
        <w:left w:val="none" w:sz="0" w:space="0" w:color="auto"/>
        <w:bottom w:val="none" w:sz="0" w:space="0" w:color="auto"/>
        <w:right w:val="none" w:sz="0" w:space="0" w:color="auto"/>
      </w:divBdr>
    </w:div>
    <w:div w:id="368535436">
      <w:bodyDiv w:val="1"/>
      <w:marLeft w:val="0"/>
      <w:marRight w:val="0"/>
      <w:marTop w:val="0"/>
      <w:marBottom w:val="0"/>
      <w:divBdr>
        <w:top w:val="none" w:sz="0" w:space="0" w:color="auto"/>
        <w:left w:val="none" w:sz="0" w:space="0" w:color="auto"/>
        <w:bottom w:val="none" w:sz="0" w:space="0" w:color="auto"/>
        <w:right w:val="none" w:sz="0" w:space="0" w:color="auto"/>
      </w:divBdr>
    </w:div>
    <w:div w:id="371926163">
      <w:bodyDiv w:val="1"/>
      <w:marLeft w:val="0"/>
      <w:marRight w:val="0"/>
      <w:marTop w:val="0"/>
      <w:marBottom w:val="0"/>
      <w:divBdr>
        <w:top w:val="none" w:sz="0" w:space="0" w:color="auto"/>
        <w:left w:val="none" w:sz="0" w:space="0" w:color="auto"/>
        <w:bottom w:val="none" w:sz="0" w:space="0" w:color="auto"/>
        <w:right w:val="none" w:sz="0" w:space="0" w:color="auto"/>
      </w:divBdr>
      <w:divsChild>
        <w:div w:id="1918439365">
          <w:marLeft w:val="0"/>
          <w:marRight w:val="0"/>
          <w:marTop w:val="0"/>
          <w:marBottom w:val="0"/>
          <w:divBdr>
            <w:top w:val="none" w:sz="0" w:space="0" w:color="auto"/>
            <w:left w:val="none" w:sz="0" w:space="0" w:color="auto"/>
            <w:bottom w:val="none" w:sz="0" w:space="0" w:color="auto"/>
            <w:right w:val="none" w:sz="0" w:space="0" w:color="auto"/>
          </w:divBdr>
        </w:div>
      </w:divsChild>
    </w:div>
    <w:div w:id="372073631">
      <w:bodyDiv w:val="1"/>
      <w:marLeft w:val="0"/>
      <w:marRight w:val="0"/>
      <w:marTop w:val="0"/>
      <w:marBottom w:val="0"/>
      <w:divBdr>
        <w:top w:val="none" w:sz="0" w:space="0" w:color="auto"/>
        <w:left w:val="none" w:sz="0" w:space="0" w:color="auto"/>
        <w:bottom w:val="none" w:sz="0" w:space="0" w:color="auto"/>
        <w:right w:val="none" w:sz="0" w:space="0" w:color="auto"/>
      </w:divBdr>
    </w:div>
    <w:div w:id="373818957">
      <w:bodyDiv w:val="1"/>
      <w:marLeft w:val="0"/>
      <w:marRight w:val="0"/>
      <w:marTop w:val="0"/>
      <w:marBottom w:val="0"/>
      <w:divBdr>
        <w:top w:val="none" w:sz="0" w:space="0" w:color="auto"/>
        <w:left w:val="none" w:sz="0" w:space="0" w:color="auto"/>
        <w:bottom w:val="none" w:sz="0" w:space="0" w:color="auto"/>
        <w:right w:val="none" w:sz="0" w:space="0" w:color="auto"/>
      </w:divBdr>
      <w:divsChild>
        <w:div w:id="1024869862">
          <w:marLeft w:val="0"/>
          <w:marRight w:val="0"/>
          <w:marTop w:val="0"/>
          <w:marBottom w:val="0"/>
          <w:divBdr>
            <w:top w:val="none" w:sz="0" w:space="0" w:color="auto"/>
            <w:left w:val="none" w:sz="0" w:space="0" w:color="auto"/>
            <w:bottom w:val="none" w:sz="0" w:space="0" w:color="auto"/>
            <w:right w:val="none" w:sz="0" w:space="0" w:color="auto"/>
          </w:divBdr>
        </w:div>
      </w:divsChild>
    </w:div>
    <w:div w:id="374737338">
      <w:bodyDiv w:val="1"/>
      <w:marLeft w:val="0"/>
      <w:marRight w:val="0"/>
      <w:marTop w:val="0"/>
      <w:marBottom w:val="0"/>
      <w:divBdr>
        <w:top w:val="none" w:sz="0" w:space="0" w:color="auto"/>
        <w:left w:val="none" w:sz="0" w:space="0" w:color="auto"/>
        <w:bottom w:val="none" w:sz="0" w:space="0" w:color="auto"/>
        <w:right w:val="none" w:sz="0" w:space="0" w:color="auto"/>
      </w:divBdr>
    </w:div>
    <w:div w:id="376011213">
      <w:bodyDiv w:val="1"/>
      <w:marLeft w:val="0"/>
      <w:marRight w:val="0"/>
      <w:marTop w:val="0"/>
      <w:marBottom w:val="0"/>
      <w:divBdr>
        <w:top w:val="none" w:sz="0" w:space="0" w:color="auto"/>
        <w:left w:val="none" w:sz="0" w:space="0" w:color="auto"/>
        <w:bottom w:val="none" w:sz="0" w:space="0" w:color="auto"/>
        <w:right w:val="none" w:sz="0" w:space="0" w:color="auto"/>
      </w:divBdr>
    </w:div>
    <w:div w:id="376708549">
      <w:bodyDiv w:val="1"/>
      <w:marLeft w:val="0"/>
      <w:marRight w:val="0"/>
      <w:marTop w:val="0"/>
      <w:marBottom w:val="0"/>
      <w:divBdr>
        <w:top w:val="none" w:sz="0" w:space="0" w:color="auto"/>
        <w:left w:val="none" w:sz="0" w:space="0" w:color="auto"/>
        <w:bottom w:val="none" w:sz="0" w:space="0" w:color="auto"/>
        <w:right w:val="none" w:sz="0" w:space="0" w:color="auto"/>
      </w:divBdr>
    </w:div>
    <w:div w:id="382827847">
      <w:bodyDiv w:val="1"/>
      <w:marLeft w:val="0"/>
      <w:marRight w:val="0"/>
      <w:marTop w:val="0"/>
      <w:marBottom w:val="0"/>
      <w:divBdr>
        <w:top w:val="none" w:sz="0" w:space="0" w:color="auto"/>
        <w:left w:val="none" w:sz="0" w:space="0" w:color="auto"/>
        <w:bottom w:val="none" w:sz="0" w:space="0" w:color="auto"/>
        <w:right w:val="none" w:sz="0" w:space="0" w:color="auto"/>
      </w:divBdr>
    </w:div>
    <w:div w:id="383218657">
      <w:bodyDiv w:val="1"/>
      <w:marLeft w:val="0"/>
      <w:marRight w:val="0"/>
      <w:marTop w:val="0"/>
      <w:marBottom w:val="0"/>
      <w:divBdr>
        <w:top w:val="none" w:sz="0" w:space="0" w:color="auto"/>
        <w:left w:val="none" w:sz="0" w:space="0" w:color="auto"/>
        <w:bottom w:val="none" w:sz="0" w:space="0" w:color="auto"/>
        <w:right w:val="none" w:sz="0" w:space="0" w:color="auto"/>
      </w:divBdr>
    </w:div>
    <w:div w:id="386104732">
      <w:bodyDiv w:val="1"/>
      <w:marLeft w:val="0"/>
      <w:marRight w:val="0"/>
      <w:marTop w:val="0"/>
      <w:marBottom w:val="0"/>
      <w:divBdr>
        <w:top w:val="none" w:sz="0" w:space="0" w:color="auto"/>
        <w:left w:val="none" w:sz="0" w:space="0" w:color="auto"/>
        <w:bottom w:val="none" w:sz="0" w:space="0" w:color="auto"/>
        <w:right w:val="none" w:sz="0" w:space="0" w:color="auto"/>
      </w:divBdr>
    </w:div>
    <w:div w:id="393621717">
      <w:bodyDiv w:val="1"/>
      <w:marLeft w:val="0"/>
      <w:marRight w:val="0"/>
      <w:marTop w:val="0"/>
      <w:marBottom w:val="0"/>
      <w:divBdr>
        <w:top w:val="none" w:sz="0" w:space="0" w:color="auto"/>
        <w:left w:val="none" w:sz="0" w:space="0" w:color="auto"/>
        <w:bottom w:val="none" w:sz="0" w:space="0" w:color="auto"/>
        <w:right w:val="none" w:sz="0" w:space="0" w:color="auto"/>
      </w:divBdr>
    </w:div>
    <w:div w:id="393704654">
      <w:bodyDiv w:val="1"/>
      <w:marLeft w:val="0"/>
      <w:marRight w:val="0"/>
      <w:marTop w:val="0"/>
      <w:marBottom w:val="0"/>
      <w:divBdr>
        <w:top w:val="none" w:sz="0" w:space="0" w:color="auto"/>
        <w:left w:val="none" w:sz="0" w:space="0" w:color="auto"/>
        <w:bottom w:val="none" w:sz="0" w:space="0" w:color="auto"/>
        <w:right w:val="none" w:sz="0" w:space="0" w:color="auto"/>
      </w:divBdr>
    </w:div>
    <w:div w:id="395664662">
      <w:bodyDiv w:val="1"/>
      <w:marLeft w:val="0"/>
      <w:marRight w:val="0"/>
      <w:marTop w:val="0"/>
      <w:marBottom w:val="0"/>
      <w:divBdr>
        <w:top w:val="none" w:sz="0" w:space="0" w:color="auto"/>
        <w:left w:val="none" w:sz="0" w:space="0" w:color="auto"/>
        <w:bottom w:val="none" w:sz="0" w:space="0" w:color="auto"/>
        <w:right w:val="none" w:sz="0" w:space="0" w:color="auto"/>
      </w:divBdr>
    </w:div>
    <w:div w:id="396368502">
      <w:bodyDiv w:val="1"/>
      <w:marLeft w:val="0"/>
      <w:marRight w:val="0"/>
      <w:marTop w:val="0"/>
      <w:marBottom w:val="0"/>
      <w:divBdr>
        <w:top w:val="none" w:sz="0" w:space="0" w:color="auto"/>
        <w:left w:val="none" w:sz="0" w:space="0" w:color="auto"/>
        <w:bottom w:val="none" w:sz="0" w:space="0" w:color="auto"/>
        <w:right w:val="none" w:sz="0" w:space="0" w:color="auto"/>
      </w:divBdr>
    </w:div>
    <w:div w:id="399324967">
      <w:bodyDiv w:val="1"/>
      <w:marLeft w:val="0"/>
      <w:marRight w:val="0"/>
      <w:marTop w:val="0"/>
      <w:marBottom w:val="0"/>
      <w:divBdr>
        <w:top w:val="none" w:sz="0" w:space="0" w:color="auto"/>
        <w:left w:val="none" w:sz="0" w:space="0" w:color="auto"/>
        <w:bottom w:val="none" w:sz="0" w:space="0" w:color="auto"/>
        <w:right w:val="none" w:sz="0" w:space="0" w:color="auto"/>
      </w:divBdr>
    </w:div>
    <w:div w:id="405305166">
      <w:bodyDiv w:val="1"/>
      <w:marLeft w:val="0"/>
      <w:marRight w:val="0"/>
      <w:marTop w:val="0"/>
      <w:marBottom w:val="0"/>
      <w:divBdr>
        <w:top w:val="none" w:sz="0" w:space="0" w:color="auto"/>
        <w:left w:val="none" w:sz="0" w:space="0" w:color="auto"/>
        <w:bottom w:val="none" w:sz="0" w:space="0" w:color="auto"/>
        <w:right w:val="none" w:sz="0" w:space="0" w:color="auto"/>
      </w:divBdr>
    </w:div>
    <w:div w:id="414056748">
      <w:bodyDiv w:val="1"/>
      <w:marLeft w:val="0"/>
      <w:marRight w:val="0"/>
      <w:marTop w:val="0"/>
      <w:marBottom w:val="0"/>
      <w:divBdr>
        <w:top w:val="none" w:sz="0" w:space="0" w:color="auto"/>
        <w:left w:val="none" w:sz="0" w:space="0" w:color="auto"/>
        <w:bottom w:val="none" w:sz="0" w:space="0" w:color="auto"/>
        <w:right w:val="none" w:sz="0" w:space="0" w:color="auto"/>
      </w:divBdr>
    </w:div>
    <w:div w:id="417600345">
      <w:bodyDiv w:val="1"/>
      <w:marLeft w:val="0"/>
      <w:marRight w:val="0"/>
      <w:marTop w:val="0"/>
      <w:marBottom w:val="0"/>
      <w:divBdr>
        <w:top w:val="none" w:sz="0" w:space="0" w:color="auto"/>
        <w:left w:val="none" w:sz="0" w:space="0" w:color="auto"/>
        <w:bottom w:val="none" w:sz="0" w:space="0" w:color="auto"/>
        <w:right w:val="none" w:sz="0" w:space="0" w:color="auto"/>
      </w:divBdr>
    </w:div>
    <w:div w:id="423114109">
      <w:bodyDiv w:val="1"/>
      <w:marLeft w:val="0"/>
      <w:marRight w:val="0"/>
      <w:marTop w:val="0"/>
      <w:marBottom w:val="0"/>
      <w:divBdr>
        <w:top w:val="none" w:sz="0" w:space="0" w:color="auto"/>
        <w:left w:val="none" w:sz="0" w:space="0" w:color="auto"/>
        <w:bottom w:val="none" w:sz="0" w:space="0" w:color="auto"/>
        <w:right w:val="none" w:sz="0" w:space="0" w:color="auto"/>
      </w:divBdr>
    </w:div>
    <w:div w:id="423692327">
      <w:bodyDiv w:val="1"/>
      <w:marLeft w:val="0"/>
      <w:marRight w:val="0"/>
      <w:marTop w:val="0"/>
      <w:marBottom w:val="0"/>
      <w:divBdr>
        <w:top w:val="none" w:sz="0" w:space="0" w:color="auto"/>
        <w:left w:val="none" w:sz="0" w:space="0" w:color="auto"/>
        <w:bottom w:val="none" w:sz="0" w:space="0" w:color="auto"/>
        <w:right w:val="none" w:sz="0" w:space="0" w:color="auto"/>
      </w:divBdr>
    </w:div>
    <w:div w:id="425198127">
      <w:bodyDiv w:val="1"/>
      <w:marLeft w:val="0"/>
      <w:marRight w:val="0"/>
      <w:marTop w:val="0"/>
      <w:marBottom w:val="0"/>
      <w:divBdr>
        <w:top w:val="none" w:sz="0" w:space="0" w:color="auto"/>
        <w:left w:val="none" w:sz="0" w:space="0" w:color="auto"/>
        <w:bottom w:val="none" w:sz="0" w:space="0" w:color="auto"/>
        <w:right w:val="none" w:sz="0" w:space="0" w:color="auto"/>
      </w:divBdr>
    </w:div>
    <w:div w:id="425419683">
      <w:bodyDiv w:val="1"/>
      <w:marLeft w:val="0"/>
      <w:marRight w:val="0"/>
      <w:marTop w:val="0"/>
      <w:marBottom w:val="0"/>
      <w:divBdr>
        <w:top w:val="none" w:sz="0" w:space="0" w:color="auto"/>
        <w:left w:val="none" w:sz="0" w:space="0" w:color="auto"/>
        <w:bottom w:val="none" w:sz="0" w:space="0" w:color="auto"/>
        <w:right w:val="none" w:sz="0" w:space="0" w:color="auto"/>
      </w:divBdr>
    </w:div>
    <w:div w:id="426967365">
      <w:bodyDiv w:val="1"/>
      <w:marLeft w:val="0"/>
      <w:marRight w:val="0"/>
      <w:marTop w:val="0"/>
      <w:marBottom w:val="0"/>
      <w:divBdr>
        <w:top w:val="none" w:sz="0" w:space="0" w:color="auto"/>
        <w:left w:val="none" w:sz="0" w:space="0" w:color="auto"/>
        <w:bottom w:val="none" w:sz="0" w:space="0" w:color="auto"/>
        <w:right w:val="none" w:sz="0" w:space="0" w:color="auto"/>
      </w:divBdr>
    </w:div>
    <w:div w:id="429816490">
      <w:bodyDiv w:val="1"/>
      <w:marLeft w:val="0"/>
      <w:marRight w:val="0"/>
      <w:marTop w:val="0"/>
      <w:marBottom w:val="0"/>
      <w:divBdr>
        <w:top w:val="none" w:sz="0" w:space="0" w:color="auto"/>
        <w:left w:val="none" w:sz="0" w:space="0" w:color="auto"/>
        <w:bottom w:val="none" w:sz="0" w:space="0" w:color="auto"/>
        <w:right w:val="none" w:sz="0" w:space="0" w:color="auto"/>
      </w:divBdr>
    </w:div>
    <w:div w:id="434911452">
      <w:bodyDiv w:val="1"/>
      <w:marLeft w:val="0"/>
      <w:marRight w:val="0"/>
      <w:marTop w:val="0"/>
      <w:marBottom w:val="0"/>
      <w:divBdr>
        <w:top w:val="none" w:sz="0" w:space="0" w:color="auto"/>
        <w:left w:val="none" w:sz="0" w:space="0" w:color="auto"/>
        <w:bottom w:val="none" w:sz="0" w:space="0" w:color="auto"/>
        <w:right w:val="none" w:sz="0" w:space="0" w:color="auto"/>
      </w:divBdr>
      <w:divsChild>
        <w:div w:id="1244218613">
          <w:marLeft w:val="0"/>
          <w:marRight w:val="0"/>
          <w:marTop w:val="0"/>
          <w:marBottom w:val="0"/>
          <w:divBdr>
            <w:top w:val="none" w:sz="0" w:space="0" w:color="auto"/>
            <w:left w:val="none" w:sz="0" w:space="0" w:color="auto"/>
            <w:bottom w:val="none" w:sz="0" w:space="0" w:color="auto"/>
            <w:right w:val="none" w:sz="0" w:space="0" w:color="auto"/>
          </w:divBdr>
        </w:div>
      </w:divsChild>
    </w:div>
    <w:div w:id="435907630">
      <w:bodyDiv w:val="1"/>
      <w:marLeft w:val="0"/>
      <w:marRight w:val="0"/>
      <w:marTop w:val="0"/>
      <w:marBottom w:val="0"/>
      <w:divBdr>
        <w:top w:val="none" w:sz="0" w:space="0" w:color="auto"/>
        <w:left w:val="none" w:sz="0" w:space="0" w:color="auto"/>
        <w:bottom w:val="none" w:sz="0" w:space="0" w:color="auto"/>
        <w:right w:val="none" w:sz="0" w:space="0" w:color="auto"/>
      </w:divBdr>
    </w:div>
    <w:div w:id="437069123">
      <w:bodyDiv w:val="1"/>
      <w:marLeft w:val="0"/>
      <w:marRight w:val="0"/>
      <w:marTop w:val="0"/>
      <w:marBottom w:val="0"/>
      <w:divBdr>
        <w:top w:val="none" w:sz="0" w:space="0" w:color="auto"/>
        <w:left w:val="none" w:sz="0" w:space="0" w:color="auto"/>
        <w:bottom w:val="none" w:sz="0" w:space="0" w:color="auto"/>
        <w:right w:val="none" w:sz="0" w:space="0" w:color="auto"/>
      </w:divBdr>
    </w:div>
    <w:div w:id="442921106">
      <w:bodyDiv w:val="1"/>
      <w:marLeft w:val="0"/>
      <w:marRight w:val="0"/>
      <w:marTop w:val="0"/>
      <w:marBottom w:val="0"/>
      <w:divBdr>
        <w:top w:val="none" w:sz="0" w:space="0" w:color="auto"/>
        <w:left w:val="none" w:sz="0" w:space="0" w:color="auto"/>
        <w:bottom w:val="none" w:sz="0" w:space="0" w:color="auto"/>
        <w:right w:val="none" w:sz="0" w:space="0" w:color="auto"/>
      </w:divBdr>
    </w:div>
    <w:div w:id="446200517">
      <w:bodyDiv w:val="1"/>
      <w:marLeft w:val="0"/>
      <w:marRight w:val="0"/>
      <w:marTop w:val="0"/>
      <w:marBottom w:val="0"/>
      <w:divBdr>
        <w:top w:val="none" w:sz="0" w:space="0" w:color="auto"/>
        <w:left w:val="none" w:sz="0" w:space="0" w:color="auto"/>
        <w:bottom w:val="none" w:sz="0" w:space="0" w:color="auto"/>
        <w:right w:val="none" w:sz="0" w:space="0" w:color="auto"/>
      </w:divBdr>
    </w:div>
    <w:div w:id="448016192">
      <w:bodyDiv w:val="1"/>
      <w:marLeft w:val="0"/>
      <w:marRight w:val="0"/>
      <w:marTop w:val="0"/>
      <w:marBottom w:val="0"/>
      <w:divBdr>
        <w:top w:val="none" w:sz="0" w:space="0" w:color="auto"/>
        <w:left w:val="none" w:sz="0" w:space="0" w:color="auto"/>
        <w:bottom w:val="none" w:sz="0" w:space="0" w:color="auto"/>
        <w:right w:val="none" w:sz="0" w:space="0" w:color="auto"/>
      </w:divBdr>
    </w:div>
    <w:div w:id="449007156">
      <w:bodyDiv w:val="1"/>
      <w:marLeft w:val="0"/>
      <w:marRight w:val="0"/>
      <w:marTop w:val="0"/>
      <w:marBottom w:val="0"/>
      <w:divBdr>
        <w:top w:val="none" w:sz="0" w:space="0" w:color="auto"/>
        <w:left w:val="none" w:sz="0" w:space="0" w:color="auto"/>
        <w:bottom w:val="none" w:sz="0" w:space="0" w:color="auto"/>
        <w:right w:val="none" w:sz="0" w:space="0" w:color="auto"/>
      </w:divBdr>
    </w:div>
    <w:div w:id="449596726">
      <w:bodyDiv w:val="1"/>
      <w:marLeft w:val="0"/>
      <w:marRight w:val="0"/>
      <w:marTop w:val="0"/>
      <w:marBottom w:val="0"/>
      <w:divBdr>
        <w:top w:val="none" w:sz="0" w:space="0" w:color="auto"/>
        <w:left w:val="none" w:sz="0" w:space="0" w:color="auto"/>
        <w:bottom w:val="none" w:sz="0" w:space="0" w:color="auto"/>
        <w:right w:val="none" w:sz="0" w:space="0" w:color="auto"/>
      </w:divBdr>
    </w:div>
    <w:div w:id="451826133">
      <w:bodyDiv w:val="1"/>
      <w:marLeft w:val="0"/>
      <w:marRight w:val="0"/>
      <w:marTop w:val="0"/>
      <w:marBottom w:val="0"/>
      <w:divBdr>
        <w:top w:val="none" w:sz="0" w:space="0" w:color="auto"/>
        <w:left w:val="none" w:sz="0" w:space="0" w:color="auto"/>
        <w:bottom w:val="none" w:sz="0" w:space="0" w:color="auto"/>
        <w:right w:val="none" w:sz="0" w:space="0" w:color="auto"/>
      </w:divBdr>
    </w:div>
    <w:div w:id="455609320">
      <w:bodyDiv w:val="1"/>
      <w:marLeft w:val="0"/>
      <w:marRight w:val="0"/>
      <w:marTop w:val="0"/>
      <w:marBottom w:val="0"/>
      <w:divBdr>
        <w:top w:val="none" w:sz="0" w:space="0" w:color="auto"/>
        <w:left w:val="none" w:sz="0" w:space="0" w:color="auto"/>
        <w:bottom w:val="none" w:sz="0" w:space="0" w:color="auto"/>
        <w:right w:val="none" w:sz="0" w:space="0" w:color="auto"/>
      </w:divBdr>
    </w:div>
    <w:div w:id="456144016">
      <w:bodyDiv w:val="1"/>
      <w:marLeft w:val="0"/>
      <w:marRight w:val="0"/>
      <w:marTop w:val="0"/>
      <w:marBottom w:val="0"/>
      <w:divBdr>
        <w:top w:val="none" w:sz="0" w:space="0" w:color="auto"/>
        <w:left w:val="none" w:sz="0" w:space="0" w:color="auto"/>
        <w:bottom w:val="none" w:sz="0" w:space="0" w:color="auto"/>
        <w:right w:val="none" w:sz="0" w:space="0" w:color="auto"/>
      </w:divBdr>
    </w:div>
    <w:div w:id="458377242">
      <w:bodyDiv w:val="1"/>
      <w:marLeft w:val="0"/>
      <w:marRight w:val="0"/>
      <w:marTop w:val="0"/>
      <w:marBottom w:val="0"/>
      <w:divBdr>
        <w:top w:val="none" w:sz="0" w:space="0" w:color="auto"/>
        <w:left w:val="none" w:sz="0" w:space="0" w:color="auto"/>
        <w:bottom w:val="none" w:sz="0" w:space="0" w:color="auto"/>
        <w:right w:val="none" w:sz="0" w:space="0" w:color="auto"/>
      </w:divBdr>
    </w:div>
    <w:div w:id="469438783">
      <w:bodyDiv w:val="1"/>
      <w:marLeft w:val="0"/>
      <w:marRight w:val="0"/>
      <w:marTop w:val="0"/>
      <w:marBottom w:val="0"/>
      <w:divBdr>
        <w:top w:val="none" w:sz="0" w:space="0" w:color="auto"/>
        <w:left w:val="none" w:sz="0" w:space="0" w:color="auto"/>
        <w:bottom w:val="none" w:sz="0" w:space="0" w:color="auto"/>
        <w:right w:val="none" w:sz="0" w:space="0" w:color="auto"/>
      </w:divBdr>
    </w:div>
    <w:div w:id="470102557">
      <w:bodyDiv w:val="1"/>
      <w:marLeft w:val="0"/>
      <w:marRight w:val="0"/>
      <w:marTop w:val="0"/>
      <w:marBottom w:val="0"/>
      <w:divBdr>
        <w:top w:val="none" w:sz="0" w:space="0" w:color="auto"/>
        <w:left w:val="none" w:sz="0" w:space="0" w:color="auto"/>
        <w:bottom w:val="none" w:sz="0" w:space="0" w:color="auto"/>
        <w:right w:val="none" w:sz="0" w:space="0" w:color="auto"/>
      </w:divBdr>
    </w:div>
    <w:div w:id="471020101">
      <w:bodyDiv w:val="1"/>
      <w:marLeft w:val="0"/>
      <w:marRight w:val="0"/>
      <w:marTop w:val="0"/>
      <w:marBottom w:val="0"/>
      <w:divBdr>
        <w:top w:val="none" w:sz="0" w:space="0" w:color="auto"/>
        <w:left w:val="none" w:sz="0" w:space="0" w:color="auto"/>
        <w:bottom w:val="none" w:sz="0" w:space="0" w:color="auto"/>
        <w:right w:val="none" w:sz="0" w:space="0" w:color="auto"/>
      </w:divBdr>
    </w:div>
    <w:div w:id="471290628">
      <w:bodyDiv w:val="1"/>
      <w:marLeft w:val="0"/>
      <w:marRight w:val="0"/>
      <w:marTop w:val="0"/>
      <w:marBottom w:val="0"/>
      <w:divBdr>
        <w:top w:val="none" w:sz="0" w:space="0" w:color="auto"/>
        <w:left w:val="none" w:sz="0" w:space="0" w:color="auto"/>
        <w:bottom w:val="none" w:sz="0" w:space="0" w:color="auto"/>
        <w:right w:val="none" w:sz="0" w:space="0" w:color="auto"/>
      </w:divBdr>
      <w:divsChild>
        <w:div w:id="722560902">
          <w:marLeft w:val="0"/>
          <w:marRight w:val="0"/>
          <w:marTop w:val="0"/>
          <w:marBottom w:val="0"/>
          <w:divBdr>
            <w:top w:val="none" w:sz="0" w:space="0" w:color="auto"/>
            <w:left w:val="none" w:sz="0" w:space="0" w:color="auto"/>
            <w:bottom w:val="none" w:sz="0" w:space="0" w:color="auto"/>
            <w:right w:val="none" w:sz="0" w:space="0" w:color="auto"/>
          </w:divBdr>
        </w:div>
      </w:divsChild>
    </w:div>
    <w:div w:id="472139919">
      <w:bodyDiv w:val="1"/>
      <w:marLeft w:val="0"/>
      <w:marRight w:val="0"/>
      <w:marTop w:val="0"/>
      <w:marBottom w:val="0"/>
      <w:divBdr>
        <w:top w:val="none" w:sz="0" w:space="0" w:color="auto"/>
        <w:left w:val="none" w:sz="0" w:space="0" w:color="auto"/>
        <w:bottom w:val="none" w:sz="0" w:space="0" w:color="auto"/>
        <w:right w:val="none" w:sz="0" w:space="0" w:color="auto"/>
      </w:divBdr>
      <w:divsChild>
        <w:div w:id="633683629">
          <w:marLeft w:val="0"/>
          <w:marRight w:val="0"/>
          <w:marTop w:val="0"/>
          <w:marBottom w:val="0"/>
          <w:divBdr>
            <w:top w:val="none" w:sz="0" w:space="0" w:color="auto"/>
            <w:left w:val="none" w:sz="0" w:space="0" w:color="auto"/>
            <w:bottom w:val="none" w:sz="0" w:space="0" w:color="auto"/>
            <w:right w:val="none" w:sz="0" w:space="0" w:color="auto"/>
          </w:divBdr>
        </w:div>
      </w:divsChild>
    </w:div>
    <w:div w:id="474034315">
      <w:bodyDiv w:val="1"/>
      <w:marLeft w:val="0"/>
      <w:marRight w:val="0"/>
      <w:marTop w:val="0"/>
      <w:marBottom w:val="0"/>
      <w:divBdr>
        <w:top w:val="none" w:sz="0" w:space="0" w:color="auto"/>
        <w:left w:val="none" w:sz="0" w:space="0" w:color="auto"/>
        <w:bottom w:val="none" w:sz="0" w:space="0" w:color="auto"/>
        <w:right w:val="none" w:sz="0" w:space="0" w:color="auto"/>
      </w:divBdr>
    </w:div>
    <w:div w:id="475490595">
      <w:bodyDiv w:val="1"/>
      <w:marLeft w:val="0"/>
      <w:marRight w:val="0"/>
      <w:marTop w:val="0"/>
      <w:marBottom w:val="0"/>
      <w:divBdr>
        <w:top w:val="none" w:sz="0" w:space="0" w:color="auto"/>
        <w:left w:val="none" w:sz="0" w:space="0" w:color="auto"/>
        <w:bottom w:val="none" w:sz="0" w:space="0" w:color="auto"/>
        <w:right w:val="none" w:sz="0" w:space="0" w:color="auto"/>
      </w:divBdr>
    </w:div>
    <w:div w:id="476143261">
      <w:bodyDiv w:val="1"/>
      <w:marLeft w:val="0"/>
      <w:marRight w:val="0"/>
      <w:marTop w:val="0"/>
      <w:marBottom w:val="0"/>
      <w:divBdr>
        <w:top w:val="none" w:sz="0" w:space="0" w:color="auto"/>
        <w:left w:val="none" w:sz="0" w:space="0" w:color="auto"/>
        <w:bottom w:val="none" w:sz="0" w:space="0" w:color="auto"/>
        <w:right w:val="none" w:sz="0" w:space="0" w:color="auto"/>
      </w:divBdr>
    </w:div>
    <w:div w:id="477460178">
      <w:bodyDiv w:val="1"/>
      <w:marLeft w:val="0"/>
      <w:marRight w:val="0"/>
      <w:marTop w:val="0"/>
      <w:marBottom w:val="0"/>
      <w:divBdr>
        <w:top w:val="none" w:sz="0" w:space="0" w:color="auto"/>
        <w:left w:val="none" w:sz="0" w:space="0" w:color="auto"/>
        <w:bottom w:val="none" w:sz="0" w:space="0" w:color="auto"/>
        <w:right w:val="none" w:sz="0" w:space="0" w:color="auto"/>
      </w:divBdr>
    </w:div>
    <w:div w:id="478226969">
      <w:bodyDiv w:val="1"/>
      <w:marLeft w:val="0"/>
      <w:marRight w:val="0"/>
      <w:marTop w:val="0"/>
      <w:marBottom w:val="0"/>
      <w:divBdr>
        <w:top w:val="none" w:sz="0" w:space="0" w:color="auto"/>
        <w:left w:val="none" w:sz="0" w:space="0" w:color="auto"/>
        <w:bottom w:val="none" w:sz="0" w:space="0" w:color="auto"/>
        <w:right w:val="none" w:sz="0" w:space="0" w:color="auto"/>
      </w:divBdr>
    </w:div>
    <w:div w:id="483352994">
      <w:bodyDiv w:val="1"/>
      <w:marLeft w:val="0"/>
      <w:marRight w:val="0"/>
      <w:marTop w:val="0"/>
      <w:marBottom w:val="0"/>
      <w:divBdr>
        <w:top w:val="none" w:sz="0" w:space="0" w:color="auto"/>
        <w:left w:val="none" w:sz="0" w:space="0" w:color="auto"/>
        <w:bottom w:val="none" w:sz="0" w:space="0" w:color="auto"/>
        <w:right w:val="none" w:sz="0" w:space="0" w:color="auto"/>
      </w:divBdr>
      <w:divsChild>
        <w:div w:id="528956424">
          <w:marLeft w:val="0"/>
          <w:marRight w:val="0"/>
          <w:marTop w:val="0"/>
          <w:marBottom w:val="0"/>
          <w:divBdr>
            <w:top w:val="none" w:sz="0" w:space="0" w:color="auto"/>
            <w:left w:val="none" w:sz="0" w:space="0" w:color="auto"/>
            <w:bottom w:val="none" w:sz="0" w:space="0" w:color="auto"/>
            <w:right w:val="none" w:sz="0" w:space="0" w:color="auto"/>
          </w:divBdr>
        </w:div>
      </w:divsChild>
    </w:div>
    <w:div w:id="484974574">
      <w:bodyDiv w:val="1"/>
      <w:marLeft w:val="0"/>
      <w:marRight w:val="0"/>
      <w:marTop w:val="0"/>
      <w:marBottom w:val="0"/>
      <w:divBdr>
        <w:top w:val="none" w:sz="0" w:space="0" w:color="auto"/>
        <w:left w:val="none" w:sz="0" w:space="0" w:color="auto"/>
        <w:bottom w:val="none" w:sz="0" w:space="0" w:color="auto"/>
        <w:right w:val="none" w:sz="0" w:space="0" w:color="auto"/>
      </w:divBdr>
    </w:div>
    <w:div w:id="485323978">
      <w:bodyDiv w:val="1"/>
      <w:marLeft w:val="0"/>
      <w:marRight w:val="0"/>
      <w:marTop w:val="0"/>
      <w:marBottom w:val="0"/>
      <w:divBdr>
        <w:top w:val="none" w:sz="0" w:space="0" w:color="auto"/>
        <w:left w:val="none" w:sz="0" w:space="0" w:color="auto"/>
        <w:bottom w:val="none" w:sz="0" w:space="0" w:color="auto"/>
        <w:right w:val="none" w:sz="0" w:space="0" w:color="auto"/>
      </w:divBdr>
    </w:div>
    <w:div w:id="488641803">
      <w:bodyDiv w:val="1"/>
      <w:marLeft w:val="0"/>
      <w:marRight w:val="0"/>
      <w:marTop w:val="0"/>
      <w:marBottom w:val="0"/>
      <w:divBdr>
        <w:top w:val="none" w:sz="0" w:space="0" w:color="auto"/>
        <w:left w:val="none" w:sz="0" w:space="0" w:color="auto"/>
        <w:bottom w:val="none" w:sz="0" w:space="0" w:color="auto"/>
        <w:right w:val="none" w:sz="0" w:space="0" w:color="auto"/>
      </w:divBdr>
    </w:div>
    <w:div w:id="493834505">
      <w:bodyDiv w:val="1"/>
      <w:marLeft w:val="0"/>
      <w:marRight w:val="0"/>
      <w:marTop w:val="0"/>
      <w:marBottom w:val="0"/>
      <w:divBdr>
        <w:top w:val="none" w:sz="0" w:space="0" w:color="auto"/>
        <w:left w:val="none" w:sz="0" w:space="0" w:color="auto"/>
        <w:bottom w:val="none" w:sz="0" w:space="0" w:color="auto"/>
        <w:right w:val="none" w:sz="0" w:space="0" w:color="auto"/>
      </w:divBdr>
    </w:div>
    <w:div w:id="494151260">
      <w:bodyDiv w:val="1"/>
      <w:marLeft w:val="0"/>
      <w:marRight w:val="0"/>
      <w:marTop w:val="0"/>
      <w:marBottom w:val="0"/>
      <w:divBdr>
        <w:top w:val="none" w:sz="0" w:space="0" w:color="auto"/>
        <w:left w:val="none" w:sz="0" w:space="0" w:color="auto"/>
        <w:bottom w:val="none" w:sz="0" w:space="0" w:color="auto"/>
        <w:right w:val="none" w:sz="0" w:space="0" w:color="auto"/>
      </w:divBdr>
      <w:divsChild>
        <w:div w:id="797601971">
          <w:marLeft w:val="0"/>
          <w:marRight w:val="0"/>
          <w:marTop w:val="0"/>
          <w:marBottom w:val="0"/>
          <w:divBdr>
            <w:top w:val="none" w:sz="0" w:space="0" w:color="auto"/>
            <w:left w:val="none" w:sz="0" w:space="0" w:color="auto"/>
            <w:bottom w:val="none" w:sz="0" w:space="0" w:color="auto"/>
            <w:right w:val="none" w:sz="0" w:space="0" w:color="auto"/>
          </w:divBdr>
        </w:div>
      </w:divsChild>
    </w:div>
    <w:div w:id="497770374">
      <w:bodyDiv w:val="1"/>
      <w:marLeft w:val="0"/>
      <w:marRight w:val="0"/>
      <w:marTop w:val="0"/>
      <w:marBottom w:val="0"/>
      <w:divBdr>
        <w:top w:val="none" w:sz="0" w:space="0" w:color="auto"/>
        <w:left w:val="none" w:sz="0" w:space="0" w:color="auto"/>
        <w:bottom w:val="none" w:sz="0" w:space="0" w:color="auto"/>
        <w:right w:val="none" w:sz="0" w:space="0" w:color="auto"/>
      </w:divBdr>
      <w:divsChild>
        <w:div w:id="2022779067">
          <w:marLeft w:val="0"/>
          <w:marRight w:val="0"/>
          <w:marTop w:val="0"/>
          <w:marBottom w:val="0"/>
          <w:divBdr>
            <w:top w:val="none" w:sz="0" w:space="0" w:color="auto"/>
            <w:left w:val="none" w:sz="0" w:space="0" w:color="auto"/>
            <w:bottom w:val="none" w:sz="0" w:space="0" w:color="auto"/>
            <w:right w:val="none" w:sz="0" w:space="0" w:color="auto"/>
          </w:divBdr>
        </w:div>
      </w:divsChild>
    </w:div>
    <w:div w:id="498035578">
      <w:bodyDiv w:val="1"/>
      <w:marLeft w:val="0"/>
      <w:marRight w:val="0"/>
      <w:marTop w:val="0"/>
      <w:marBottom w:val="0"/>
      <w:divBdr>
        <w:top w:val="none" w:sz="0" w:space="0" w:color="auto"/>
        <w:left w:val="none" w:sz="0" w:space="0" w:color="auto"/>
        <w:bottom w:val="none" w:sz="0" w:space="0" w:color="auto"/>
        <w:right w:val="none" w:sz="0" w:space="0" w:color="auto"/>
      </w:divBdr>
    </w:div>
    <w:div w:id="498738176">
      <w:bodyDiv w:val="1"/>
      <w:marLeft w:val="0"/>
      <w:marRight w:val="0"/>
      <w:marTop w:val="0"/>
      <w:marBottom w:val="0"/>
      <w:divBdr>
        <w:top w:val="none" w:sz="0" w:space="0" w:color="auto"/>
        <w:left w:val="none" w:sz="0" w:space="0" w:color="auto"/>
        <w:bottom w:val="none" w:sz="0" w:space="0" w:color="auto"/>
        <w:right w:val="none" w:sz="0" w:space="0" w:color="auto"/>
      </w:divBdr>
    </w:div>
    <w:div w:id="499471235">
      <w:bodyDiv w:val="1"/>
      <w:marLeft w:val="0"/>
      <w:marRight w:val="0"/>
      <w:marTop w:val="0"/>
      <w:marBottom w:val="0"/>
      <w:divBdr>
        <w:top w:val="none" w:sz="0" w:space="0" w:color="auto"/>
        <w:left w:val="none" w:sz="0" w:space="0" w:color="auto"/>
        <w:bottom w:val="none" w:sz="0" w:space="0" w:color="auto"/>
        <w:right w:val="none" w:sz="0" w:space="0" w:color="auto"/>
      </w:divBdr>
    </w:div>
    <w:div w:id="501050395">
      <w:bodyDiv w:val="1"/>
      <w:marLeft w:val="0"/>
      <w:marRight w:val="0"/>
      <w:marTop w:val="0"/>
      <w:marBottom w:val="0"/>
      <w:divBdr>
        <w:top w:val="none" w:sz="0" w:space="0" w:color="auto"/>
        <w:left w:val="none" w:sz="0" w:space="0" w:color="auto"/>
        <w:bottom w:val="none" w:sz="0" w:space="0" w:color="auto"/>
        <w:right w:val="none" w:sz="0" w:space="0" w:color="auto"/>
      </w:divBdr>
    </w:div>
    <w:div w:id="501623175">
      <w:bodyDiv w:val="1"/>
      <w:marLeft w:val="0"/>
      <w:marRight w:val="0"/>
      <w:marTop w:val="0"/>
      <w:marBottom w:val="0"/>
      <w:divBdr>
        <w:top w:val="none" w:sz="0" w:space="0" w:color="auto"/>
        <w:left w:val="none" w:sz="0" w:space="0" w:color="auto"/>
        <w:bottom w:val="none" w:sz="0" w:space="0" w:color="auto"/>
        <w:right w:val="none" w:sz="0" w:space="0" w:color="auto"/>
      </w:divBdr>
    </w:div>
    <w:div w:id="506023301">
      <w:bodyDiv w:val="1"/>
      <w:marLeft w:val="0"/>
      <w:marRight w:val="0"/>
      <w:marTop w:val="0"/>
      <w:marBottom w:val="0"/>
      <w:divBdr>
        <w:top w:val="none" w:sz="0" w:space="0" w:color="auto"/>
        <w:left w:val="none" w:sz="0" w:space="0" w:color="auto"/>
        <w:bottom w:val="none" w:sz="0" w:space="0" w:color="auto"/>
        <w:right w:val="none" w:sz="0" w:space="0" w:color="auto"/>
      </w:divBdr>
    </w:div>
    <w:div w:id="506142163">
      <w:bodyDiv w:val="1"/>
      <w:marLeft w:val="0"/>
      <w:marRight w:val="0"/>
      <w:marTop w:val="0"/>
      <w:marBottom w:val="0"/>
      <w:divBdr>
        <w:top w:val="none" w:sz="0" w:space="0" w:color="auto"/>
        <w:left w:val="none" w:sz="0" w:space="0" w:color="auto"/>
        <w:bottom w:val="none" w:sz="0" w:space="0" w:color="auto"/>
        <w:right w:val="none" w:sz="0" w:space="0" w:color="auto"/>
      </w:divBdr>
    </w:div>
    <w:div w:id="507140476">
      <w:bodyDiv w:val="1"/>
      <w:marLeft w:val="0"/>
      <w:marRight w:val="0"/>
      <w:marTop w:val="0"/>
      <w:marBottom w:val="0"/>
      <w:divBdr>
        <w:top w:val="none" w:sz="0" w:space="0" w:color="auto"/>
        <w:left w:val="none" w:sz="0" w:space="0" w:color="auto"/>
        <w:bottom w:val="none" w:sz="0" w:space="0" w:color="auto"/>
        <w:right w:val="none" w:sz="0" w:space="0" w:color="auto"/>
      </w:divBdr>
    </w:div>
    <w:div w:id="509415438">
      <w:bodyDiv w:val="1"/>
      <w:marLeft w:val="0"/>
      <w:marRight w:val="0"/>
      <w:marTop w:val="0"/>
      <w:marBottom w:val="0"/>
      <w:divBdr>
        <w:top w:val="none" w:sz="0" w:space="0" w:color="auto"/>
        <w:left w:val="none" w:sz="0" w:space="0" w:color="auto"/>
        <w:bottom w:val="none" w:sz="0" w:space="0" w:color="auto"/>
        <w:right w:val="none" w:sz="0" w:space="0" w:color="auto"/>
      </w:divBdr>
    </w:div>
    <w:div w:id="513154638">
      <w:bodyDiv w:val="1"/>
      <w:marLeft w:val="0"/>
      <w:marRight w:val="0"/>
      <w:marTop w:val="0"/>
      <w:marBottom w:val="0"/>
      <w:divBdr>
        <w:top w:val="none" w:sz="0" w:space="0" w:color="auto"/>
        <w:left w:val="none" w:sz="0" w:space="0" w:color="auto"/>
        <w:bottom w:val="none" w:sz="0" w:space="0" w:color="auto"/>
        <w:right w:val="none" w:sz="0" w:space="0" w:color="auto"/>
      </w:divBdr>
      <w:divsChild>
        <w:div w:id="1201209748">
          <w:marLeft w:val="0"/>
          <w:marRight w:val="0"/>
          <w:marTop w:val="0"/>
          <w:marBottom w:val="0"/>
          <w:divBdr>
            <w:top w:val="none" w:sz="0" w:space="0" w:color="auto"/>
            <w:left w:val="none" w:sz="0" w:space="0" w:color="auto"/>
            <w:bottom w:val="none" w:sz="0" w:space="0" w:color="auto"/>
            <w:right w:val="none" w:sz="0" w:space="0" w:color="auto"/>
          </w:divBdr>
        </w:div>
      </w:divsChild>
    </w:div>
    <w:div w:id="517701185">
      <w:bodyDiv w:val="1"/>
      <w:marLeft w:val="0"/>
      <w:marRight w:val="0"/>
      <w:marTop w:val="0"/>
      <w:marBottom w:val="0"/>
      <w:divBdr>
        <w:top w:val="none" w:sz="0" w:space="0" w:color="auto"/>
        <w:left w:val="none" w:sz="0" w:space="0" w:color="auto"/>
        <w:bottom w:val="none" w:sz="0" w:space="0" w:color="auto"/>
        <w:right w:val="none" w:sz="0" w:space="0" w:color="auto"/>
      </w:divBdr>
    </w:div>
    <w:div w:id="517932643">
      <w:bodyDiv w:val="1"/>
      <w:marLeft w:val="0"/>
      <w:marRight w:val="0"/>
      <w:marTop w:val="0"/>
      <w:marBottom w:val="0"/>
      <w:divBdr>
        <w:top w:val="none" w:sz="0" w:space="0" w:color="auto"/>
        <w:left w:val="none" w:sz="0" w:space="0" w:color="auto"/>
        <w:bottom w:val="none" w:sz="0" w:space="0" w:color="auto"/>
        <w:right w:val="none" w:sz="0" w:space="0" w:color="auto"/>
      </w:divBdr>
    </w:div>
    <w:div w:id="519204303">
      <w:bodyDiv w:val="1"/>
      <w:marLeft w:val="0"/>
      <w:marRight w:val="0"/>
      <w:marTop w:val="0"/>
      <w:marBottom w:val="0"/>
      <w:divBdr>
        <w:top w:val="none" w:sz="0" w:space="0" w:color="auto"/>
        <w:left w:val="none" w:sz="0" w:space="0" w:color="auto"/>
        <w:bottom w:val="none" w:sz="0" w:space="0" w:color="auto"/>
        <w:right w:val="none" w:sz="0" w:space="0" w:color="auto"/>
      </w:divBdr>
    </w:div>
    <w:div w:id="523977827">
      <w:bodyDiv w:val="1"/>
      <w:marLeft w:val="0"/>
      <w:marRight w:val="0"/>
      <w:marTop w:val="0"/>
      <w:marBottom w:val="0"/>
      <w:divBdr>
        <w:top w:val="none" w:sz="0" w:space="0" w:color="auto"/>
        <w:left w:val="none" w:sz="0" w:space="0" w:color="auto"/>
        <w:bottom w:val="none" w:sz="0" w:space="0" w:color="auto"/>
        <w:right w:val="none" w:sz="0" w:space="0" w:color="auto"/>
      </w:divBdr>
    </w:div>
    <w:div w:id="525599399">
      <w:bodyDiv w:val="1"/>
      <w:marLeft w:val="0"/>
      <w:marRight w:val="0"/>
      <w:marTop w:val="0"/>
      <w:marBottom w:val="0"/>
      <w:divBdr>
        <w:top w:val="none" w:sz="0" w:space="0" w:color="auto"/>
        <w:left w:val="none" w:sz="0" w:space="0" w:color="auto"/>
        <w:bottom w:val="none" w:sz="0" w:space="0" w:color="auto"/>
        <w:right w:val="none" w:sz="0" w:space="0" w:color="auto"/>
      </w:divBdr>
      <w:divsChild>
        <w:div w:id="2109540964">
          <w:marLeft w:val="0"/>
          <w:marRight w:val="0"/>
          <w:marTop w:val="0"/>
          <w:marBottom w:val="0"/>
          <w:divBdr>
            <w:top w:val="none" w:sz="0" w:space="0" w:color="auto"/>
            <w:left w:val="none" w:sz="0" w:space="0" w:color="auto"/>
            <w:bottom w:val="none" w:sz="0" w:space="0" w:color="auto"/>
            <w:right w:val="none" w:sz="0" w:space="0" w:color="auto"/>
          </w:divBdr>
        </w:div>
      </w:divsChild>
    </w:div>
    <w:div w:id="527791604">
      <w:bodyDiv w:val="1"/>
      <w:marLeft w:val="0"/>
      <w:marRight w:val="0"/>
      <w:marTop w:val="0"/>
      <w:marBottom w:val="0"/>
      <w:divBdr>
        <w:top w:val="none" w:sz="0" w:space="0" w:color="auto"/>
        <w:left w:val="none" w:sz="0" w:space="0" w:color="auto"/>
        <w:bottom w:val="none" w:sz="0" w:space="0" w:color="auto"/>
        <w:right w:val="none" w:sz="0" w:space="0" w:color="auto"/>
      </w:divBdr>
    </w:div>
    <w:div w:id="528178711">
      <w:bodyDiv w:val="1"/>
      <w:marLeft w:val="0"/>
      <w:marRight w:val="0"/>
      <w:marTop w:val="0"/>
      <w:marBottom w:val="0"/>
      <w:divBdr>
        <w:top w:val="none" w:sz="0" w:space="0" w:color="auto"/>
        <w:left w:val="none" w:sz="0" w:space="0" w:color="auto"/>
        <w:bottom w:val="none" w:sz="0" w:space="0" w:color="auto"/>
        <w:right w:val="none" w:sz="0" w:space="0" w:color="auto"/>
      </w:divBdr>
    </w:div>
    <w:div w:id="528952828">
      <w:bodyDiv w:val="1"/>
      <w:marLeft w:val="0"/>
      <w:marRight w:val="0"/>
      <w:marTop w:val="0"/>
      <w:marBottom w:val="0"/>
      <w:divBdr>
        <w:top w:val="none" w:sz="0" w:space="0" w:color="auto"/>
        <w:left w:val="none" w:sz="0" w:space="0" w:color="auto"/>
        <w:bottom w:val="none" w:sz="0" w:space="0" w:color="auto"/>
        <w:right w:val="none" w:sz="0" w:space="0" w:color="auto"/>
      </w:divBdr>
    </w:div>
    <w:div w:id="530536959">
      <w:bodyDiv w:val="1"/>
      <w:marLeft w:val="0"/>
      <w:marRight w:val="0"/>
      <w:marTop w:val="0"/>
      <w:marBottom w:val="0"/>
      <w:divBdr>
        <w:top w:val="none" w:sz="0" w:space="0" w:color="auto"/>
        <w:left w:val="none" w:sz="0" w:space="0" w:color="auto"/>
        <w:bottom w:val="none" w:sz="0" w:space="0" w:color="auto"/>
        <w:right w:val="none" w:sz="0" w:space="0" w:color="auto"/>
      </w:divBdr>
    </w:div>
    <w:div w:id="539829579">
      <w:bodyDiv w:val="1"/>
      <w:marLeft w:val="0"/>
      <w:marRight w:val="0"/>
      <w:marTop w:val="0"/>
      <w:marBottom w:val="0"/>
      <w:divBdr>
        <w:top w:val="none" w:sz="0" w:space="0" w:color="auto"/>
        <w:left w:val="none" w:sz="0" w:space="0" w:color="auto"/>
        <w:bottom w:val="none" w:sz="0" w:space="0" w:color="auto"/>
        <w:right w:val="none" w:sz="0" w:space="0" w:color="auto"/>
      </w:divBdr>
    </w:div>
    <w:div w:id="541673297">
      <w:bodyDiv w:val="1"/>
      <w:marLeft w:val="0"/>
      <w:marRight w:val="0"/>
      <w:marTop w:val="0"/>
      <w:marBottom w:val="0"/>
      <w:divBdr>
        <w:top w:val="none" w:sz="0" w:space="0" w:color="auto"/>
        <w:left w:val="none" w:sz="0" w:space="0" w:color="auto"/>
        <w:bottom w:val="none" w:sz="0" w:space="0" w:color="auto"/>
        <w:right w:val="none" w:sz="0" w:space="0" w:color="auto"/>
      </w:divBdr>
    </w:div>
    <w:div w:id="542182749">
      <w:bodyDiv w:val="1"/>
      <w:marLeft w:val="0"/>
      <w:marRight w:val="0"/>
      <w:marTop w:val="0"/>
      <w:marBottom w:val="0"/>
      <w:divBdr>
        <w:top w:val="none" w:sz="0" w:space="0" w:color="auto"/>
        <w:left w:val="none" w:sz="0" w:space="0" w:color="auto"/>
        <w:bottom w:val="none" w:sz="0" w:space="0" w:color="auto"/>
        <w:right w:val="none" w:sz="0" w:space="0" w:color="auto"/>
      </w:divBdr>
    </w:div>
    <w:div w:id="544368011">
      <w:bodyDiv w:val="1"/>
      <w:marLeft w:val="0"/>
      <w:marRight w:val="0"/>
      <w:marTop w:val="0"/>
      <w:marBottom w:val="0"/>
      <w:divBdr>
        <w:top w:val="none" w:sz="0" w:space="0" w:color="auto"/>
        <w:left w:val="none" w:sz="0" w:space="0" w:color="auto"/>
        <w:bottom w:val="none" w:sz="0" w:space="0" w:color="auto"/>
        <w:right w:val="none" w:sz="0" w:space="0" w:color="auto"/>
      </w:divBdr>
    </w:div>
    <w:div w:id="547179784">
      <w:bodyDiv w:val="1"/>
      <w:marLeft w:val="0"/>
      <w:marRight w:val="0"/>
      <w:marTop w:val="0"/>
      <w:marBottom w:val="0"/>
      <w:divBdr>
        <w:top w:val="none" w:sz="0" w:space="0" w:color="auto"/>
        <w:left w:val="none" w:sz="0" w:space="0" w:color="auto"/>
        <w:bottom w:val="none" w:sz="0" w:space="0" w:color="auto"/>
        <w:right w:val="none" w:sz="0" w:space="0" w:color="auto"/>
      </w:divBdr>
    </w:div>
    <w:div w:id="548036331">
      <w:bodyDiv w:val="1"/>
      <w:marLeft w:val="0"/>
      <w:marRight w:val="0"/>
      <w:marTop w:val="0"/>
      <w:marBottom w:val="0"/>
      <w:divBdr>
        <w:top w:val="none" w:sz="0" w:space="0" w:color="auto"/>
        <w:left w:val="none" w:sz="0" w:space="0" w:color="auto"/>
        <w:bottom w:val="none" w:sz="0" w:space="0" w:color="auto"/>
        <w:right w:val="none" w:sz="0" w:space="0" w:color="auto"/>
      </w:divBdr>
    </w:div>
    <w:div w:id="554464359">
      <w:bodyDiv w:val="1"/>
      <w:marLeft w:val="0"/>
      <w:marRight w:val="0"/>
      <w:marTop w:val="0"/>
      <w:marBottom w:val="0"/>
      <w:divBdr>
        <w:top w:val="none" w:sz="0" w:space="0" w:color="auto"/>
        <w:left w:val="none" w:sz="0" w:space="0" w:color="auto"/>
        <w:bottom w:val="none" w:sz="0" w:space="0" w:color="auto"/>
        <w:right w:val="none" w:sz="0" w:space="0" w:color="auto"/>
      </w:divBdr>
    </w:div>
    <w:div w:id="554699489">
      <w:bodyDiv w:val="1"/>
      <w:marLeft w:val="0"/>
      <w:marRight w:val="0"/>
      <w:marTop w:val="0"/>
      <w:marBottom w:val="0"/>
      <w:divBdr>
        <w:top w:val="none" w:sz="0" w:space="0" w:color="auto"/>
        <w:left w:val="none" w:sz="0" w:space="0" w:color="auto"/>
        <w:bottom w:val="none" w:sz="0" w:space="0" w:color="auto"/>
        <w:right w:val="none" w:sz="0" w:space="0" w:color="auto"/>
      </w:divBdr>
    </w:div>
    <w:div w:id="557128810">
      <w:bodyDiv w:val="1"/>
      <w:marLeft w:val="0"/>
      <w:marRight w:val="0"/>
      <w:marTop w:val="0"/>
      <w:marBottom w:val="0"/>
      <w:divBdr>
        <w:top w:val="none" w:sz="0" w:space="0" w:color="auto"/>
        <w:left w:val="none" w:sz="0" w:space="0" w:color="auto"/>
        <w:bottom w:val="none" w:sz="0" w:space="0" w:color="auto"/>
        <w:right w:val="none" w:sz="0" w:space="0" w:color="auto"/>
      </w:divBdr>
    </w:div>
    <w:div w:id="558174874">
      <w:bodyDiv w:val="1"/>
      <w:marLeft w:val="0"/>
      <w:marRight w:val="0"/>
      <w:marTop w:val="0"/>
      <w:marBottom w:val="0"/>
      <w:divBdr>
        <w:top w:val="none" w:sz="0" w:space="0" w:color="auto"/>
        <w:left w:val="none" w:sz="0" w:space="0" w:color="auto"/>
        <w:bottom w:val="none" w:sz="0" w:space="0" w:color="auto"/>
        <w:right w:val="none" w:sz="0" w:space="0" w:color="auto"/>
      </w:divBdr>
    </w:div>
    <w:div w:id="558324029">
      <w:bodyDiv w:val="1"/>
      <w:marLeft w:val="0"/>
      <w:marRight w:val="0"/>
      <w:marTop w:val="0"/>
      <w:marBottom w:val="0"/>
      <w:divBdr>
        <w:top w:val="none" w:sz="0" w:space="0" w:color="auto"/>
        <w:left w:val="none" w:sz="0" w:space="0" w:color="auto"/>
        <w:bottom w:val="none" w:sz="0" w:space="0" w:color="auto"/>
        <w:right w:val="none" w:sz="0" w:space="0" w:color="auto"/>
      </w:divBdr>
    </w:div>
    <w:div w:id="561216287">
      <w:bodyDiv w:val="1"/>
      <w:marLeft w:val="0"/>
      <w:marRight w:val="0"/>
      <w:marTop w:val="0"/>
      <w:marBottom w:val="0"/>
      <w:divBdr>
        <w:top w:val="none" w:sz="0" w:space="0" w:color="auto"/>
        <w:left w:val="none" w:sz="0" w:space="0" w:color="auto"/>
        <w:bottom w:val="none" w:sz="0" w:space="0" w:color="auto"/>
        <w:right w:val="none" w:sz="0" w:space="0" w:color="auto"/>
      </w:divBdr>
    </w:div>
    <w:div w:id="563445608">
      <w:bodyDiv w:val="1"/>
      <w:marLeft w:val="0"/>
      <w:marRight w:val="0"/>
      <w:marTop w:val="0"/>
      <w:marBottom w:val="0"/>
      <w:divBdr>
        <w:top w:val="none" w:sz="0" w:space="0" w:color="auto"/>
        <w:left w:val="none" w:sz="0" w:space="0" w:color="auto"/>
        <w:bottom w:val="none" w:sz="0" w:space="0" w:color="auto"/>
        <w:right w:val="none" w:sz="0" w:space="0" w:color="auto"/>
      </w:divBdr>
    </w:div>
    <w:div w:id="563636909">
      <w:bodyDiv w:val="1"/>
      <w:marLeft w:val="0"/>
      <w:marRight w:val="0"/>
      <w:marTop w:val="0"/>
      <w:marBottom w:val="0"/>
      <w:divBdr>
        <w:top w:val="none" w:sz="0" w:space="0" w:color="auto"/>
        <w:left w:val="none" w:sz="0" w:space="0" w:color="auto"/>
        <w:bottom w:val="none" w:sz="0" w:space="0" w:color="auto"/>
        <w:right w:val="none" w:sz="0" w:space="0" w:color="auto"/>
      </w:divBdr>
    </w:div>
    <w:div w:id="564343576">
      <w:bodyDiv w:val="1"/>
      <w:marLeft w:val="0"/>
      <w:marRight w:val="0"/>
      <w:marTop w:val="0"/>
      <w:marBottom w:val="0"/>
      <w:divBdr>
        <w:top w:val="none" w:sz="0" w:space="0" w:color="auto"/>
        <w:left w:val="none" w:sz="0" w:space="0" w:color="auto"/>
        <w:bottom w:val="none" w:sz="0" w:space="0" w:color="auto"/>
        <w:right w:val="none" w:sz="0" w:space="0" w:color="auto"/>
      </w:divBdr>
    </w:div>
    <w:div w:id="565607716">
      <w:bodyDiv w:val="1"/>
      <w:marLeft w:val="0"/>
      <w:marRight w:val="0"/>
      <w:marTop w:val="0"/>
      <w:marBottom w:val="0"/>
      <w:divBdr>
        <w:top w:val="none" w:sz="0" w:space="0" w:color="auto"/>
        <w:left w:val="none" w:sz="0" w:space="0" w:color="auto"/>
        <w:bottom w:val="none" w:sz="0" w:space="0" w:color="auto"/>
        <w:right w:val="none" w:sz="0" w:space="0" w:color="auto"/>
      </w:divBdr>
    </w:div>
    <w:div w:id="565839624">
      <w:bodyDiv w:val="1"/>
      <w:marLeft w:val="0"/>
      <w:marRight w:val="0"/>
      <w:marTop w:val="0"/>
      <w:marBottom w:val="0"/>
      <w:divBdr>
        <w:top w:val="none" w:sz="0" w:space="0" w:color="auto"/>
        <w:left w:val="none" w:sz="0" w:space="0" w:color="auto"/>
        <w:bottom w:val="none" w:sz="0" w:space="0" w:color="auto"/>
        <w:right w:val="none" w:sz="0" w:space="0" w:color="auto"/>
      </w:divBdr>
    </w:div>
    <w:div w:id="566962414">
      <w:bodyDiv w:val="1"/>
      <w:marLeft w:val="0"/>
      <w:marRight w:val="0"/>
      <w:marTop w:val="0"/>
      <w:marBottom w:val="0"/>
      <w:divBdr>
        <w:top w:val="none" w:sz="0" w:space="0" w:color="auto"/>
        <w:left w:val="none" w:sz="0" w:space="0" w:color="auto"/>
        <w:bottom w:val="none" w:sz="0" w:space="0" w:color="auto"/>
        <w:right w:val="none" w:sz="0" w:space="0" w:color="auto"/>
      </w:divBdr>
    </w:div>
    <w:div w:id="571938199">
      <w:bodyDiv w:val="1"/>
      <w:marLeft w:val="0"/>
      <w:marRight w:val="0"/>
      <w:marTop w:val="0"/>
      <w:marBottom w:val="0"/>
      <w:divBdr>
        <w:top w:val="none" w:sz="0" w:space="0" w:color="auto"/>
        <w:left w:val="none" w:sz="0" w:space="0" w:color="auto"/>
        <w:bottom w:val="none" w:sz="0" w:space="0" w:color="auto"/>
        <w:right w:val="none" w:sz="0" w:space="0" w:color="auto"/>
      </w:divBdr>
    </w:div>
    <w:div w:id="572928903">
      <w:bodyDiv w:val="1"/>
      <w:marLeft w:val="0"/>
      <w:marRight w:val="0"/>
      <w:marTop w:val="0"/>
      <w:marBottom w:val="0"/>
      <w:divBdr>
        <w:top w:val="none" w:sz="0" w:space="0" w:color="auto"/>
        <w:left w:val="none" w:sz="0" w:space="0" w:color="auto"/>
        <w:bottom w:val="none" w:sz="0" w:space="0" w:color="auto"/>
        <w:right w:val="none" w:sz="0" w:space="0" w:color="auto"/>
      </w:divBdr>
    </w:div>
    <w:div w:id="573512973">
      <w:bodyDiv w:val="1"/>
      <w:marLeft w:val="0"/>
      <w:marRight w:val="0"/>
      <w:marTop w:val="0"/>
      <w:marBottom w:val="0"/>
      <w:divBdr>
        <w:top w:val="none" w:sz="0" w:space="0" w:color="auto"/>
        <w:left w:val="none" w:sz="0" w:space="0" w:color="auto"/>
        <w:bottom w:val="none" w:sz="0" w:space="0" w:color="auto"/>
        <w:right w:val="none" w:sz="0" w:space="0" w:color="auto"/>
      </w:divBdr>
    </w:div>
    <w:div w:id="574896851">
      <w:bodyDiv w:val="1"/>
      <w:marLeft w:val="0"/>
      <w:marRight w:val="0"/>
      <w:marTop w:val="0"/>
      <w:marBottom w:val="0"/>
      <w:divBdr>
        <w:top w:val="none" w:sz="0" w:space="0" w:color="auto"/>
        <w:left w:val="none" w:sz="0" w:space="0" w:color="auto"/>
        <w:bottom w:val="none" w:sz="0" w:space="0" w:color="auto"/>
        <w:right w:val="none" w:sz="0" w:space="0" w:color="auto"/>
      </w:divBdr>
    </w:div>
    <w:div w:id="575407397">
      <w:bodyDiv w:val="1"/>
      <w:marLeft w:val="0"/>
      <w:marRight w:val="0"/>
      <w:marTop w:val="0"/>
      <w:marBottom w:val="0"/>
      <w:divBdr>
        <w:top w:val="none" w:sz="0" w:space="0" w:color="auto"/>
        <w:left w:val="none" w:sz="0" w:space="0" w:color="auto"/>
        <w:bottom w:val="none" w:sz="0" w:space="0" w:color="auto"/>
        <w:right w:val="none" w:sz="0" w:space="0" w:color="auto"/>
      </w:divBdr>
    </w:div>
    <w:div w:id="575434649">
      <w:bodyDiv w:val="1"/>
      <w:marLeft w:val="0"/>
      <w:marRight w:val="0"/>
      <w:marTop w:val="0"/>
      <w:marBottom w:val="0"/>
      <w:divBdr>
        <w:top w:val="none" w:sz="0" w:space="0" w:color="auto"/>
        <w:left w:val="none" w:sz="0" w:space="0" w:color="auto"/>
        <w:bottom w:val="none" w:sz="0" w:space="0" w:color="auto"/>
        <w:right w:val="none" w:sz="0" w:space="0" w:color="auto"/>
      </w:divBdr>
    </w:div>
    <w:div w:id="578173263">
      <w:bodyDiv w:val="1"/>
      <w:marLeft w:val="0"/>
      <w:marRight w:val="0"/>
      <w:marTop w:val="0"/>
      <w:marBottom w:val="0"/>
      <w:divBdr>
        <w:top w:val="none" w:sz="0" w:space="0" w:color="auto"/>
        <w:left w:val="none" w:sz="0" w:space="0" w:color="auto"/>
        <w:bottom w:val="none" w:sz="0" w:space="0" w:color="auto"/>
        <w:right w:val="none" w:sz="0" w:space="0" w:color="auto"/>
      </w:divBdr>
    </w:div>
    <w:div w:id="578251068">
      <w:bodyDiv w:val="1"/>
      <w:marLeft w:val="0"/>
      <w:marRight w:val="0"/>
      <w:marTop w:val="0"/>
      <w:marBottom w:val="0"/>
      <w:divBdr>
        <w:top w:val="none" w:sz="0" w:space="0" w:color="auto"/>
        <w:left w:val="none" w:sz="0" w:space="0" w:color="auto"/>
        <w:bottom w:val="none" w:sz="0" w:space="0" w:color="auto"/>
        <w:right w:val="none" w:sz="0" w:space="0" w:color="auto"/>
      </w:divBdr>
      <w:divsChild>
        <w:div w:id="1477529189">
          <w:marLeft w:val="0"/>
          <w:marRight w:val="0"/>
          <w:marTop w:val="0"/>
          <w:marBottom w:val="0"/>
          <w:divBdr>
            <w:top w:val="none" w:sz="0" w:space="0" w:color="auto"/>
            <w:left w:val="none" w:sz="0" w:space="0" w:color="auto"/>
            <w:bottom w:val="none" w:sz="0" w:space="0" w:color="auto"/>
            <w:right w:val="none" w:sz="0" w:space="0" w:color="auto"/>
          </w:divBdr>
        </w:div>
      </w:divsChild>
    </w:div>
    <w:div w:id="578445092">
      <w:bodyDiv w:val="1"/>
      <w:marLeft w:val="0"/>
      <w:marRight w:val="0"/>
      <w:marTop w:val="0"/>
      <w:marBottom w:val="0"/>
      <w:divBdr>
        <w:top w:val="none" w:sz="0" w:space="0" w:color="auto"/>
        <w:left w:val="none" w:sz="0" w:space="0" w:color="auto"/>
        <w:bottom w:val="none" w:sz="0" w:space="0" w:color="auto"/>
        <w:right w:val="none" w:sz="0" w:space="0" w:color="auto"/>
      </w:divBdr>
    </w:div>
    <w:div w:id="578632501">
      <w:bodyDiv w:val="1"/>
      <w:marLeft w:val="0"/>
      <w:marRight w:val="0"/>
      <w:marTop w:val="0"/>
      <w:marBottom w:val="0"/>
      <w:divBdr>
        <w:top w:val="none" w:sz="0" w:space="0" w:color="auto"/>
        <w:left w:val="none" w:sz="0" w:space="0" w:color="auto"/>
        <w:bottom w:val="none" w:sz="0" w:space="0" w:color="auto"/>
        <w:right w:val="none" w:sz="0" w:space="0" w:color="auto"/>
      </w:divBdr>
    </w:div>
    <w:div w:id="578757935">
      <w:bodyDiv w:val="1"/>
      <w:marLeft w:val="0"/>
      <w:marRight w:val="0"/>
      <w:marTop w:val="0"/>
      <w:marBottom w:val="0"/>
      <w:divBdr>
        <w:top w:val="none" w:sz="0" w:space="0" w:color="auto"/>
        <w:left w:val="none" w:sz="0" w:space="0" w:color="auto"/>
        <w:bottom w:val="none" w:sz="0" w:space="0" w:color="auto"/>
        <w:right w:val="none" w:sz="0" w:space="0" w:color="auto"/>
      </w:divBdr>
    </w:div>
    <w:div w:id="579870530">
      <w:bodyDiv w:val="1"/>
      <w:marLeft w:val="0"/>
      <w:marRight w:val="0"/>
      <w:marTop w:val="0"/>
      <w:marBottom w:val="0"/>
      <w:divBdr>
        <w:top w:val="none" w:sz="0" w:space="0" w:color="auto"/>
        <w:left w:val="none" w:sz="0" w:space="0" w:color="auto"/>
        <w:bottom w:val="none" w:sz="0" w:space="0" w:color="auto"/>
        <w:right w:val="none" w:sz="0" w:space="0" w:color="auto"/>
      </w:divBdr>
    </w:div>
    <w:div w:id="583077673">
      <w:bodyDiv w:val="1"/>
      <w:marLeft w:val="0"/>
      <w:marRight w:val="0"/>
      <w:marTop w:val="0"/>
      <w:marBottom w:val="0"/>
      <w:divBdr>
        <w:top w:val="none" w:sz="0" w:space="0" w:color="auto"/>
        <w:left w:val="none" w:sz="0" w:space="0" w:color="auto"/>
        <w:bottom w:val="none" w:sz="0" w:space="0" w:color="auto"/>
        <w:right w:val="none" w:sz="0" w:space="0" w:color="auto"/>
      </w:divBdr>
    </w:div>
    <w:div w:id="584925315">
      <w:bodyDiv w:val="1"/>
      <w:marLeft w:val="0"/>
      <w:marRight w:val="0"/>
      <w:marTop w:val="0"/>
      <w:marBottom w:val="0"/>
      <w:divBdr>
        <w:top w:val="none" w:sz="0" w:space="0" w:color="auto"/>
        <w:left w:val="none" w:sz="0" w:space="0" w:color="auto"/>
        <w:bottom w:val="none" w:sz="0" w:space="0" w:color="auto"/>
        <w:right w:val="none" w:sz="0" w:space="0" w:color="auto"/>
      </w:divBdr>
    </w:div>
    <w:div w:id="587692613">
      <w:bodyDiv w:val="1"/>
      <w:marLeft w:val="0"/>
      <w:marRight w:val="0"/>
      <w:marTop w:val="0"/>
      <w:marBottom w:val="0"/>
      <w:divBdr>
        <w:top w:val="none" w:sz="0" w:space="0" w:color="auto"/>
        <w:left w:val="none" w:sz="0" w:space="0" w:color="auto"/>
        <w:bottom w:val="none" w:sz="0" w:space="0" w:color="auto"/>
        <w:right w:val="none" w:sz="0" w:space="0" w:color="auto"/>
      </w:divBdr>
    </w:div>
    <w:div w:id="588660412">
      <w:bodyDiv w:val="1"/>
      <w:marLeft w:val="0"/>
      <w:marRight w:val="0"/>
      <w:marTop w:val="0"/>
      <w:marBottom w:val="0"/>
      <w:divBdr>
        <w:top w:val="none" w:sz="0" w:space="0" w:color="auto"/>
        <w:left w:val="none" w:sz="0" w:space="0" w:color="auto"/>
        <w:bottom w:val="none" w:sz="0" w:space="0" w:color="auto"/>
        <w:right w:val="none" w:sz="0" w:space="0" w:color="auto"/>
      </w:divBdr>
    </w:div>
    <w:div w:id="589394149">
      <w:bodyDiv w:val="1"/>
      <w:marLeft w:val="0"/>
      <w:marRight w:val="0"/>
      <w:marTop w:val="0"/>
      <w:marBottom w:val="0"/>
      <w:divBdr>
        <w:top w:val="none" w:sz="0" w:space="0" w:color="auto"/>
        <w:left w:val="none" w:sz="0" w:space="0" w:color="auto"/>
        <w:bottom w:val="none" w:sz="0" w:space="0" w:color="auto"/>
        <w:right w:val="none" w:sz="0" w:space="0" w:color="auto"/>
      </w:divBdr>
    </w:div>
    <w:div w:id="591545578">
      <w:bodyDiv w:val="1"/>
      <w:marLeft w:val="0"/>
      <w:marRight w:val="0"/>
      <w:marTop w:val="0"/>
      <w:marBottom w:val="0"/>
      <w:divBdr>
        <w:top w:val="none" w:sz="0" w:space="0" w:color="auto"/>
        <w:left w:val="none" w:sz="0" w:space="0" w:color="auto"/>
        <w:bottom w:val="none" w:sz="0" w:space="0" w:color="auto"/>
        <w:right w:val="none" w:sz="0" w:space="0" w:color="auto"/>
      </w:divBdr>
      <w:divsChild>
        <w:div w:id="522666159">
          <w:marLeft w:val="0"/>
          <w:marRight w:val="0"/>
          <w:marTop w:val="0"/>
          <w:marBottom w:val="0"/>
          <w:divBdr>
            <w:top w:val="none" w:sz="0" w:space="0" w:color="auto"/>
            <w:left w:val="none" w:sz="0" w:space="0" w:color="auto"/>
            <w:bottom w:val="none" w:sz="0" w:space="0" w:color="auto"/>
            <w:right w:val="none" w:sz="0" w:space="0" w:color="auto"/>
          </w:divBdr>
        </w:div>
      </w:divsChild>
    </w:div>
    <w:div w:id="596644266">
      <w:bodyDiv w:val="1"/>
      <w:marLeft w:val="0"/>
      <w:marRight w:val="0"/>
      <w:marTop w:val="0"/>
      <w:marBottom w:val="0"/>
      <w:divBdr>
        <w:top w:val="none" w:sz="0" w:space="0" w:color="auto"/>
        <w:left w:val="none" w:sz="0" w:space="0" w:color="auto"/>
        <w:bottom w:val="none" w:sz="0" w:space="0" w:color="auto"/>
        <w:right w:val="none" w:sz="0" w:space="0" w:color="auto"/>
      </w:divBdr>
    </w:div>
    <w:div w:id="597250602">
      <w:bodyDiv w:val="1"/>
      <w:marLeft w:val="0"/>
      <w:marRight w:val="0"/>
      <w:marTop w:val="0"/>
      <w:marBottom w:val="0"/>
      <w:divBdr>
        <w:top w:val="none" w:sz="0" w:space="0" w:color="auto"/>
        <w:left w:val="none" w:sz="0" w:space="0" w:color="auto"/>
        <w:bottom w:val="none" w:sz="0" w:space="0" w:color="auto"/>
        <w:right w:val="none" w:sz="0" w:space="0" w:color="auto"/>
      </w:divBdr>
    </w:div>
    <w:div w:id="598803694">
      <w:bodyDiv w:val="1"/>
      <w:marLeft w:val="0"/>
      <w:marRight w:val="0"/>
      <w:marTop w:val="0"/>
      <w:marBottom w:val="0"/>
      <w:divBdr>
        <w:top w:val="none" w:sz="0" w:space="0" w:color="auto"/>
        <w:left w:val="none" w:sz="0" w:space="0" w:color="auto"/>
        <w:bottom w:val="none" w:sz="0" w:space="0" w:color="auto"/>
        <w:right w:val="none" w:sz="0" w:space="0" w:color="auto"/>
      </w:divBdr>
    </w:div>
    <w:div w:id="604115245">
      <w:bodyDiv w:val="1"/>
      <w:marLeft w:val="0"/>
      <w:marRight w:val="0"/>
      <w:marTop w:val="0"/>
      <w:marBottom w:val="0"/>
      <w:divBdr>
        <w:top w:val="none" w:sz="0" w:space="0" w:color="auto"/>
        <w:left w:val="none" w:sz="0" w:space="0" w:color="auto"/>
        <w:bottom w:val="none" w:sz="0" w:space="0" w:color="auto"/>
        <w:right w:val="none" w:sz="0" w:space="0" w:color="auto"/>
      </w:divBdr>
    </w:div>
    <w:div w:id="604271252">
      <w:bodyDiv w:val="1"/>
      <w:marLeft w:val="0"/>
      <w:marRight w:val="0"/>
      <w:marTop w:val="0"/>
      <w:marBottom w:val="0"/>
      <w:divBdr>
        <w:top w:val="none" w:sz="0" w:space="0" w:color="auto"/>
        <w:left w:val="none" w:sz="0" w:space="0" w:color="auto"/>
        <w:bottom w:val="none" w:sz="0" w:space="0" w:color="auto"/>
        <w:right w:val="none" w:sz="0" w:space="0" w:color="auto"/>
      </w:divBdr>
    </w:div>
    <w:div w:id="605775713">
      <w:bodyDiv w:val="1"/>
      <w:marLeft w:val="0"/>
      <w:marRight w:val="0"/>
      <w:marTop w:val="0"/>
      <w:marBottom w:val="0"/>
      <w:divBdr>
        <w:top w:val="none" w:sz="0" w:space="0" w:color="auto"/>
        <w:left w:val="none" w:sz="0" w:space="0" w:color="auto"/>
        <w:bottom w:val="none" w:sz="0" w:space="0" w:color="auto"/>
        <w:right w:val="none" w:sz="0" w:space="0" w:color="auto"/>
      </w:divBdr>
    </w:div>
    <w:div w:id="606540662">
      <w:bodyDiv w:val="1"/>
      <w:marLeft w:val="0"/>
      <w:marRight w:val="0"/>
      <w:marTop w:val="0"/>
      <w:marBottom w:val="0"/>
      <w:divBdr>
        <w:top w:val="none" w:sz="0" w:space="0" w:color="auto"/>
        <w:left w:val="none" w:sz="0" w:space="0" w:color="auto"/>
        <w:bottom w:val="none" w:sz="0" w:space="0" w:color="auto"/>
        <w:right w:val="none" w:sz="0" w:space="0" w:color="auto"/>
      </w:divBdr>
    </w:div>
    <w:div w:id="608900357">
      <w:bodyDiv w:val="1"/>
      <w:marLeft w:val="0"/>
      <w:marRight w:val="0"/>
      <w:marTop w:val="0"/>
      <w:marBottom w:val="0"/>
      <w:divBdr>
        <w:top w:val="none" w:sz="0" w:space="0" w:color="auto"/>
        <w:left w:val="none" w:sz="0" w:space="0" w:color="auto"/>
        <w:bottom w:val="none" w:sz="0" w:space="0" w:color="auto"/>
        <w:right w:val="none" w:sz="0" w:space="0" w:color="auto"/>
      </w:divBdr>
    </w:div>
    <w:div w:id="609968552">
      <w:bodyDiv w:val="1"/>
      <w:marLeft w:val="0"/>
      <w:marRight w:val="0"/>
      <w:marTop w:val="0"/>
      <w:marBottom w:val="0"/>
      <w:divBdr>
        <w:top w:val="none" w:sz="0" w:space="0" w:color="auto"/>
        <w:left w:val="none" w:sz="0" w:space="0" w:color="auto"/>
        <w:bottom w:val="none" w:sz="0" w:space="0" w:color="auto"/>
        <w:right w:val="none" w:sz="0" w:space="0" w:color="auto"/>
      </w:divBdr>
    </w:div>
    <w:div w:id="610673677">
      <w:bodyDiv w:val="1"/>
      <w:marLeft w:val="0"/>
      <w:marRight w:val="0"/>
      <w:marTop w:val="0"/>
      <w:marBottom w:val="0"/>
      <w:divBdr>
        <w:top w:val="none" w:sz="0" w:space="0" w:color="auto"/>
        <w:left w:val="none" w:sz="0" w:space="0" w:color="auto"/>
        <w:bottom w:val="none" w:sz="0" w:space="0" w:color="auto"/>
        <w:right w:val="none" w:sz="0" w:space="0" w:color="auto"/>
      </w:divBdr>
    </w:div>
    <w:div w:id="614143441">
      <w:bodyDiv w:val="1"/>
      <w:marLeft w:val="0"/>
      <w:marRight w:val="0"/>
      <w:marTop w:val="0"/>
      <w:marBottom w:val="0"/>
      <w:divBdr>
        <w:top w:val="none" w:sz="0" w:space="0" w:color="auto"/>
        <w:left w:val="none" w:sz="0" w:space="0" w:color="auto"/>
        <w:bottom w:val="none" w:sz="0" w:space="0" w:color="auto"/>
        <w:right w:val="none" w:sz="0" w:space="0" w:color="auto"/>
      </w:divBdr>
    </w:div>
    <w:div w:id="614824044">
      <w:bodyDiv w:val="1"/>
      <w:marLeft w:val="0"/>
      <w:marRight w:val="0"/>
      <w:marTop w:val="0"/>
      <w:marBottom w:val="0"/>
      <w:divBdr>
        <w:top w:val="none" w:sz="0" w:space="0" w:color="auto"/>
        <w:left w:val="none" w:sz="0" w:space="0" w:color="auto"/>
        <w:bottom w:val="none" w:sz="0" w:space="0" w:color="auto"/>
        <w:right w:val="none" w:sz="0" w:space="0" w:color="auto"/>
      </w:divBdr>
    </w:div>
    <w:div w:id="615135085">
      <w:bodyDiv w:val="1"/>
      <w:marLeft w:val="0"/>
      <w:marRight w:val="0"/>
      <w:marTop w:val="0"/>
      <w:marBottom w:val="0"/>
      <w:divBdr>
        <w:top w:val="none" w:sz="0" w:space="0" w:color="auto"/>
        <w:left w:val="none" w:sz="0" w:space="0" w:color="auto"/>
        <w:bottom w:val="none" w:sz="0" w:space="0" w:color="auto"/>
        <w:right w:val="none" w:sz="0" w:space="0" w:color="auto"/>
      </w:divBdr>
    </w:div>
    <w:div w:id="615868636">
      <w:bodyDiv w:val="1"/>
      <w:marLeft w:val="0"/>
      <w:marRight w:val="0"/>
      <w:marTop w:val="0"/>
      <w:marBottom w:val="0"/>
      <w:divBdr>
        <w:top w:val="none" w:sz="0" w:space="0" w:color="auto"/>
        <w:left w:val="none" w:sz="0" w:space="0" w:color="auto"/>
        <w:bottom w:val="none" w:sz="0" w:space="0" w:color="auto"/>
        <w:right w:val="none" w:sz="0" w:space="0" w:color="auto"/>
      </w:divBdr>
    </w:div>
    <w:div w:id="616255557">
      <w:bodyDiv w:val="1"/>
      <w:marLeft w:val="0"/>
      <w:marRight w:val="0"/>
      <w:marTop w:val="0"/>
      <w:marBottom w:val="0"/>
      <w:divBdr>
        <w:top w:val="none" w:sz="0" w:space="0" w:color="auto"/>
        <w:left w:val="none" w:sz="0" w:space="0" w:color="auto"/>
        <w:bottom w:val="none" w:sz="0" w:space="0" w:color="auto"/>
        <w:right w:val="none" w:sz="0" w:space="0" w:color="auto"/>
      </w:divBdr>
    </w:div>
    <w:div w:id="617025910">
      <w:bodyDiv w:val="1"/>
      <w:marLeft w:val="0"/>
      <w:marRight w:val="0"/>
      <w:marTop w:val="0"/>
      <w:marBottom w:val="0"/>
      <w:divBdr>
        <w:top w:val="none" w:sz="0" w:space="0" w:color="auto"/>
        <w:left w:val="none" w:sz="0" w:space="0" w:color="auto"/>
        <w:bottom w:val="none" w:sz="0" w:space="0" w:color="auto"/>
        <w:right w:val="none" w:sz="0" w:space="0" w:color="auto"/>
      </w:divBdr>
    </w:div>
    <w:div w:id="618142624">
      <w:bodyDiv w:val="1"/>
      <w:marLeft w:val="0"/>
      <w:marRight w:val="0"/>
      <w:marTop w:val="0"/>
      <w:marBottom w:val="0"/>
      <w:divBdr>
        <w:top w:val="none" w:sz="0" w:space="0" w:color="auto"/>
        <w:left w:val="none" w:sz="0" w:space="0" w:color="auto"/>
        <w:bottom w:val="none" w:sz="0" w:space="0" w:color="auto"/>
        <w:right w:val="none" w:sz="0" w:space="0" w:color="auto"/>
      </w:divBdr>
    </w:div>
    <w:div w:id="622468796">
      <w:bodyDiv w:val="1"/>
      <w:marLeft w:val="0"/>
      <w:marRight w:val="0"/>
      <w:marTop w:val="0"/>
      <w:marBottom w:val="0"/>
      <w:divBdr>
        <w:top w:val="none" w:sz="0" w:space="0" w:color="auto"/>
        <w:left w:val="none" w:sz="0" w:space="0" w:color="auto"/>
        <w:bottom w:val="none" w:sz="0" w:space="0" w:color="auto"/>
        <w:right w:val="none" w:sz="0" w:space="0" w:color="auto"/>
      </w:divBdr>
    </w:div>
    <w:div w:id="623777034">
      <w:bodyDiv w:val="1"/>
      <w:marLeft w:val="0"/>
      <w:marRight w:val="0"/>
      <w:marTop w:val="0"/>
      <w:marBottom w:val="0"/>
      <w:divBdr>
        <w:top w:val="none" w:sz="0" w:space="0" w:color="auto"/>
        <w:left w:val="none" w:sz="0" w:space="0" w:color="auto"/>
        <w:bottom w:val="none" w:sz="0" w:space="0" w:color="auto"/>
        <w:right w:val="none" w:sz="0" w:space="0" w:color="auto"/>
      </w:divBdr>
    </w:div>
    <w:div w:id="626743443">
      <w:bodyDiv w:val="1"/>
      <w:marLeft w:val="0"/>
      <w:marRight w:val="0"/>
      <w:marTop w:val="0"/>
      <w:marBottom w:val="0"/>
      <w:divBdr>
        <w:top w:val="none" w:sz="0" w:space="0" w:color="auto"/>
        <w:left w:val="none" w:sz="0" w:space="0" w:color="auto"/>
        <w:bottom w:val="none" w:sz="0" w:space="0" w:color="auto"/>
        <w:right w:val="none" w:sz="0" w:space="0" w:color="auto"/>
      </w:divBdr>
    </w:div>
    <w:div w:id="627199562">
      <w:bodyDiv w:val="1"/>
      <w:marLeft w:val="0"/>
      <w:marRight w:val="0"/>
      <w:marTop w:val="0"/>
      <w:marBottom w:val="0"/>
      <w:divBdr>
        <w:top w:val="none" w:sz="0" w:space="0" w:color="auto"/>
        <w:left w:val="none" w:sz="0" w:space="0" w:color="auto"/>
        <w:bottom w:val="none" w:sz="0" w:space="0" w:color="auto"/>
        <w:right w:val="none" w:sz="0" w:space="0" w:color="auto"/>
      </w:divBdr>
    </w:div>
    <w:div w:id="627904626">
      <w:bodyDiv w:val="1"/>
      <w:marLeft w:val="0"/>
      <w:marRight w:val="0"/>
      <w:marTop w:val="0"/>
      <w:marBottom w:val="0"/>
      <w:divBdr>
        <w:top w:val="none" w:sz="0" w:space="0" w:color="auto"/>
        <w:left w:val="none" w:sz="0" w:space="0" w:color="auto"/>
        <w:bottom w:val="none" w:sz="0" w:space="0" w:color="auto"/>
        <w:right w:val="none" w:sz="0" w:space="0" w:color="auto"/>
      </w:divBdr>
      <w:divsChild>
        <w:div w:id="1928535200">
          <w:marLeft w:val="0"/>
          <w:marRight w:val="0"/>
          <w:marTop w:val="0"/>
          <w:marBottom w:val="0"/>
          <w:divBdr>
            <w:top w:val="none" w:sz="0" w:space="0" w:color="auto"/>
            <w:left w:val="none" w:sz="0" w:space="0" w:color="auto"/>
            <w:bottom w:val="none" w:sz="0" w:space="0" w:color="auto"/>
            <w:right w:val="none" w:sz="0" w:space="0" w:color="auto"/>
          </w:divBdr>
        </w:div>
      </w:divsChild>
    </w:div>
    <w:div w:id="635136456">
      <w:bodyDiv w:val="1"/>
      <w:marLeft w:val="0"/>
      <w:marRight w:val="0"/>
      <w:marTop w:val="0"/>
      <w:marBottom w:val="0"/>
      <w:divBdr>
        <w:top w:val="none" w:sz="0" w:space="0" w:color="auto"/>
        <w:left w:val="none" w:sz="0" w:space="0" w:color="auto"/>
        <w:bottom w:val="none" w:sz="0" w:space="0" w:color="auto"/>
        <w:right w:val="none" w:sz="0" w:space="0" w:color="auto"/>
      </w:divBdr>
    </w:div>
    <w:div w:id="641813202">
      <w:bodyDiv w:val="1"/>
      <w:marLeft w:val="0"/>
      <w:marRight w:val="0"/>
      <w:marTop w:val="0"/>
      <w:marBottom w:val="0"/>
      <w:divBdr>
        <w:top w:val="none" w:sz="0" w:space="0" w:color="auto"/>
        <w:left w:val="none" w:sz="0" w:space="0" w:color="auto"/>
        <w:bottom w:val="none" w:sz="0" w:space="0" w:color="auto"/>
        <w:right w:val="none" w:sz="0" w:space="0" w:color="auto"/>
      </w:divBdr>
      <w:divsChild>
        <w:div w:id="1788698922">
          <w:marLeft w:val="0"/>
          <w:marRight w:val="0"/>
          <w:marTop w:val="0"/>
          <w:marBottom w:val="0"/>
          <w:divBdr>
            <w:top w:val="none" w:sz="0" w:space="0" w:color="auto"/>
            <w:left w:val="none" w:sz="0" w:space="0" w:color="auto"/>
            <w:bottom w:val="none" w:sz="0" w:space="0" w:color="auto"/>
            <w:right w:val="none" w:sz="0" w:space="0" w:color="auto"/>
          </w:divBdr>
        </w:div>
      </w:divsChild>
    </w:div>
    <w:div w:id="643042963">
      <w:bodyDiv w:val="1"/>
      <w:marLeft w:val="0"/>
      <w:marRight w:val="0"/>
      <w:marTop w:val="0"/>
      <w:marBottom w:val="0"/>
      <w:divBdr>
        <w:top w:val="none" w:sz="0" w:space="0" w:color="auto"/>
        <w:left w:val="none" w:sz="0" w:space="0" w:color="auto"/>
        <w:bottom w:val="none" w:sz="0" w:space="0" w:color="auto"/>
        <w:right w:val="none" w:sz="0" w:space="0" w:color="auto"/>
      </w:divBdr>
    </w:div>
    <w:div w:id="644814852">
      <w:bodyDiv w:val="1"/>
      <w:marLeft w:val="0"/>
      <w:marRight w:val="0"/>
      <w:marTop w:val="0"/>
      <w:marBottom w:val="0"/>
      <w:divBdr>
        <w:top w:val="none" w:sz="0" w:space="0" w:color="auto"/>
        <w:left w:val="none" w:sz="0" w:space="0" w:color="auto"/>
        <w:bottom w:val="none" w:sz="0" w:space="0" w:color="auto"/>
        <w:right w:val="none" w:sz="0" w:space="0" w:color="auto"/>
      </w:divBdr>
    </w:div>
    <w:div w:id="645596951">
      <w:bodyDiv w:val="1"/>
      <w:marLeft w:val="0"/>
      <w:marRight w:val="0"/>
      <w:marTop w:val="0"/>
      <w:marBottom w:val="0"/>
      <w:divBdr>
        <w:top w:val="none" w:sz="0" w:space="0" w:color="auto"/>
        <w:left w:val="none" w:sz="0" w:space="0" w:color="auto"/>
        <w:bottom w:val="none" w:sz="0" w:space="0" w:color="auto"/>
        <w:right w:val="none" w:sz="0" w:space="0" w:color="auto"/>
      </w:divBdr>
      <w:divsChild>
        <w:div w:id="1897744390">
          <w:marLeft w:val="0"/>
          <w:marRight w:val="0"/>
          <w:marTop w:val="0"/>
          <w:marBottom w:val="0"/>
          <w:divBdr>
            <w:top w:val="none" w:sz="0" w:space="0" w:color="auto"/>
            <w:left w:val="none" w:sz="0" w:space="0" w:color="auto"/>
            <w:bottom w:val="none" w:sz="0" w:space="0" w:color="auto"/>
            <w:right w:val="none" w:sz="0" w:space="0" w:color="auto"/>
          </w:divBdr>
        </w:div>
      </w:divsChild>
    </w:div>
    <w:div w:id="646325359">
      <w:bodyDiv w:val="1"/>
      <w:marLeft w:val="0"/>
      <w:marRight w:val="0"/>
      <w:marTop w:val="0"/>
      <w:marBottom w:val="0"/>
      <w:divBdr>
        <w:top w:val="none" w:sz="0" w:space="0" w:color="auto"/>
        <w:left w:val="none" w:sz="0" w:space="0" w:color="auto"/>
        <w:bottom w:val="none" w:sz="0" w:space="0" w:color="auto"/>
        <w:right w:val="none" w:sz="0" w:space="0" w:color="auto"/>
      </w:divBdr>
    </w:div>
    <w:div w:id="650985044">
      <w:bodyDiv w:val="1"/>
      <w:marLeft w:val="0"/>
      <w:marRight w:val="0"/>
      <w:marTop w:val="0"/>
      <w:marBottom w:val="0"/>
      <w:divBdr>
        <w:top w:val="none" w:sz="0" w:space="0" w:color="auto"/>
        <w:left w:val="none" w:sz="0" w:space="0" w:color="auto"/>
        <w:bottom w:val="none" w:sz="0" w:space="0" w:color="auto"/>
        <w:right w:val="none" w:sz="0" w:space="0" w:color="auto"/>
      </w:divBdr>
    </w:div>
    <w:div w:id="652485276">
      <w:bodyDiv w:val="1"/>
      <w:marLeft w:val="0"/>
      <w:marRight w:val="0"/>
      <w:marTop w:val="0"/>
      <w:marBottom w:val="0"/>
      <w:divBdr>
        <w:top w:val="none" w:sz="0" w:space="0" w:color="auto"/>
        <w:left w:val="none" w:sz="0" w:space="0" w:color="auto"/>
        <w:bottom w:val="none" w:sz="0" w:space="0" w:color="auto"/>
        <w:right w:val="none" w:sz="0" w:space="0" w:color="auto"/>
      </w:divBdr>
    </w:div>
    <w:div w:id="652494304">
      <w:bodyDiv w:val="1"/>
      <w:marLeft w:val="0"/>
      <w:marRight w:val="0"/>
      <w:marTop w:val="0"/>
      <w:marBottom w:val="0"/>
      <w:divBdr>
        <w:top w:val="none" w:sz="0" w:space="0" w:color="auto"/>
        <w:left w:val="none" w:sz="0" w:space="0" w:color="auto"/>
        <w:bottom w:val="none" w:sz="0" w:space="0" w:color="auto"/>
        <w:right w:val="none" w:sz="0" w:space="0" w:color="auto"/>
      </w:divBdr>
    </w:div>
    <w:div w:id="652833236">
      <w:bodyDiv w:val="1"/>
      <w:marLeft w:val="0"/>
      <w:marRight w:val="0"/>
      <w:marTop w:val="0"/>
      <w:marBottom w:val="0"/>
      <w:divBdr>
        <w:top w:val="none" w:sz="0" w:space="0" w:color="auto"/>
        <w:left w:val="none" w:sz="0" w:space="0" w:color="auto"/>
        <w:bottom w:val="none" w:sz="0" w:space="0" w:color="auto"/>
        <w:right w:val="none" w:sz="0" w:space="0" w:color="auto"/>
      </w:divBdr>
    </w:div>
    <w:div w:id="653949569">
      <w:bodyDiv w:val="1"/>
      <w:marLeft w:val="0"/>
      <w:marRight w:val="0"/>
      <w:marTop w:val="0"/>
      <w:marBottom w:val="0"/>
      <w:divBdr>
        <w:top w:val="none" w:sz="0" w:space="0" w:color="auto"/>
        <w:left w:val="none" w:sz="0" w:space="0" w:color="auto"/>
        <w:bottom w:val="none" w:sz="0" w:space="0" w:color="auto"/>
        <w:right w:val="none" w:sz="0" w:space="0" w:color="auto"/>
      </w:divBdr>
    </w:div>
    <w:div w:id="653990426">
      <w:bodyDiv w:val="1"/>
      <w:marLeft w:val="0"/>
      <w:marRight w:val="0"/>
      <w:marTop w:val="0"/>
      <w:marBottom w:val="0"/>
      <w:divBdr>
        <w:top w:val="none" w:sz="0" w:space="0" w:color="auto"/>
        <w:left w:val="none" w:sz="0" w:space="0" w:color="auto"/>
        <w:bottom w:val="none" w:sz="0" w:space="0" w:color="auto"/>
        <w:right w:val="none" w:sz="0" w:space="0" w:color="auto"/>
      </w:divBdr>
    </w:div>
    <w:div w:id="654605297">
      <w:bodyDiv w:val="1"/>
      <w:marLeft w:val="0"/>
      <w:marRight w:val="0"/>
      <w:marTop w:val="0"/>
      <w:marBottom w:val="0"/>
      <w:divBdr>
        <w:top w:val="none" w:sz="0" w:space="0" w:color="auto"/>
        <w:left w:val="none" w:sz="0" w:space="0" w:color="auto"/>
        <w:bottom w:val="none" w:sz="0" w:space="0" w:color="auto"/>
        <w:right w:val="none" w:sz="0" w:space="0" w:color="auto"/>
      </w:divBdr>
    </w:div>
    <w:div w:id="655569530">
      <w:bodyDiv w:val="1"/>
      <w:marLeft w:val="0"/>
      <w:marRight w:val="0"/>
      <w:marTop w:val="0"/>
      <w:marBottom w:val="0"/>
      <w:divBdr>
        <w:top w:val="none" w:sz="0" w:space="0" w:color="auto"/>
        <w:left w:val="none" w:sz="0" w:space="0" w:color="auto"/>
        <w:bottom w:val="none" w:sz="0" w:space="0" w:color="auto"/>
        <w:right w:val="none" w:sz="0" w:space="0" w:color="auto"/>
      </w:divBdr>
    </w:div>
    <w:div w:id="656885465">
      <w:bodyDiv w:val="1"/>
      <w:marLeft w:val="0"/>
      <w:marRight w:val="0"/>
      <w:marTop w:val="0"/>
      <w:marBottom w:val="0"/>
      <w:divBdr>
        <w:top w:val="none" w:sz="0" w:space="0" w:color="auto"/>
        <w:left w:val="none" w:sz="0" w:space="0" w:color="auto"/>
        <w:bottom w:val="none" w:sz="0" w:space="0" w:color="auto"/>
        <w:right w:val="none" w:sz="0" w:space="0" w:color="auto"/>
      </w:divBdr>
    </w:div>
    <w:div w:id="658074771">
      <w:bodyDiv w:val="1"/>
      <w:marLeft w:val="0"/>
      <w:marRight w:val="0"/>
      <w:marTop w:val="0"/>
      <w:marBottom w:val="0"/>
      <w:divBdr>
        <w:top w:val="none" w:sz="0" w:space="0" w:color="auto"/>
        <w:left w:val="none" w:sz="0" w:space="0" w:color="auto"/>
        <w:bottom w:val="none" w:sz="0" w:space="0" w:color="auto"/>
        <w:right w:val="none" w:sz="0" w:space="0" w:color="auto"/>
      </w:divBdr>
    </w:div>
    <w:div w:id="658461585">
      <w:bodyDiv w:val="1"/>
      <w:marLeft w:val="0"/>
      <w:marRight w:val="0"/>
      <w:marTop w:val="0"/>
      <w:marBottom w:val="0"/>
      <w:divBdr>
        <w:top w:val="none" w:sz="0" w:space="0" w:color="auto"/>
        <w:left w:val="none" w:sz="0" w:space="0" w:color="auto"/>
        <w:bottom w:val="none" w:sz="0" w:space="0" w:color="auto"/>
        <w:right w:val="none" w:sz="0" w:space="0" w:color="auto"/>
      </w:divBdr>
    </w:div>
    <w:div w:id="662666860">
      <w:bodyDiv w:val="1"/>
      <w:marLeft w:val="0"/>
      <w:marRight w:val="0"/>
      <w:marTop w:val="0"/>
      <w:marBottom w:val="0"/>
      <w:divBdr>
        <w:top w:val="none" w:sz="0" w:space="0" w:color="auto"/>
        <w:left w:val="none" w:sz="0" w:space="0" w:color="auto"/>
        <w:bottom w:val="none" w:sz="0" w:space="0" w:color="auto"/>
        <w:right w:val="none" w:sz="0" w:space="0" w:color="auto"/>
      </w:divBdr>
    </w:div>
    <w:div w:id="666446143">
      <w:bodyDiv w:val="1"/>
      <w:marLeft w:val="0"/>
      <w:marRight w:val="0"/>
      <w:marTop w:val="0"/>
      <w:marBottom w:val="0"/>
      <w:divBdr>
        <w:top w:val="none" w:sz="0" w:space="0" w:color="auto"/>
        <w:left w:val="none" w:sz="0" w:space="0" w:color="auto"/>
        <w:bottom w:val="none" w:sz="0" w:space="0" w:color="auto"/>
        <w:right w:val="none" w:sz="0" w:space="0" w:color="auto"/>
      </w:divBdr>
    </w:div>
    <w:div w:id="673411076">
      <w:bodyDiv w:val="1"/>
      <w:marLeft w:val="0"/>
      <w:marRight w:val="0"/>
      <w:marTop w:val="0"/>
      <w:marBottom w:val="0"/>
      <w:divBdr>
        <w:top w:val="none" w:sz="0" w:space="0" w:color="auto"/>
        <w:left w:val="none" w:sz="0" w:space="0" w:color="auto"/>
        <w:bottom w:val="none" w:sz="0" w:space="0" w:color="auto"/>
        <w:right w:val="none" w:sz="0" w:space="0" w:color="auto"/>
      </w:divBdr>
    </w:div>
    <w:div w:id="676737376">
      <w:bodyDiv w:val="1"/>
      <w:marLeft w:val="0"/>
      <w:marRight w:val="0"/>
      <w:marTop w:val="0"/>
      <w:marBottom w:val="0"/>
      <w:divBdr>
        <w:top w:val="none" w:sz="0" w:space="0" w:color="auto"/>
        <w:left w:val="none" w:sz="0" w:space="0" w:color="auto"/>
        <w:bottom w:val="none" w:sz="0" w:space="0" w:color="auto"/>
        <w:right w:val="none" w:sz="0" w:space="0" w:color="auto"/>
      </w:divBdr>
    </w:div>
    <w:div w:id="677078807">
      <w:bodyDiv w:val="1"/>
      <w:marLeft w:val="0"/>
      <w:marRight w:val="0"/>
      <w:marTop w:val="0"/>
      <w:marBottom w:val="0"/>
      <w:divBdr>
        <w:top w:val="none" w:sz="0" w:space="0" w:color="auto"/>
        <w:left w:val="none" w:sz="0" w:space="0" w:color="auto"/>
        <w:bottom w:val="none" w:sz="0" w:space="0" w:color="auto"/>
        <w:right w:val="none" w:sz="0" w:space="0" w:color="auto"/>
      </w:divBdr>
    </w:div>
    <w:div w:id="678891754">
      <w:bodyDiv w:val="1"/>
      <w:marLeft w:val="0"/>
      <w:marRight w:val="0"/>
      <w:marTop w:val="0"/>
      <w:marBottom w:val="0"/>
      <w:divBdr>
        <w:top w:val="none" w:sz="0" w:space="0" w:color="auto"/>
        <w:left w:val="none" w:sz="0" w:space="0" w:color="auto"/>
        <w:bottom w:val="none" w:sz="0" w:space="0" w:color="auto"/>
        <w:right w:val="none" w:sz="0" w:space="0" w:color="auto"/>
      </w:divBdr>
    </w:div>
    <w:div w:id="679358138">
      <w:bodyDiv w:val="1"/>
      <w:marLeft w:val="0"/>
      <w:marRight w:val="0"/>
      <w:marTop w:val="0"/>
      <w:marBottom w:val="0"/>
      <w:divBdr>
        <w:top w:val="none" w:sz="0" w:space="0" w:color="auto"/>
        <w:left w:val="none" w:sz="0" w:space="0" w:color="auto"/>
        <w:bottom w:val="none" w:sz="0" w:space="0" w:color="auto"/>
        <w:right w:val="none" w:sz="0" w:space="0" w:color="auto"/>
      </w:divBdr>
      <w:divsChild>
        <w:div w:id="2100251748">
          <w:marLeft w:val="0"/>
          <w:marRight w:val="0"/>
          <w:marTop w:val="0"/>
          <w:marBottom w:val="0"/>
          <w:divBdr>
            <w:top w:val="none" w:sz="0" w:space="0" w:color="auto"/>
            <w:left w:val="none" w:sz="0" w:space="0" w:color="auto"/>
            <w:bottom w:val="none" w:sz="0" w:space="0" w:color="auto"/>
            <w:right w:val="none" w:sz="0" w:space="0" w:color="auto"/>
          </w:divBdr>
          <w:divsChild>
            <w:div w:id="423654271">
              <w:marLeft w:val="0"/>
              <w:marRight w:val="0"/>
              <w:marTop w:val="0"/>
              <w:marBottom w:val="0"/>
              <w:divBdr>
                <w:top w:val="none" w:sz="0" w:space="0" w:color="auto"/>
                <w:left w:val="none" w:sz="0" w:space="0" w:color="auto"/>
                <w:bottom w:val="none" w:sz="0" w:space="0" w:color="auto"/>
                <w:right w:val="none" w:sz="0" w:space="0" w:color="auto"/>
              </w:divBdr>
              <w:divsChild>
                <w:div w:id="1594438910">
                  <w:marLeft w:val="0"/>
                  <w:marRight w:val="0"/>
                  <w:marTop w:val="0"/>
                  <w:marBottom w:val="0"/>
                  <w:divBdr>
                    <w:top w:val="none" w:sz="0" w:space="0" w:color="auto"/>
                    <w:left w:val="none" w:sz="0" w:space="0" w:color="auto"/>
                    <w:bottom w:val="none" w:sz="0" w:space="0" w:color="auto"/>
                    <w:right w:val="none" w:sz="0" w:space="0" w:color="auto"/>
                  </w:divBdr>
                  <w:divsChild>
                    <w:div w:id="75175133">
                      <w:marLeft w:val="0"/>
                      <w:marRight w:val="0"/>
                      <w:marTop w:val="0"/>
                      <w:marBottom w:val="0"/>
                      <w:divBdr>
                        <w:top w:val="none" w:sz="0" w:space="0" w:color="auto"/>
                        <w:left w:val="none" w:sz="0" w:space="0" w:color="auto"/>
                        <w:bottom w:val="none" w:sz="0" w:space="0" w:color="auto"/>
                        <w:right w:val="none" w:sz="0" w:space="0" w:color="auto"/>
                      </w:divBdr>
                      <w:divsChild>
                        <w:div w:id="11479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014863">
      <w:bodyDiv w:val="1"/>
      <w:marLeft w:val="0"/>
      <w:marRight w:val="0"/>
      <w:marTop w:val="0"/>
      <w:marBottom w:val="0"/>
      <w:divBdr>
        <w:top w:val="none" w:sz="0" w:space="0" w:color="auto"/>
        <w:left w:val="none" w:sz="0" w:space="0" w:color="auto"/>
        <w:bottom w:val="none" w:sz="0" w:space="0" w:color="auto"/>
        <w:right w:val="none" w:sz="0" w:space="0" w:color="auto"/>
      </w:divBdr>
      <w:divsChild>
        <w:div w:id="335957842">
          <w:marLeft w:val="0"/>
          <w:marRight w:val="0"/>
          <w:marTop w:val="0"/>
          <w:marBottom w:val="0"/>
          <w:divBdr>
            <w:top w:val="none" w:sz="0" w:space="0" w:color="auto"/>
            <w:left w:val="none" w:sz="0" w:space="0" w:color="auto"/>
            <w:bottom w:val="none" w:sz="0" w:space="0" w:color="auto"/>
            <w:right w:val="none" w:sz="0" w:space="0" w:color="auto"/>
          </w:divBdr>
        </w:div>
      </w:divsChild>
    </w:div>
    <w:div w:id="680861376">
      <w:bodyDiv w:val="1"/>
      <w:marLeft w:val="0"/>
      <w:marRight w:val="0"/>
      <w:marTop w:val="0"/>
      <w:marBottom w:val="0"/>
      <w:divBdr>
        <w:top w:val="none" w:sz="0" w:space="0" w:color="auto"/>
        <w:left w:val="none" w:sz="0" w:space="0" w:color="auto"/>
        <w:bottom w:val="none" w:sz="0" w:space="0" w:color="auto"/>
        <w:right w:val="none" w:sz="0" w:space="0" w:color="auto"/>
      </w:divBdr>
    </w:div>
    <w:div w:id="683626956">
      <w:bodyDiv w:val="1"/>
      <w:marLeft w:val="0"/>
      <w:marRight w:val="0"/>
      <w:marTop w:val="0"/>
      <w:marBottom w:val="0"/>
      <w:divBdr>
        <w:top w:val="none" w:sz="0" w:space="0" w:color="auto"/>
        <w:left w:val="none" w:sz="0" w:space="0" w:color="auto"/>
        <w:bottom w:val="none" w:sz="0" w:space="0" w:color="auto"/>
        <w:right w:val="none" w:sz="0" w:space="0" w:color="auto"/>
      </w:divBdr>
    </w:div>
    <w:div w:id="683746661">
      <w:bodyDiv w:val="1"/>
      <w:marLeft w:val="0"/>
      <w:marRight w:val="0"/>
      <w:marTop w:val="0"/>
      <w:marBottom w:val="0"/>
      <w:divBdr>
        <w:top w:val="none" w:sz="0" w:space="0" w:color="auto"/>
        <w:left w:val="none" w:sz="0" w:space="0" w:color="auto"/>
        <w:bottom w:val="none" w:sz="0" w:space="0" w:color="auto"/>
        <w:right w:val="none" w:sz="0" w:space="0" w:color="auto"/>
      </w:divBdr>
    </w:div>
    <w:div w:id="683942070">
      <w:bodyDiv w:val="1"/>
      <w:marLeft w:val="0"/>
      <w:marRight w:val="0"/>
      <w:marTop w:val="0"/>
      <w:marBottom w:val="0"/>
      <w:divBdr>
        <w:top w:val="none" w:sz="0" w:space="0" w:color="auto"/>
        <w:left w:val="none" w:sz="0" w:space="0" w:color="auto"/>
        <w:bottom w:val="none" w:sz="0" w:space="0" w:color="auto"/>
        <w:right w:val="none" w:sz="0" w:space="0" w:color="auto"/>
      </w:divBdr>
    </w:div>
    <w:div w:id="685908676">
      <w:bodyDiv w:val="1"/>
      <w:marLeft w:val="0"/>
      <w:marRight w:val="0"/>
      <w:marTop w:val="0"/>
      <w:marBottom w:val="0"/>
      <w:divBdr>
        <w:top w:val="none" w:sz="0" w:space="0" w:color="auto"/>
        <w:left w:val="none" w:sz="0" w:space="0" w:color="auto"/>
        <w:bottom w:val="none" w:sz="0" w:space="0" w:color="auto"/>
        <w:right w:val="none" w:sz="0" w:space="0" w:color="auto"/>
      </w:divBdr>
    </w:div>
    <w:div w:id="687219058">
      <w:bodyDiv w:val="1"/>
      <w:marLeft w:val="0"/>
      <w:marRight w:val="0"/>
      <w:marTop w:val="0"/>
      <w:marBottom w:val="0"/>
      <w:divBdr>
        <w:top w:val="none" w:sz="0" w:space="0" w:color="auto"/>
        <w:left w:val="none" w:sz="0" w:space="0" w:color="auto"/>
        <w:bottom w:val="none" w:sz="0" w:space="0" w:color="auto"/>
        <w:right w:val="none" w:sz="0" w:space="0" w:color="auto"/>
      </w:divBdr>
    </w:div>
    <w:div w:id="699555588">
      <w:bodyDiv w:val="1"/>
      <w:marLeft w:val="0"/>
      <w:marRight w:val="0"/>
      <w:marTop w:val="0"/>
      <w:marBottom w:val="0"/>
      <w:divBdr>
        <w:top w:val="none" w:sz="0" w:space="0" w:color="auto"/>
        <w:left w:val="none" w:sz="0" w:space="0" w:color="auto"/>
        <w:bottom w:val="none" w:sz="0" w:space="0" w:color="auto"/>
        <w:right w:val="none" w:sz="0" w:space="0" w:color="auto"/>
      </w:divBdr>
    </w:div>
    <w:div w:id="702292665">
      <w:bodyDiv w:val="1"/>
      <w:marLeft w:val="0"/>
      <w:marRight w:val="0"/>
      <w:marTop w:val="0"/>
      <w:marBottom w:val="0"/>
      <w:divBdr>
        <w:top w:val="none" w:sz="0" w:space="0" w:color="auto"/>
        <w:left w:val="none" w:sz="0" w:space="0" w:color="auto"/>
        <w:bottom w:val="none" w:sz="0" w:space="0" w:color="auto"/>
        <w:right w:val="none" w:sz="0" w:space="0" w:color="auto"/>
      </w:divBdr>
    </w:div>
    <w:div w:id="702361311">
      <w:bodyDiv w:val="1"/>
      <w:marLeft w:val="0"/>
      <w:marRight w:val="0"/>
      <w:marTop w:val="0"/>
      <w:marBottom w:val="0"/>
      <w:divBdr>
        <w:top w:val="none" w:sz="0" w:space="0" w:color="auto"/>
        <w:left w:val="none" w:sz="0" w:space="0" w:color="auto"/>
        <w:bottom w:val="none" w:sz="0" w:space="0" w:color="auto"/>
        <w:right w:val="none" w:sz="0" w:space="0" w:color="auto"/>
      </w:divBdr>
    </w:div>
    <w:div w:id="702439262">
      <w:bodyDiv w:val="1"/>
      <w:marLeft w:val="0"/>
      <w:marRight w:val="0"/>
      <w:marTop w:val="0"/>
      <w:marBottom w:val="0"/>
      <w:divBdr>
        <w:top w:val="none" w:sz="0" w:space="0" w:color="auto"/>
        <w:left w:val="none" w:sz="0" w:space="0" w:color="auto"/>
        <w:bottom w:val="none" w:sz="0" w:space="0" w:color="auto"/>
        <w:right w:val="none" w:sz="0" w:space="0" w:color="auto"/>
      </w:divBdr>
    </w:div>
    <w:div w:id="708385210">
      <w:bodyDiv w:val="1"/>
      <w:marLeft w:val="0"/>
      <w:marRight w:val="0"/>
      <w:marTop w:val="0"/>
      <w:marBottom w:val="0"/>
      <w:divBdr>
        <w:top w:val="none" w:sz="0" w:space="0" w:color="auto"/>
        <w:left w:val="none" w:sz="0" w:space="0" w:color="auto"/>
        <w:bottom w:val="none" w:sz="0" w:space="0" w:color="auto"/>
        <w:right w:val="none" w:sz="0" w:space="0" w:color="auto"/>
      </w:divBdr>
    </w:div>
    <w:div w:id="709762698">
      <w:bodyDiv w:val="1"/>
      <w:marLeft w:val="0"/>
      <w:marRight w:val="0"/>
      <w:marTop w:val="0"/>
      <w:marBottom w:val="0"/>
      <w:divBdr>
        <w:top w:val="none" w:sz="0" w:space="0" w:color="auto"/>
        <w:left w:val="none" w:sz="0" w:space="0" w:color="auto"/>
        <w:bottom w:val="none" w:sz="0" w:space="0" w:color="auto"/>
        <w:right w:val="none" w:sz="0" w:space="0" w:color="auto"/>
      </w:divBdr>
    </w:div>
    <w:div w:id="713232982">
      <w:bodyDiv w:val="1"/>
      <w:marLeft w:val="0"/>
      <w:marRight w:val="0"/>
      <w:marTop w:val="0"/>
      <w:marBottom w:val="0"/>
      <w:divBdr>
        <w:top w:val="none" w:sz="0" w:space="0" w:color="auto"/>
        <w:left w:val="none" w:sz="0" w:space="0" w:color="auto"/>
        <w:bottom w:val="none" w:sz="0" w:space="0" w:color="auto"/>
        <w:right w:val="none" w:sz="0" w:space="0" w:color="auto"/>
      </w:divBdr>
    </w:div>
    <w:div w:id="713457569">
      <w:bodyDiv w:val="1"/>
      <w:marLeft w:val="0"/>
      <w:marRight w:val="0"/>
      <w:marTop w:val="0"/>
      <w:marBottom w:val="0"/>
      <w:divBdr>
        <w:top w:val="none" w:sz="0" w:space="0" w:color="auto"/>
        <w:left w:val="none" w:sz="0" w:space="0" w:color="auto"/>
        <w:bottom w:val="none" w:sz="0" w:space="0" w:color="auto"/>
        <w:right w:val="none" w:sz="0" w:space="0" w:color="auto"/>
      </w:divBdr>
    </w:div>
    <w:div w:id="715088196">
      <w:bodyDiv w:val="1"/>
      <w:marLeft w:val="0"/>
      <w:marRight w:val="0"/>
      <w:marTop w:val="0"/>
      <w:marBottom w:val="0"/>
      <w:divBdr>
        <w:top w:val="none" w:sz="0" w:space="0" w:color="auto"/>
        <w:left w:val="none" w:sz="0" w:space="0" w:color="auto"/>
        <w:bottom w:val="none" w:sz="0" w:space="0" w:color="auto"/>
        <w:right w:val="none" w:sz="0" w:space="0" w:color="auto"/>
      </w:divBdr>
    </w:div>
    <w:div w:id="716468988">
      <w:bodyDiv w:val="1"/>
      <w:marLeft w:val="0"/>
      <w:marRight w:val="0"/>
      <w:marTop w:val="0"/>
      <w:marBottom w:val="0"/>
      <w:divBdr>
        <w:top w:val="none" w:sz="0" w:space="0" w:color="auto"/>
        <w:left w:val="none" w:sz="0" w:space="0" w:color="auto"/>
        <w:bottom w:val="none" w:sz="0" w:space="0" w:color="auto"/>
        <w:right w:val="none" w:sz="0" w:space="0" w:color="auto"/>
      </w:divBdr>
    </w:div>
    <w:div w:id="720984474">
      <w:bodyDiv w:val="1"/>
      <w:marLeft w:val="0"/>
      <w:marRight w:val="0"/>
      <w:marTop w:val="0"/>
      <w:marBottom w:val="0"/>
      <w:divBdr>
        <w:top w:val="none" w:sz="0" w:space="0" w:color="auto"/>
        <w:left w:val="none" w:sz="0" w:space="0" w:color="auto"/>
        <w:bottom w:val="none" w:sz="0" w:space="0" w:color="auto"/>
        <w:right w:val="none" w:sz="0" w:space="0" w:color="auto"/>
      </w:divBdr>
    </w:div>
    <w:div w:id="721175137">
      <w:bodyDiv w:val="1"/>
      <w:marLeft w:val="0"/>
      <w:marRight w:val="0"/>
      <w:marTop w:val="0"/>
      <w:marBottom w:val="0"/>
      <w:divBdr>
        <w:top w:val="none" w:sz="0" w:space="0" w:color="auto"/>
        <w:left w:val="none" w:sz="0" w:space="0" w:color="auto"/>
        <w:bottom w:val="none" w:sz="0" w:space="0" w:color="auto"/>
        <w:right w:val="none" w:sz="0" w:space="0" w:color="auto"/>
      </w:divBdr>
      <w:divsChild>
        <w:div w:id="1884319426">
          <w:marLeft w:val="0"/>
          <w:marRight w:val="0"/>
          <w:marTop w:val="0"/>
          <w:marBottom w:val="0"/>
          <w:divBdr>
            <w:top w:val="none" w:sz="0" w:space="0" w:color="auto"/>
            <w:left w:val="none" w:sz="0" w:space="0" w:color="auto"/>
            <w:bottom w:val="none" w:sz="0" w:space="0" w:color="auto"/>
            <w:right w:val="none" w:sz="0" w:space="0" w:color="auto"/>
          </w:divBdr>
        </w:div>
      </w:divsChild>
    </w:div>
    <w:div w:id="723991087">
      <w:bodyDiv w:val="1"/>
      <w:marLeft w:val="0"/>
      <w:marRight w:val="0"/>
      <w:marTop w:val="0"/>
      <w:marBottom w:val="0"/>
      <w:divBdr>
        <w:top w:val="none" w:sz="0" w:space="0" w:color="auto"/>
        <w:left w:val="none" w:sz="0" w:space="0" w:color="auto"/>
        <w:bottom w:val="none" w:sz="0" w:space="0" w:color="auto"/>
        <w:right w:val="none" w:sz="0" w:space="0" w:color="auto"/>
      </w:divBdr>
      <w:divsChild>
        <w:div w:id="237130645">
          <w:marLeft w:val="0"/>
          <w:marRight w:val="0"/>
          <w:marTop w:val="0"/>
          <w:marBottom w:val="0"/>
          <w:divBdr>
            <w:top w:val="none" w:sz="0" w:space="0" w:color="auto"/>
            <w:left w:val="none" w:sz="0" w:space="0" w:color="auto"/>
            <w:bottom w:val="none" w:sz="0" w:space="0" w:color="auto"/>
            <w:right w:val="none" w:sz="0" w:space="0" w:color="auto"/>
          </w:divBdr>
        </w:div>
        <w:div w:id="427310680">
          <w:marLeft w:val="0"/>
          <w:marRight w:val="0"/>
          <w:marTop w:val="0"/>
          <w:marBottom w:val="0"/>
          <w:divBdr>
            <w:top w:val="none" w:sz="0" w:space="0" w:color="auto"/>
            <w:left w:val="none" w:sz="0" w:space="0" w:color="auto"/>
            <w:bottom w:val="none" w:sz="0" w:space="0" w:color="auto"/>
            <w:right w:val="none" w:sz="0" w:space="0" w:color="auto"/>
          </w:divBdr>
        </w:div>
        <w:div w:id="666907212">
          <w:marLeft w:val="0"/>
          <w:marRight w:val="0"/>
          <w:marTop w:val="0"/>
          <w:marBottom w:val="0"/>
          <w:divBdr>
            <w:top w:val="none" w:sz="0" w:space="0" w:color="auto"/>
            <w:left w:val="none" w:sz="0" w:space="0" w:color="auto"/>
            <w:bottom w:val="none" w:sz="0" w:space="0" w:color="auto"/>
            <w:right w:val="none" w:sz="0" w:space="0" w:color="auto"/>
          </w:divBdr>
        </w:div>
        <w:div w:id="1466897951">
          <w:marLeft w:val="0"/>
          <w:marRight w:val="0"/>
          <w:marTop w:val="0"/>
          <w:marBottom w:val="0"/>
          <w:divBdr>
            <w:top w:val="none" w:sz="0" w:space="0" w:color="auto"/>
            <w:left w:val="none" w:sz="0" w:space="0" w:color="auto"/>
            <w:bottom w:val="none" w:sz="0" w:space="0" w:color="auto"/>
            <w:right w:val="none" w:sz="0" w:space="0" w:color="auto"/>
          </w:divBdr>
        </w:div>
        <w:div w:id="1811047311">
          <w:marLeft w:val="0"/>
          <w:marRight w:val="0"/>
          <w:marTop w:val="0"/>
          <w:marBottom w:val="0"/>
          <w:divBdr>
            <w:top w:val="none" w:sz="0" w:space="0" w:color="auto"/>
            <w:left w:val="none" w:sz="0" w:space="0" w:color="auto"/>
            <w:bottom w:val="none" w:sz="0" w:space="0" w:color="auto"/>
            <w:right w:val="none" w:sz="0" w:space="0" w:color="auto"/>
          </w:divBdr>
        </w:div>
        <w:div w:id="2033142445">
          <w:marLeft w:val="0"/>
          <w:marRight w:val="0"/>
          <w:marTop w:val="0"/>
          <w:marBottom w:val="0"/>
          <w:divBdr>
            <w:top w:val="none" w:sz="0" w:space="0" w:color="auto"/>
            <w:left w:val="none" w:sz="0" w:space="0" w:color="auto"/>
            <w:bottom w:val="none" w:sz="0" w:space="0" w:color="auto"/>
            <w:right w:val="none" w:sz="0" w:space="0" w:color="auto"/>
          </w:divBdr>
        </w:div>
        <w:div w:id="2147357140">
          <w:marLeft w:val="0"/>
          <w:marRight w:val="0"/>
          <w:marTop w:val="0"/>
          <w:marBottom w:val="0"/>
          <w:divBdr>
            <w:top w:val="none" w:sz="0" w:space="0" w:color="auto"/>
            <w:left w:val="none" w:sz="0" w:space="0" w:color="auto"/>
            <w:bottom w:val="none" w:sz="0" w:space="0" w:color="auto"/>
            <w:right w:val="none" w:sz="0" w:space="0" w:color="auto"/>
          </w:divBdr>
        </w:div>
      </w:divsChild>
    </w:div>
    <w:div w:id="724331172">
      <w:bodyDiv w:val="1"/>
      <w:marLeft w:val="0"/>
      <w:marRight w:val="0"/>
      <w:marTop w:val="0"/>
      <w:marBottom w:val="0"/>
      <w:divBdr>
        <w:top w:val="none" w:sz="0" w:space="0" w:color="auto"/>
        <w:left w:val="none" w:sz="0" w:space="0" w:color="auto"/>
        <w:bottom w:val="none" w:sz="0" w:space="0" w:color="auto"/>
        <w:right w:val="none" w:sz="0" w:space="0" w:color="auto"/>
      </w:divBdr>
    </w:div>
    <w:div w:id="724985757">
      <w:bodyDiv w:val="1"/>
      <w:marLeft w:val="0"/>
      <w:marRight w:val="0"/>
      <w:marTop w:val="0"/>
      <w:marBottom w:val="0"/>
      <w:divBdr>
        <w:top w:val="none" w:sz="0" w:space="0" w:color="auto"/>
        <w:left w:val="none" w:sz="0" w:space="0" w:color="auto"/>
        <w:bottom w:val="none" w:sz="0" w:space="0" w:color="auto"/>
        <w:right w:val="none" w:sz="0" w:space="0" w:color="auto"/>
      </w:divBdr>
    </w:div>
    <w:div w:id="726874788">
      <w:bodyDiv w:val="1"/>
      <w:marLeft w:val="0"/>
      <w:marRight w:val="0"/>
      <w:marTop w:val="0"/>
      <w:marBottom w:val="0"/>
      <w:divBdr>
        <w:top w:val="none" w:sz="0" w:space="0" w:color="auto"/>
        <w:left w:val="none" w:sz="0" w:space="0" w:color="auto"/>
        <w:bottom w:val="none" w:sz="0" w:space="0" w:color="auto"/>
        <w:right w:val="none" w:sz="0" w:space="0" w:color="auto"/>
      </w:divBdr>
    </w:div>
    <w:div w:id="731540415">
      <w:bodyDiv w:val="1"/>
      <w:marLeft w:val="0"/>
      <w:marRight w:val="0"/>
      <w:marTop w:val="0"/>
      <w:marBottom w:val="0"/>
      <w:divBdr>
        <w:top w:val="none" w:sz="0" w:space="0" w:color="auto"/>
        <w:left w:val="none" w:sz="0" w:space="0" w:color="auto"/>
        <w:bottom w:val="none" w:sz="0" w:space="0" w:color="auto"/>
        <w:right w:val="none" w:sz="0" w:space="0" w:color="auto"/>
      </w:divBdr>
    </w:div>
    <w:div w:id="733771900">
      <w:bodyDiv w:val="1"/>
      <w:marLeft w:val="0"/>
      <w:marRight w:val="0"/>
      <w:marTop w:val="0"/>
      <w:marBottom w:val="0"/>
      <w:divBdr>
        <w:top w:val="none" w:sz="0" w:space="0" w:color="auto"/>
        <w:left w:val="none" w:sz="0" w:space="0" w:color="auto"/>
        <w:bottom w:val="none" w:sz="0" w:space="0" w:color="auto"/>
        <w:right w:val="none" w:sz="0" w:space="0" w:color="auto"/>
      </w:divBdr>
    </w:div>
    <w:div w:id="735322735">
      <w:bodyDiv w:val="1"/>
      <w:marLeft w:val="0"/>
      <w:marRight w:val="0"/>
      <w:marTop w:val="0"/>
      <w:marBottom w:val="0"/>
      <w:divBdr>
        <w:top w:val="none" w:sz="0" w:space="0" w:color="auto"/>
        <w:left w:val="none" w:sz="0" w:space="0" w:color="auto"/>
        <w:bottom w:val="none" w:sz="0" w:space="0" w:color="auto"/>
        <w:right w:val="none" w:sz="0" w:space="0" w:color="auto"/>
      </w:divBdr>
    </w:div>
    <w:div w:id="735665037">
      <w:bodyDiv w:val="1"/>
      <w:marLeft w:val="0"/>
      <w:marRight w:val="0"/>
      <w:marTop w:val="0"/>
      <w:marBottom w:val="0"/>
      <w:divBdr>
        <w:top w:val="none" w:sz="0" w:space="0" w:color="auto"/>
        <w:left w:val="none" w:sz="0" w:space="0" w:color="auto"/>
        <w:bottom w:val="none" w:sz="0" w:space="0" w:color="auto"/>
        <w:right w:val="none" w:sz="0" w:space="0" w:color="auto"/>
      </w:divBdr>
    </w:div>
    <w:div w:id="736974822">
      <w:bodyDiv w:val="1"/>
      <w:marLeft w:val="0"/>
      <w:marRight w:val="0"/>
      <w:marTop w:val="0"/>
      <w:marBottom w:val="0"/>
      <w:divBdr>
        <w:top w:val="none" w:sz="0" w:space="0" w:color="auto"/>
        <w:left w:val="none" w:sz="0" w:space="0" w:color="auto"/>
        <w:bottom w:val="none" w:sz="0" w:space="0" w:color="auto"/>
        <w:right w:val="none" w:sz="0" w:space="0" w:color="auto"/>
      </w:divBdr>
    </w:div>
    <w:div w:id="739670772">
      <w:bodyDiv w:val="1"/>
      <w:marLeft w:val="0"/>
      <w:marRight w:val="0"/>
      <w:marTop w:val="0"/>
      <w:marBottom w:val="0"/>
      <w:divBdr>
        <w:top w:val="none" w:sz="0" w:space="0" w:color="auto"/>
        <w:left w:val="none" w:sz="0" w:space="0" w:color="auto"/>
        <w:bottom w:val="none" w:sz="0" w:space="0" w:color="auto"/>
        <w:right w:val="none" w:sz="0" w:space="0" w:color="auto"/>
      </w:divBdr>
    </w:div>
    <w:div w:id="741417432">
      <w:bodyDiv w:val="1"/>
      <w:marLeft w:val="0"/>
      <w:marRight w:val="0"/>
      <w:marTop w:val="0"/>
      <w:marBottom w:val="0"/>
      <w:divBdr>
        <w:top w:val="none" w:sz="0" w:space="0" w:color="auto"/>
        <w:left w:val="none" w:sz="0" w:space="0" w:color="auto"/>
        <w:bottom w:val="none" w:sz="0" w:space="0" w:color="auto"/>
        <w:right w:val="none" w:sz="0" w:space="0" w:color="auto"/>
      </w:divBdr>
    </w:div>
    <w:div w:id="742726918">
      <w:bodyDiv w:val="1"/>
      <w:marLeft w:val="0"/>
      <w:marRight w:val="0"/>
      <w:marTop w:val="0"/>
      <w:marBottom w:val="0"/>
      <w:divBdr>
        <w:top w:val="none" w:sz="0" w:space="0" w:color="auto"/>
        <w:left w:val="none" w:sz="0" w:space="0" w:color="auto"/>
        <w:bottom w:val="none" w:sz="0" w:space="0" w:color="auto"/>
        <w:right w:val="none" w:sz="0" w:space="0" w:color="auto"/>
      </w:divBdr>
    </w:div>
    <w:div w:id="742921073">
      <w:bodyDiv w:val="1"/>
      <w:marLeft w:val="0"/>
      <w:marRight w:val="0"/>
      <w:marTop w:val="0"/>
      <w:marBottom w:val="0"/>
      <w:divBdr>
        <w:top w:val="none" w:sz="0" w:space="0" w:color="auto"/>
        <w:left w:val="none" w:sz="0" w:space="0" w:color="auto"/>
        <w:bottom w:val="none" w:sz="0" w:space="0" w:color="auto"/>
        <w:right w:val="none" w:sz="0" w:space="0" w:color="auto"/>
      </w:divBdr>
    </w:div>
    <w:div w:id="746993999">
      <w:bodyDiv w:val="1"/>
      <w:marLeft w:val="0"/>
      <w:marRight w:val="0"/>
      <w:marTop w:val="0"/>
      <w:marBottom w:val="0"/>
      <w:divBdr>
        <w:top w:val="none" w:sz="0" w:space="0" w:color="auto"/>
        <w:left w:val="none" w:sz="0" w:space="0" w:color="auto"/>
        <w:bottom w:val="none" w:sz="0" w:space="0" w:color="auto"/>
        <w:right w:val="none" w:sz="0" w:space="0" w:color="auto"/>
      </w:divBdr>
    </w:div>
    <w:div w:id="747920529">
      <w:bodyDiv w:val="1"/>
      <w:marLeft w:val="0"/>
      <w:marRight w:val="0"/>
      <w:marTop w:val="0"/>
      <w:marBottom w:val="0"/>
      <w:divBdr>
        <w:top w:val="none" w:sz="0" w:space="0" w:color="auto"/>
        <w:left w:val="none" w:sz="0" w:space="0" w:color="auto"/>
        <w:bottom w:val="none" w:sz="0" w:space="0" w:color="auto"/>
        <w:right w:val="none" w:sz="0" w:space="0" w:color="auto"/>
      </w:divBdr>
    </w:div>
    <w:div w:id="747962899">
      <w:bodyDiv w:val="1"/>
      <w:marLeft w:val="0"/>
      <w:marRight w:val="0"/>
      <w:marTop w:val="0"/>
      <w:marBottom w:val="0"/>
      <w:divBdr>
        <w:top w:val="none" w:sz="0" w:space="0" w:color="auto"/>
        <w:left w:val="none" w:sz="0" w:space="0" w:color="auto"/>
        <w:bottom w:val="none" w:sz="0" w:space="0" w:color="auto"/>
        <w:right w:val="none" w:sz="0" w:space="0" w:color="auto"/>
      </w:divBdr>
    </w:div>
    <w:div w:id="751270236">
      <w:bodyDiv w:val="1"/>
      <w:marLeft w:val="0"/>
      <w:marRight w:val="0"/>
      <w:marTop w:val="0"/>
      <w:marBottom w:val="0"/>
      <w:divBdr>
        <w:top w:val="none" w:sz="0" w:space="0" w:color="auto"/>
        <w:left w:val="none" w:sz="0" w:space="0" w:color="auto"/>
        <w:bottom w:val="none" w:sz="0" w:space="0" w:color="auto"/>
        <w:right w:val="none" w:sz="0" w:space="0" w:color="auto"/>
      </w:divBdr>
    </w:div>
    <w:div w:id="752120565">
      <w:bodyDiv w:val="1"/>
      <w:marLeft w:val="0"/>
      <w:marRight w:val="0"/>
      <w:marTop w:val="0"/>
      <w:marBottom w:val="0"/>
      <w:divBdr>
        <w:top w:val="none" w:sz="0" w:space="0" w:color="auto"/>
        <w:left w:val="none" w:sz="0" w:space="0" w:color="auto"/>
        <w:bottom w:val="none" w:sz="0" w:space="0" w:color="auto"/>
        <w:right w:val="none" w:sz="0" w:space="0" w:color="auto"/>
      </w:divBdr>
    </w:div>
    <w:div w:id="752315472">
      <w:bodyDiv w:val="1"/>
      <w:marLeft w:val="0"/>
      <w:marRight w:val="0"/>
      <w:marTop w:val="0"/>
      <w:marBottom w:val="0"/>
      <w:divBdr>
        <w:top w:val="none" w:sz="0" w:space="0" w:color="auto"/>
        <w:left w:val="none" w:sz="0" w:space="0" w:color="auto"/>
        <w:bottom w:val="none" w:sz="0" w:space="0" w:color="auto"/>
        <w:right w:val="none" w:sz="0" w:space="0" w:color="auto"/>
      </w:divBdr>
    </w:div>
    <w:div w:id="761951057">
      <w:bodyDiv w:val="1"/>
      <w:marLeft w:val="0"/>
      <w:marRight w:val="0"/>
      <w:marTop w:val="0"/>
      <w:marBottom w:val="0"/>
      <w:divBdr>
        <w:top w:val="none" w:sz="0" w:space="0" w:color="auto"/>
        <w:left w:val="none" w:sz="0" w:space="0" w:color="auto"/>
        <w:bottom w:val="none" w:sz="0" w:space="0" w:color="auto"/>
        <w:right w:val="none" w:sz="0" w:space="0" w:color="auto"/>
      </w:divBdr>
    </w:div>
    <w:div w:id="764034115">
      <w:bodyDiv w:val="1"/>
      <w:marLeft w:val="0"/>
      <w:marRight w:val="0"/>
      <w:marTop w:val="0"/>
      <w:marBottom w:val="0"/>
      <w:divBdr>
        <w:top w:val="none" w:sz="0" w:space="0" w:color="auto"/>
        <w:left w:val="none" w:sz="0" w:space="0" w:color="auto"/>
        <w:bottom w:val="none" w:sz="0" w:space="0" w:color="auto"/>
        <w:right w:val="none" w:sz="0" w:space="0" w:color="auto"/>
      </w:divBdr>
    </w:div>
    <w:div w:id="777217210">
      <w:bodyDiv w:val="1"/>
      <w:marLeft w:val="0"/>
      <w:marRight w:val="0"/>
      <w:marTop w:val="0"/>
      <w:marBottom w:val="0"/>
      <w:divBdr>
        <w:top w:val="none" w:sz="0" w:space="0" w:color="auto"/>
        <w:left w:val="none" w:sz="0" w:space="0" w:color="auto"/>
        <w:bottom w:val="none" w:sz="0" w:space="0" w:color="auto"/>
        <w:right w:val="none" w:sz="0" w:space="0" w:color="auto"/>
      </w:divBdr>
    </w:div>
    <w:div w:id="781994837">
      <w:bodyDiv w:val="1"/>
      <w:marLeft w:val="0"/>
      <w:marRight w:val="0"/>
      <w:marTop w:val="0"/>
      <w:marBottom w:val="0"/>
      <w:divBdr>
        <w:top w:val="none" w:sz="0" w:space="0" w:color="auto"/>
        <w:left w:val="none" w:sz="0" w:space="0" w:color="auto"/>
        <w:bottom w:val="none" w:sz="0" w:space="0" w:color="auto"/>
        <w:right w:val="none" w:sz="0" w:space="0" w:color="auto"/>
      </w:divBdr>
    </w:div>
    <w:div w:id="786435416">
      <w:bodyDiv w:val="1"/>
      <w:marLeft w:val="0"/>
      <w:marRight w:val="0"/>
      <w:marTop w:val="0"/>
      <w:marBottom w:val="0"/>
      <w:divBdr>
        <w:top w:val="none" w:sz="0" w:space="0" w:color="auto"/>
        <w:left w:val="none" w:sz="0" w:space="0" w:color="auto"/>
        <w:bottom w:val="none" w:sz="0" w:space="0" w:color="auto"/>
        <w:right w:val="none" w:sz="0" w:space="0" w:color="auto"/>
      </w:divBdr>
    </w:div>
    <w:div w:id="787118554">
      <w:bodyDiv w:val="1"/>
      <w:marLeft w:val="0"/>
      <w:marRight w:val="0"/>
      <w:marTop w:val="0"/>
      <w:marBottom w:val="0"/>
      <w:divBdr>
        <w:top w:val="none" w:sz="0" w:space="0" w:color="auto"/>
        <w:left w:val="none" w:sz="0" w:space="0" w:color="auto"/>
        <w:bottom w:val="none" w:sz="0" w:space="0" w:color="auto"/>
        <w:right w:val="none" w:sz="0" w:space="0" w:color="auto"/>
      </w:divBdr>
    </w:div>
    <w:div w:id="788284412">
      <w:bodyDiv w:val="1"/>
      <w:marLeft w:val="0"/>
      <w:marRight w:val="0"/>
      <w:marTop w:val="0"/>
      <w:marBottom w:val="0"/>
      <w:divBdr>
        <w:top w:val="none" w:sz="0" w:space="0" w:color="auto"/>
        <w:left w:val="none" w:sz="0" w:space="0" w:color="auto"/>
        <w:bottom w:val="none" w:sz="0" w:space="0" w:color="auto"/>
        <w:right w:val="none" w:sz="0" w:space="0" w:color="auto"/>
      </w:divBdr>
    </w:div>
    <w:div w:id="791021668">
      <w:bodyDiv w:val="1"/>
      <w:marLeft w:val="0"/>
      <w:marRight w:val="0"/>
      <w:marTop w:val="0"/>
      <w:marBottom w:val="0"/>
      <w:divBdr>
        <w:top w:val="none" w:sz="0" w:space="0" w:color="auto"/>
        <w:left w:val="none" w:sz="0" w:space="0" w:color="auto"/>
        <w:bottom w:val="none" w:sz="0" w:space="0" w:color="auto"/>
        <w:right w:val="none" w:sz="0" w:space="0" w:color="auto"/>
      </w:divBdr>
    </w:div>
    <w:div w:id="793061386">
      <w:bodyDiv w:val="1"/>
      <w:marLeft w:val="0"/>
      <w:marRight w:val="0"/>
      <w:marTop w:val="0"/>
      <w:marBottom w:val="0"/>
      <w:divBdr>
        <w:top w:val="none" w:sz="0" w:space="0" w:color="auto"/>
        <w:left w:val="none" w:sz="0" w:space="0" w:color="auto"/>
        <w:bottom w:val="none" w:sz="0" w:space="0" w:color="auto"/>
        <w:right w:val="none" w:sz="0" w:space="0" w:color="auto"/>
      </w:divBdr>
    </w:div>
    <w:div w:id="793522132">
      <w:bodyDiv w:val="1"/>
      <w:marLeft w:val="0"/>
      <w:marRight w:val="0"/>
      <w:marTop w:val="0"/>
      <w:marBottom w:val="0"/>
      <w:divBdr>
        <w:top w:val="none" w:sz="0" w:space="0" w:color="auto"/>
        <w:left w:val="none" w:sz="0" w:space="0" w:color="auto"/>
        <w:bottom w:val="none" w:sz="0" w:space="0" w:color="auto"/>
        <w:right w:val="none" w:sz="0" w:space="0" w:color="auto"/>
      </w:divBdr>
      <w:divsChild>
        <w:div w:id="61023859">
          <w:marLeft w:val="0"/>
          <w:marRight w:val="0"/>
          <w:marTop w:val="0"/>
          <w:marBottom w:val="0"/>
          <w:divBdr>
            <w:top w:val="none" w:sz="0" w:space="0" w:color="auto"/>
            <w:left w:val="none" w:sz="0" w:space="0" w:color="auto"/>
            <w:bottom w:val="none" w:sz="0" w:space="0" w:color="auto"/>
            <w:right w:val="none" w:sz="0" w:space="0" w:color="auto"/>
          </w:divBdr>
        </w:div>
        <w:div w:id="62413802">
          <w:marLeft w:val="0"/>
          <w:marRight w:val="0"/>
          <w:marTop w:val="0"/>
          <w:marBottom w:val="0"/>
          <w:divBdr>
            <w:top w:val="none" w:sz="0" w:space="0" w:color="auto"/>
            <w:left w:val="none" w:sz="0" w:space="0" w:color="auto"/>
            <w:bottom w:val="none" w:sz="0" w:space="0" w:color="auto"/>
            <w:right w:val="none" w:sz="0" w:space="0" w:color="auto"/>
          </w:divBdr>
        </w:div>
        <w:div w:id="86855575">
          <w:marLeft w:val="0"/>
          <w:marRight w:val="0"/>
          <w:marTop w:val="0"/>
          <w:marBottom w:val="0"/>
          <w:divBdr>
            <w:top w:val="none" w:sz="0" w:space="0" w:color="auto"/>
            <w:left w:val="none" w:sz="0" w:space="0" w:color="auto"/>
            <w:bottom w:val="none" w:sz="0" w:space="0" w:color="auto"/>
            <w:right w:val="none" w:sz="0" w:space="0" w:color="auto"/>
          </w:divBdr>
        </w:div>
        <w:div w:id="157969070">
          <w:marLeft w:val="0"/>
          <w:marRight w:val="0"/>
          <w:marTop w:val="0"/>
          <w:marBottom w:val="0"/>
          <w:divBdr>
            <w:top w:val="none" w:sz="0" w:space="0" w:color="auto"/>
            <w:left w:val="none" w:sz="0" w:space="0" w:color="auto"/>
            <w:bottom w:val="none" w:sz="0" w:space="0" w:color="auto"/>
            <w:right w:val="none" w:sz="0" w:space="0" w:color="auto"/>
          </w:divBdr>
        </w:div>
        <w:div w:id="276572468">
          <w:marLeft w:val="0"/>
          <w:marRight w:val="0"/>
          <w:marTop w:val="0"/>
          <w:marBottom w:val="0"/>
          <w:divBdr>
            <w:top w:val="none" w:sz="0" w:space="0" w:color="auto"/>
            <w:left w:val="none" w:sz="0" w:space="0" w:color="auto"/>
            <w:bottom w:val="none" w:sz="0" w:space="0" w:color="auto"/>
            <w:right w:val="none" w:sz="0" w:space="0" w:color="auto"/>
          </w:divBdr>
        </w:div>
        <w:div w:id="736367421">
          <w:marLeft w:val="0"/>
          <w:marRight w:val="0"/>
          <w:marTop w:val="0"/>
          <w:marBottom w:val="0"/>
          <w:divBdr>
            <w:top w:val="none" w:sz="0" w:space="0" w:color="auto"/>
            <w:left w:val="none" w:sz="0" w:space="0" w:color="auto"/>
            <w:bottom w:val="none" w:sz="0" w:space="0" w:color="auto"/>
            <w:right w:val="none" w:sz="0" w:space="0" w:color="auto"/>
          </w:divBdr>
        </w:div>
        <w:div w:id="813329717">
          <w:marLeft w:val="0"/>
          <w:marRight w:val="0"/>
          <w:marTop w:val="0"/>
          <w:marBottom w:val="0"/>
          <w:divBdr>
            <w:top w:val="none" w:sz="0" w:space="0" w:color="auto"/>
            <w:left w:val="none" w:sz="0" w:space="0" w:color="auto"/>
            <w:bottom w:val="none" w:sz="0" w:space="0" w:color="auto"/>
            <w:right w:val="none" w:sz="0" w:space="0" w:color="auto"/>
          </w:divBdr>
        </w:div>
        <w:div w:id="953829988">
          <w:marLeft w:val="0"/>
          <w:marRight w:val="0"/>
          <w:marTop w:val="0"/>
          <w:marBottom w:val="0"/>
          <w:divBdr>
            <w:top w:val="none" w:sz="0" w:space="0" w:color="auto"/>
            <w:left w:val="none" w:sz="0" w:space="0" w:color="auto"/>
            <w:bottom w:val="none" w:sz="0" w:space="0" w:color="auto"/>
            <w:right w:val="none" w:sz="0" w:space="0" w:color="auto"/>
          </w:divBdr>
        </w:div>
        <w:div w:id="1216812049">
          <w:marLeft w:val="0"/>
          <w:marRight w:val="0"/>
          <w:marTop w:val="0"/>
          <w:marBottom w:val="0"/>
          <w:divBdr>
            <w:top w:val="none" w:sz="0" w:space="0" w:color="auto"/>
            <w:left w:val="none" w:sz="0" w:space="0" w:color="auto"/>
            <w:bottom w:val="none" w:sz="0" w:space="0" w:color="auto"/>
            <w:right w:val="none" w:sz="0" w:space="0" w:color="auto"/>
          </w:divBdr>
        </w:div>
        <w:div w:id="1273198667">
          <w:marLeft w:val="0"/>
          <w:marRight w:val="0"/>
          <w:marTop w:val="0"/>
          <w:marBottom w:val="0"/>
          <w:divBdr>
            <w:top w:val="none" w:sz="0" w:space="0" w:color="auto"/>
            <w:left w:val="none" w:sz="0" w:space="0" w:color="auto"/>
            <w:bottom w:val="none" w:sz="0" w:space="0" w:color="auto"/>
            <w:right w:val="none" w:sz="0" w:space="0" w:color="auto"/>
          </w:divBdr>
        </w:div>
        <w:div w:id="1422066688">
          <w:marLeft w:val="0"/>
          <w:marRight w:val="0"/>
          <w:marTop w:val="0"/>
          <w:marBottom w:val="0"/>
          <w:divBdr>
            <w:top w:val="none" w:sz="0" w:space="0" w:color="auto"/>
            <w:left w:val="none" w:sz="0" w:space="0" w:color="auto"/>
            <w:bottom w:val="none" w:sz="0" w:space="0" w:color="auto"/>
            <w:right w:val="none" w:sz="0" w:space="0" w:color="auto"/>
          </w:divBdr>
        </w:div>
        <w:div w:id="1818763406">
          <w:marLeft w:val="0"/>
          <w:marRight w:val="0"/>
          <w:marTop w:val="0"/>
          <w:marBottom w:val="0"/>
          <w:divBdr>
            <w:top w:val="none" w:sz="0" w:space="0" w:color="auto"/>
            <w:left w:val="none" w:sz="0" w:space="0" w:color="auto"/>
            <w:bottom w:val="none" w:sz="0" w:space="0" w:color="auto"/>
            <w:right w:val="none" w:sz="0" w:space="0" w:color="auto"/>
          </w:divBdr>
        </w:div>
        <w:div w:id="1881631016">
          <w:marLeft w:val="0"/>
          <w:marRight w:val="0"/>
          <w:marTop w:val="0"/>
          <w:marBottom w:val="0"/>
          <w:divBdr>
            <w:top w:val="none" w:sz="0" w:space="0" w:color="auto"/>
            <w:left w:val="none" w:sz="0" w:space="0" w:color="auto"/>
            <w:bottom w:val="none" w:sz="0" w:space="0" w:color="auto"/>
            <w:right w:val="none" w:sz="0" w:space="0" w:color="auto"/>
          </w:divBdr>
        </w:div>
      </w:divsChild>
    </w:div>
    <w:div w:id="794176428">
      <w:bodyDiv w:val="1"/>
      <w:marLeft w:val="0"/>
      <w:marRight w:val="0"/>
      <w:marTop w:val="0"/>
      <w:marBottom w:val="0"/>
      <w:divBdr>
        <w:top w:val="none" w:sz="0" w:space="0" w:color="auto"/>
        <w:left w:val="none" w:sz="0" w:space="0" w:color="auto"/>
        <w:bottom w:val="none" w:sz="0" w:space="0" w:color="auto"/>
        <w:right w:val="none" w:sz="0" w:space="0" w:color="auto"/>
      </w:divBdr>
    </w:div>
    <w:div w:id="796146234">
      <w:bodyDiv w:val="1"/>
      <w:marLeft w:val="0"/>
      <w:marRight w:val="0"/>
      <w:marTop w:val="0"/>
      <w:marBottom w:val="0"/>
      <w:divBdr>
        <w:top w:val="none" w:sz="0" w:space="0" w:color="auto"/>
        <w:left w:val="none" w:sz="0" w:space="0" w:color="auto"/>
        <w:bottom w:val="none" w:sz="0" w:space="0" w:color="auto"/>
        <w:right w:val="none" w:sz="0" w:space="0" w:color="auto"/>
      </w:divBdr>
    </w:div>
    <w:div w:id="797990785">
      <w:bodyDiv w:val="1"/>
      <w:marLeft w:val="0"/>
      <w:marRight w:val="0"/>
      <w:marTop w:val="0"/>
      <w:marBottom w:val="0"/>
      <w:divBdr>
        <w:top w:val="none" w:sz="0" w:space="0" w:color="auto"/>
        <w:left w:val="none" w:sz="0" w:space="0" w:color="auto"/>
        <w:bottom w:val="none" w:sz="0" w:space="0" w:color="auto"/>
        <w:right w:val="none" w:sz="0" w:space="0" w:color="auto"/>
      </w:divBdr>
    </w:div>
    <w:div w:id="800920086">
      <w:bodyDiv w:val="1"/>
      <w:marLeft w:val="0"/>
      <w:marRight w:val="0"/>
      <w:marTop w:val="0"/>
      <w:marBottom w:val="0"/>
      <w:divBdr>
        <w:top w:val="none" w:sz="0" w:space="0" w:color="auto"/>
        <w:left w:val="none" w:sz="0" w:space="0" w:color="auto"/>
        <w:bottom w:val="none" w:sz="0" w:space="0" w:color="auto"/>
        <w:right w:val="none" w:sz="0" w:space="0" w:color="auto"/>
      </w:divBdr>
    </w:div>
    <w:div w:id="806825183">
      <w:bodyDiv w:val="1"/>
      <w:marLeft w:val="0"/>
      <w:marRight w:val="0"/>
      <w:marTop w:val="0"/>
      <w:marBottom w:val="0"/>
      <w:divBdr>
        <w:top w:val="none" w:sz="0" w:space="0" w:color="auto"/>
        <w:left w:val="none" w:sz="0" w:space="0" w:color="auto"/>
        <w:bottom w:val="none" w:sz="0" w:space="0" w:color="auto"/>
        <w:right w:val="none" w:sz="0" w:space="0" w:color="auto"/>
      </w:divBdr>
      <w:divsChild>
        <w:div w:id="1354185710">
          <w:marLeft w:val="0"/>
          <w:marRight w:val="0"/>
          <w:marTop w:val="0"/>
          <w:marBottom w:val="0"/>
          <w:divBdr>
            <w:top w:val="none" w:sz="0" w:space="0" w:color="auto"/>
            <w:left w:val="none" w:sz="0" w:space="0" w:color="auto"/>
            <w:bottom w:val="none" w:sz="0" w:space="0" w:color="auto"/>
            <w:right w:val="none" w:sz="0" w:space="0" w:color="auto"/>
          </w:divBdr>
        </w:div>
      </w:divsChild>
    </w:div>
    <w:div w:id="811169037">
      <w:bodyDiv w:val="1"/>
      <w:marLeft w:val="0"/>
      <w:marRight w:val="0"/>
      <w:marTop w:val="0"/>
      <w:marBottom w:val="0"/>
      <w:divBdr>
        <w:top w:val="none" w:sz="0" w:space="0" w:color="auto"/>
        <w:left w:val="none" w:sz="0" w:space="0" w:color="auto"/>
        <w:bottom w:val="none" w:sz="0" w:space="0" w:color="auto"/>
        <w:right w:val="none" w:sz="0" w:space="0" w:color="auto"/>
      </w:divBdr>
    </w:div>
    <w:div w:id="821434704">
      <w:bodyDiv w:val="1"/>
      <w:marLeft w:val="0"/>
      <w:marRight w:val="0"/>
      <w:marTop w:val="0"/>
      <w:marBottom w:val="0"/>
      <w:divBdr>
        <w:top w:val="none" w:sz="0" w:space="0" w:color="auto"/>
        <w:left w:val="none" w:sz="0" w:space="0" w:color="auto"/>
        <w:bottom w:val="none" w:sz="0" w:space="0" w:color="auto"/>
        <w:right w:val="none" w:sz="0" w:space="0" w:color="auto"/>
      </w:divBdr>
    </w:div>
    <w:div w:id="822502756">
      <w:bodyDiv w:val="1"/>
      <w:marLeft w:val="0"/>
      <w:marRight w:val="0"/>
      <w:marTop w:val="0"/>
      <w:marBottom w:val="0"/>
      <w:divBdr>
        <w:top w:val="none" w:sz="0" w:space="0" w:color="auto"/>
        <w:left w:val="none" w:sz="0" w:space="0" w:color="auto"/>
        <w:bottom w:val="none" w:sz="0" w:space="0" w:color="auto"/>
        <w:right w:val="none" w:sz="0" w:space="0" w:color="auto"/>
      </w:divBdr>
    </w:div>
    <w:div w:id="823204480">
      <w:bodyDiv w:val="1"/>
      <w:marLeft w:val="0"/>
      <w:marRight w:val="0"/>
      <w:marTop w:val="0"/>
      <w:marBottom w:val="0"/>
      <w:divBdr>
        <w:top w:val="none" w:sz="0" w:space="0" w:color="auto"/>
        <w:left w:val="none" w:sz="0" w:space="0" w:color="auto"/>
        <w:bottom w:val="none" w:sz="0" w:space="0" w:color="auto"/>
        <w:right w:val="none" w:sz="0" w:space="0" w:color="auto"/>
      </w:divBdr>
      <w:divsChild>
        <w:div w:id="985234839">
          <w:marLeft w:val="0"/>
          <w:marRight w:val="0"/>
          <w:marTop w:val="0"/>
          <w:marBottom w:val="0"/>
          <w:divBdr>
            <w:top w:val="none" w:sz="0" w:space="0" w:color="auto"/>
            <w:left w:val="none" w:sz="0" w:space="0" w:color="auto"/>
            <w:bottom w:val="none" w:sz="0" w:space="0" w:color="auto"/>
            <w:right w:val="none" w:sz="0" w:space="0" w:color="auto"/>
          </w:divBdr>
          <w:divsChild>
            <w:div w:id="384838053">
              <w:marLeft w:val="0"/>
              <w:marRight w:val="0"/>
              <w:marTop w:val="0"/>
              <w:marBottom w:val="0"/>
              <w:divBdr>
                <w:top w:val="none" w:sz="0" w:space="0" w:color="auto"/>
                <w:left w:val="none" w:sz="0" w:space="0" w:color="auto"/>
                <w:bottom w:val="none" w:sz="0" w:space="0" w:color="auto"/>
                <w:right w:val="none" w:sz="0" w:space="0" w:color="auto"/>
              </w:divBdr>
            </w:div>
            <w:div w:id="442923218">
              <w:marLeft w:val="0"/>
              <w:marRight w:val="0"/>
              <w:marTop w:val="0"/>
              <w:marBottom w:val="0"/>
              <w:divBdr>
                <w:top w:val="none" w:sz="0" w:space="0" w:color="auto"/>
                <w:left w:val="none" w:sz="0" w:space="0" w:color="auto"/>
                <w:bottom w:val="none" w:sz="0" w:space="0" w:color="auto"/>
                <w:right w:val="none" w:sz="0" w:space="0" w:color="auto"/>
              </w:divBdr>
            </w:div>
            <w:div w:id="492525326">
              <w:marLeft w:val="0"/>
              <w:marRight w:val="0"/>
              <w:marTop w:val="0"/>
              <w:marBottom w:val="0"/>
              <w:divBdr>
                <w:top w:val="none" w:sz="0" w:space="0" w:color="auto"/>
                <w:left w:val="none" w:sz="0" w:space="0" w:color="auto"/>
                <w:bottom w:val="none" w:sz="0" w:space="0" w:color="auto"/>
                <w:right w:val="none" w:sz="0" w:space="0" w:color="auto"/>
              </w:divBdr>
            </w:div>
            <w:div w:id="673143079">
              <w:marLeft w:val="0"/>
              <w:marRight w:val="0"/>
              <w:marTop w:val="0"/>
              <w:marBottom w:val="0"/>
              <w:divBdr>
                <w:top w:val="none" w:sz="0" w:space="0" w:color="auto"/>
                <w:left w:val="none" w:sz="0" w:space="0" w:color="auto"/>
                <w:bottom w:val="none" w:sz="0" w:space="0" w:color="auto"/>
                <w:right w:val="none" w:sz="0" w:space="0" w:color="auto"/>
              </w:divBdr>
            </w:div>
            <w:div w:id="769397790">
              <w:marLeft w:val="0"/>
              <w:marRight w:val="0"/>
              <w:marTop w:val="0"/>
              <w:marBottom w:val="0"/>
              <w:divBdr>
                <w:top w:val="none" w:sz="0" w:space="0" w:color="auto"/>
                <w:left w:val="none" w:sz="0" w:space="0" w:color="auto"/>
                <w:bottom w:val="none" w:sz="0" w:space="0" w:color="auto"/>
                <w:right w:val="none" w:sz="0" w:space="0" w:color="auto"/>
              </w:divBdr>
            </w:div>
            <w:div w:id="866797333">
              <w:marLeft w:val="0"/>
              <w:marRight w:val="0"/>
              <w:marTop w:val="0"/>
              <w:marBottom w:val="0"/>
              <w:divBdr>
                <w:top w:val="none" w:sz="0" w:space="0" w:color="auto"/>
                <w:left w:val="none" w:sz="0" w:space="0" w:color="auto"/>
                <w:bottom w:val="none" w:sz="0" w:space="0" w:color="auto"/>
                <w:right w:val="none" w:sz="0" w:space="0" w:color="auto"/>
              </w:divBdr>
            </w:div>
            <w:div w:id="872423278">
              <w:marLeft w:val="0"/>
              <w:marRight w:val="0"/>
              <w:marTop w:val="0"/>
              <w:marBottom w:val="0"/>
              <w:divBdr>
                <w:top w:val="none" w:sz="0" w:space="0" w:color="auto"/>
                <w:left w:val="none" w:sz="0" w:space="0" w:color="auto"/>
                <w:bottom w:val="none" w:sz="0" w:space="0" w:color="auto"/>
                <w:right w:val="none" w:sz="0" w:space="0" w:color="auto"/>
              </w:divBdr>
            </w:div>
            <w:div w:id="1059210582">
              <w:marLeft w:val="0"/>
              <w:marRight w:val="0"/>
              <w:marTop w:val="0"/>
              <w:marBottom w:val="0"/>
              <w:divBdr>
                <w:top w:val="none" w:sz="0" w:space="0" w:color="auto"/>
                <w:left w:val="none" w:sz="0" w:space="0" w:color="auto"/>
                <w:bottom w:val="none" w:sz="0" w:space="0" w:color="auto"/>
                <w:right w:val="none" w:sz="0" w:space="0" w:color="auto"/>
              </w:divBdr>
            </w:div>
            <w:div w:id="1153595825">
              <w:marLeft w:val="0"/>
              <w:marRight w:val="0"/>
              <w:marTop w:val="0"/>
              <w:marBottom w:val="0"/>
              <w:divBdr>
                <w:top w:val="none" w:sz="0" w:space="0" w:color="auto"/>
                <w:left w:val="none" w:sz="0" w:space="0" w:color="auto"/>
                <w:bottom w:val="none" w:sz="0" w:space="0" w:color="auto"/>
                <w:right w:val="none" w:sz="0" w:space="0" w:color="auto"/>
              </w:divBdr>
            </w:div>
            <w:div w:id="1195774653">
              <w:marLeft w:val="0"/>
              <w:marRight w:val="0"/>
              <w:marTop w:val="0"/>
              <w:marBottom w:val="0"/>
              <w:divBdr>
                <w:top w:val="none" w:sz="0" w:space="0" w:color="auto"/>
                <w:left w:val="none" w:sz="0" w:space="0" w:color="auto"/>
                <w:bottom w:val="none" w:sz="0" w:space="0" w:color="auto"/>
                <w:right w:val="none" w:sz="0" w:space="0" w:color="auto"/>
              </w:divBdr>
            </w:div>
            <w:div w:id="1292904622">
              <w:marLeft w:val="0"/>
              <w:marRight w:val="0"/>
              <w:marTop w:val="0"/>
              <w:marBottom w:val="0"/>
              <w:divBdr>
                <w:top w:val="none" w:sz="0" w:space="0" w:color="auto"/>
                <w:left w:val="none" w:sz="0" w:space="0" w:color="auto"/>
                <w:bottom w:val="none" w:sz="0" w:space="0" w:color="auto"/>
                <w:right w:val="none" w:sz="0" w:space="0" w:color="auto"/>
              </w:divBdr>
            </w:div>
            <w:div w:id="1293711315">
              <w:marLeft w:val="0"/>
              <w:marRight w:val="0"/>
              <w:marTop w:val="0"/>
              <w:marBottom w:val="0"/>
              <w:divBdr>
                <w:top w:val="none" w:sz="0" w:space="0" w:color="auto"/>
                <w:left w:val="none" w:sz="0" w:space="0" w:color="auto"/>
                <w:bottom w:val="none" w:sz="0" w:space="0" w:color="auto"/>
                <w:right w:val="none" w:sz="0" w:space="0" w:color="auto"/>
              </w:divBdr>
            </w:div>
            <w:div w:id="1302348572">
              <w:marLeft w:val="0"/>
              <w:marRight w:val="0"/>
              <w:marTop w:val="0"/>
              <w:marBottom w:val="0"/>
              <w:divBdr>
                <w:top w:val="none" w:sz="0" w:space="0" w:color="auto"/>
                <w:left w:val="none" w:sz="0" w:space="0" w:color="auto"/>
                <w:bottom w:val="none" w:sz="0" w:space="0" w:color="auto"/>
                <w:right w:val="none" w:sz="0" w:space="0" w:color="auto"/>
              </w:divBdr>
            </w:div>
            <w:div w:id="1389109058">
              <w:marLeft w:val="0"/>
              <w:marRight w:val="0"/>
              <w:marTop w:val="0"/>
              <w:marBottom w:val="0"/>
              <w:divBdr>
                <w:top w:val="none" w:sz="0" w:space="0" w:color="auto"/>
                <w:left w:val="none" w:sz="0" w:space="0" w:color="auto"/>
                <w:bottom w:val="none" w:sz="0" w:space="0" w:color="auto"/>
                <w:right w:val="none" w:sz="0" w:space="0" w:color="auto"/>
              </w:divBdr>
            </w:div>
            <w:div w:id="1608345198">
              <w:marLeft w:val="0"/>
              <w:marRight w:val="0"/>
              <w:marTop w:val="0"/>
              <w:marBottom w:val="0"/>
              <w:divBdr>
                <w:top w:val="none" w:sz="0" w:space="0" w:color="auto"/>
                <w:left w:val="none" w:sz="0" w:space="0" w:color="auto"/>
                <w:bottom w:val="none" w:sz="0" w:space="0" w:color="auto"/>
                <w:right w:val="none" w:sz="0" w:space="0" w:color="auto"/>
              </w:divBdr>
            </w:div>
            <w:div w:id="1927493095">
              <w:marLeft w:val="0"/>
              <w:marRight w:val="0"/>
              <w:marTop w:val="0"/>
              <w:marBottom w:val="0"/>
              <w:divBdr>
                <w:top w:val="none" w:sz="0" w:space="0" w:color="auto"/>
                <w:left w:val="none" w:sz="0" w:space="0" w:color="auto"/>
                <w:bottom w:val="none" w:sz="0" w:space="0" w:color="auto"/>
                <w:right w:val="none" w:sz="0" w:space="0" w:color="auto"/>
              </w:divBdr>
            </w:div>
            <w:div w:id="2074765938">
              <w:marLeft w:val="0"/>
              <w:marRight w:val="0"/>
              <w:marTop w:val="0"/>
              <w:marBottom w:val="0"/>
              <w:divBdr>
                <w:top w:val="none" w:sz="0" w:space="0" w:color="auto"/>
                <w:left w:val="none" w:sz="0" w:space="0" w:color="auto"/>
                <w:bottom w:val="none" w:sz="0" w:space="0" w:color="auto"/>
                <w:right w:val="none" w:sz="0" w:space="0" w:color="auto"/>
              </w:divBdr>
            </w:div>
            <w:div w:id="2145615816">
              <w:marLeft w:val="0"/>
              <w:marRight w:val="0"/>
              <w:marTop w:val="0"/>
              <w:marBottom w:val="0"/>
              <w:divBdr>
                <w:top w:val="none" w:sz="0" w:space="0" w:color="auto"/>
                <w:left w:val="none" w:sz="0" w:space="0" w:color="auto"/>
                <w:bottom w:val="none" w:sz="0" w:space="0" w:color="auto"/>
                <w:right w:val="none" w:sz="0" w:space="0" w:color="auto"/>
              </w:divBdr>
            </w:div>
          </w:divsChild>
        </w:div>
        <w:div w:id="1443921033">
          <w:marLeft w:val="0"/>
          <w:marRight w:val="0"/>
          <w:marTop w:val="0"/>
          <w:marBottom w:val="0"/>
          <w:divBdr>
            <w:top w:val="none" w:sz="0" w:space="0" w:color="auto"/>
            <w:left w:val="none" w:sz="0" w:space="0" w:color="auto"/>
            <w:bottom w:val="none" w:sz="0" w:space="0" w:color="auto"/>
            <w:right w:val="none" w:sz="0" w:space="0" w:color="auto"/>
          </w:divBdr>
          <w:divsChild>
            <w:div w:id="475630">
              <w:marLeft w:val="0"/>
              <w:marRight w:val="0"/>
              <w:marTop w:val="0"/>
              <w:marBottom w:val="0"/>
              <w:divBdr>
                <w:top w:val="none" w:sz="0" w:space="0" w:color="auto"/>
                <w:left w:val="none" w:sz="0" w:space="0" w:color="auto"/>
                <w:bottom w:val="none" w:sz="0" w:space="0" w:color="auto"/>
                <w:right w:val="none" w:sz="0" w:space="0" w:color="auto"/>
              </w:divBdr>
            </w:div>
            <w:div w:id="33504131">
              <w:marLeft w:val="0"/>
              <w:marRight w:val="0"/>
              <w:marTop w:val="0"/>
              <w:marBottom w:val="0"/>
              <w:divBdr>
                <w:top w:val="none" w:sz="0" w:space="0" w:color="auto"/>
                <w:left w:val="none" w:sz="0" w:space="0" w:color="auto"/>
                <w:bottom w:val="none" w:sz="0" w:space="0" w:color="auto"/>
                <w:right w:val="none" w:sz="0" w:space="0" w:color="auto"/>
              </w:divBdr>
            </w:div>
            <w:div w:id="78983512">
              <w:marLeft w:val="0"/>
              <w:marRight w:val="0"/>
              <w:marTop w:val="0"/>
              <w:marBottom w:val="0"/>
              <w:divBdr>
                <w:top w:val="none" w:sz="0" w:space="0" w:color="auto"/>
                <w:left w:val="none" w:sz="0" w:space="0" w:color="auto"/>
                <w:bottom w:val="none" w:sz="0" w:space="0" w:color="auto"/>
                <w:right w:val="none" w:sz="0" w:space="0" w:color="auto"/>
              </w:divBdr>
            </w:div>
            <w:div w:id="281810304">
              <w:marLeft w:val="0"/>
              <w:marRight w:val="0"/>
              <w:marTop w:val="0"/>
              <w:marBottom w:val="0"/>
              <w:divBdr>
                <w:top w:val="none" w:sz="0" w:space="0" w:color="auto"/>
                <w:left w:val="none" w:sz="0" w:space="0" w:color="auto"/>
                <w:bottom w:val="none" w:sz="0" w:space="0" w:color="auto"/>
                <w:right w:val="none" w:sz="0" w:space="0" w:color="auto"/>
              </w:divBdr>
            </w:div>
            <w:div w:id="480656084">
              <w:marLeft w:val="0"/>
              <w:marRight w:val="0"/>
              <w:marTop w:val="0"/>
              <w:marBottom w:val="0"/>
              <w:divBdr>
                <w:top w:val="none" w:sz="0" w:space="0" w:color="auto"/>
                <w:left w:val="none" w:sz="0" w:space="0" w:color="auto"/>
                <w:bottom w:val="none" w:sz="0" w:space="0" w:color="auto"/>
                <w:right w:val="none" w:sz="0" w:space="0" w:color="auto"/>
              </w:divBdr>
            </w:div>
            <w:div w:id="965310033">
              <w:marLeft w:val="0"/>
              <w:marRight w:val="0"/>
              <w:marTop w:val="0"/>
              <w:marBottom w:val="0"/>
              <w:divBdr>
                <w:top w:val="none" w:sz="0" w:space="0" w:color="auto"/>
                <w:left w:val="none" w:sz="0" w:space="0" w:color="auto"/>
                <w:bottom w:val="none" w:sz="0" w:space="0" w:color="auto"/>
                <w:right w:val="none" w:sz="0" w:space="0" w:color="auto"/>
              </w:divBdr>
            </w:div>
            <w:div w:id="1007512929">
              <w:marLeft w:val="0"/>
              <w:marRight w:val="0"/>
              <w:marTop w:val="0"/>
              <w:marBottom w:val="0"/>
              <w:divBdr>
                <w:top w:val="none" w:sz="0" w:space="0" w:color="auto"/>
                <w:left w:val="none" w:sz="0" w:space="0" w:color="auto"/>
                <w:bottom w:val="none" w:sz="0" w:space="0" w:color="auto"/>
                <w:right w:val="none" w:sz="0" w:space="0" w:color="auto"/>
              </w:divBdr>
            </w:div>
            <w:div w:id="1018505972">
              <w:marLeft w:val="0"/>
              <w:marRight w:val="0"/>
              <w:marTop w:val="0"/>
              <w:marBottom w:val="0"/>
              <w:divBdr>
                <w:top w:val="none" w:sz="0" w:space="0" w:color="auto"/>
                <w:left w:val="none" w:sz="0" w:space="0" w:color="auto"/>
                <w:bottom w:val="none" w:sz="0" w:space="0" w:color="auto"/>
                <w:right w:val="none" w:sz="0" w:space="0" w:color="auto"/>
              </w:divBdr>
            </w:div>
            <w:div w:id="1550339565">
              <w:marLeft w:val="0"/>
              <w:marRight w:val="0"/>
              <w:marTop w:val="0"/>
              <w:marBottom w:val="0"/>
              <w:divBdr>
                <w:top w:val="none" w:sz="0" w:space="0" w:color="auto"/>
                <w:left w:val="none" w:sz="0" w:space="0" w:color="auto"/>
                <w:bottom w:val="none" w:sz="0" w:space="0" w:color="auto"/>
                <w:right w:val="none" w:sz="0" w:space="0" w:color="auto"/>
              </w:divBdr>
            </w:div>
            <w:div w:id="176864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13302">
      <w:bodyDiv w:val="1"/>
      <w:marLeft w:val="0"/>
      <w:marRight w:val="0"/>
      <w:marTop w:val="0"/>
      <w:marBottom w:val="0"/>
      <w:divBdr>
        <w:top w:val="none" w:sz="0" w:space="0" w:color="auto"/>
        <w:left w:val="none" w:sz="0" w:space="0" w:color="auto"/>
        <w:bottom w:val="none" w:sz="0" w:space="0" w:color="auto"/>
        <w:right w:val="none" w:sz="0" w:space="0" w:color="auto"/>
      </w:divBdr>
    </w:div>
    <w:div w:id="832064029">
      <w:bodyDiv w:val="1"/>
      <w:marLeft w:val="0"/>
      <w:marRight w:val="0"/>
      <w:marTop w:val="0"/>
      <w:marBottom w:val="0"/>
      <w:divBdr>
        <w:top w:val="none" w:sz="0" w:space="0" w:color="auto"/>
        <w:left w:val="none" w:sz="0" w:space="0" w:color="auto"/>
        <w:bottom w:val="none" w:sz="0" w:space="0" w:color="auto"/>
        <w:right w:val="none" w:sz="0" w:space="0" w:color="auto"/>
      </w:divBdr>
      <w:divsChild>
        <w:div w:id="1656713852">
          <w:marLeft w:val="0"/>
          <w:marRight w:val="0"/>
          <w:marTop w:val="0"/>
          <w:marBottom w:val="0"/>
          <w:divBdr>
            <w:top w:val="none" w:sz="0" w:space="0" w:color="auto"/>
            <w:left w:val="none" w:sz="0" w:space="0" w:color="auto"/>
            <w:bottom w:val="none" w:sz="0" w:space="0" w:color="auto"/>
            <w:right w:val="none" w:sz="0" w:space="0" w:color="auto"/>
          </w:divBdr>
        </w:div>
      </w:divsChild>
    </w:div>
    <w:div w:id="833836565">
      <w:bodyDiv w:val="1"/>
      <w:marLeft w:val="0"/>
      <w:marRight w:val="0"/>
      <w:marTop w:val="0"/>
      <w:marBottom w:val="0"/>
      <w:divBdr>
        <w:top w:val="none" w:sz="0" w:space="0" w:color="auto"/>
        <w:left w:val="none" w:sz="0" w:space="0" w:color="auto"/>
        <w:bottom w:val="none" w:sz="0" w:space="0" w:color="auto"/>
        <w:right w:val="none" w:sz="0" w:space="0" w:color="auto"/>
      </w:divBdr>
    </w:div>
    <w:div w:id="840000277">
      <w:bodyDiv w:val="1"/>
      <w:marLeft w:val="0"/>
      <w:marRight w:val="0"/>
      <w:marTop w:val="0"/>
      <w:marBottom w:val="0"/>
      <w:divBdr>
        <w:top w:val="none" w:sz="0" w:space="0" w:color="auto"/>
        <w:left w:val="none" w:sz="0" w:space="0" w:color="auto"/>
        <w:bottom w:val="none" w:sz="0" w:space="0" w:color="auto"/>
        <w:right w:val="none" w:sz="0" w:space="0" w:color="auto"/>
      </w:divBdr>
    </w:div>
    <w:div w:id="840703124">
      <w:bodyDiv w:val="1"/>
      <w:marLeft w:val="0"/>
      <w:marRight w:val="0"/>
      <w:marTop w:val="0"/>
      <w:marBottom w:val="0"/>
      <w:divBdr>
        <w:top w:val="none" w:sz="0" w:space="0" w:color="auto"/>
        <w:left w:val="none" w:sz="0" w:space="0" w:color="auto"/>
        <w:bottom w:val="none" w:sz="0" w:space="0" w:color="auto"/>
        <w:right w:val="none" w:sz="0" w:space="0" w:color="auto"/>
      </w:divBdr>
    </w:div>
    <w:div w:id="841896828">
      <w:bodyDiv w:val="1"/>
      <w:marLeft w:val="0"/>
      <w:marRight w:val="0"/>
      <w:marTop w:val="0"/>
      <w:marBottom w:val="0"/>
      <w:divBdr>
        <w:top w:val="none" w:sz="0" w:space="0" w:color="auto"/>
        <w:left w:val="none" w:sz="0" w:space="0" w:color="auto"/>
        <w:bottom w:val="none" w:sz="0" w:space="0" w:color="auto"/>
        <w:right w:val="none" w:sz="0" w:space="0" w:color="auto"/>
      </w:divBdr>
    </w:div>
    <w:div w:id="846212801">
      <w:bodyDiv w:val="1"/>
      <w:marLeft w:val="0"/>
      <w:marRight w:val="0"/>
      <w:marTop w:val="0"/>
      <w:marBottom w:val="0"/>
      <w:divBdr>
        <w:top w:val="none" w:sz="0" w:space="0" w:color="auto"/>
        <w:left w:val="none" w:sz="0" w:space="0" w:color="auto"/>
        <w:bottom w:val="none" w:sz="0" w:space="0" w:color="auto"/>
        <w:right w:val="none" w:sz="0" w:space="0" w:color="auto"/>
      </w:divBdr>
      <w:divsChild>
        <w:div w:id="143277088">
          <w:marLeft w:val="0"/>
          <w:marRight w:val="0"/>
          <w:marTop w:val="0"/>
          <w:marBottom w:val="0"/>
          <w:divBdr>
            <w:top w:val="none" w:sz="0" w:space="0" w:color="auto"/>
            <w:left w:val="none" w:sz="0" w:space="0" w:color="auto"/>
            <w:bottom w:val="none" w:sz="0" w:space="0" w:color="auto"/>
            <w:right w:val="none" w:sz="0" w:space="0" w:color="auto"/>
          </w:divBdr>
        </w:div>
      </w:divsChild>
    </w:div>
    <w:div w:id="846411109">
      <w:bodyDiv w:val="1"/>
      <w:marLeft w:val="0"/>
      <w:marRight w:val="0"/>
      <w:marTop w:val="0"/>
      <w:marBottom w:val="0"/>
      <w:divBdr>
        <w:top w:val="none" w:sz="0" w:space="0" w:color="auto"/>
        <w:left w:val="none" w:sz="0" w:space="0" w:color="auto"/>
        <w:bottom w:val="none" w:sz="0" w:space="0" w:color="auto"/>
        <w:right w:val="none" w:sz="0" w:space="0" w:color="auto"/>
      </w:divBdr>
    </w:div>
    <w:div w:id="847913283">
      <w:bodyDiv w:val="1"/>
      <w:marLeft w:val="0"/>
      <w:marRight w:val="0"/>
      <w:marTop w:val="0"/>
      <w:marBottom w:val="0"/>
      <w:divBdr>
        <w:top w:val="none" w:sz="0" w:space="0" w:color="auto"/>
        <w:left w:val="none" w:sz="0" w:space="0" w:color="auto"/>
        <w:bottom w:val="none" w:sz="0" w:space="0" w:color="auto"/>
        <w:right w:val="none" w:sz="0" w:space="0" w:color="auto"/>
      </w:divBdr>
    </w:div>
    <w:div w:id="851070746">
      <w:bodyDiv w:val="1"/>
      <w:marLeft w:val="0"/>
      <w:marRight w:val="0"/>
      <w:marTop w:val="0"/>
      <w:marBottom w:val="0"/>
      <w:divBdr>
        <w:top w:val="none" w:sz="0" w:space="0" w:color="auto"/>
        <w:left w:val="none" w:sz="0" w:space="0" w:color="auto"/>
        <w:bottom w:val="none" w:sz="0" w:space="0" w:color="auto"/>
        <w:right w:val="none" w:sz="0" w:space="0" w:color="auto"/>
      </w:divBdr>
    </w:div>
    <w:div w:id="852575171">
      <w:bodyDiv w:val="1"/>
      <w:marLeft w:val="0"/>
      <w:marRight w:val="0"/>
      <w:marTop w:val="0"/>
      <w:marBottom w:val="0"/>
      <w:divBdr>
        <w:top w:val="none" w:sz="0" w:space="0" w:color="auto"/>
        <w:left w:val="none" w:sz="0" w:space="0" w:color="auto"/>
        <w:bottom w:val="none" w:sz="0" w:space="0" w:color="auto"/>
        <w:right w:val="none" w:sz="0" w:space="0" w:color="auto"/>
      </w:divBdr>
    </w:div>
    <w:div w:id="856383890">
      <w:bodyDiv w:val="1"/>
      <w:marLeft w:val="0"/>
      <w:marRight w:val="0"/>
      <w:marTop w:val="0"/>
      <w:marBottom w:val="0"/>
      <w:divBdr>
        <w:top w:val="none" w:sz="0" w:space="0" w:color="auto"/>
        <w:left w:val="none" w:sz="0" w:space="0" w:color="auto"/>
        <w:bottom w:val="none" w:sz="0" w:space="0" w:color="auto"/>
        <w:right w:val="none" w:sz="0" w:space="0" w:color="auto"/>
      </w:divBdr>
      <w:divsChild>
        <w:div w:id="1672443106">
          <w:marLeft w:val="0"/>
          <w:marRight w:val="0"/>
          <w:marTop w:val="0"/>
          <w:marBottom w:val="0"/>
          <w:divBdr>
            <w:top w:val="none" w:sz="0" w:space="0" w:color="auto"/>
            <w:left w:val="none" w:sz="0" w:space="0" w:color="auto"/>
            <w:bottom w:val="none" w:sz="0" w:space="0" w:color="auto"/>
            <w:right w:val="none" w:sz="0" w:space="0" w:color="auto"/>
          </w:divBdr>
        </w:div>
      </w:divsChild>
    </w:div>
    <w:div w:id="857736311">
      <w:bodyDiv w:val="1"/>
      <w:marLeft w:val="0"/>
      <w:marRight w:val="0"/>
      <w:marTop w:val="0"/>
      <w:marBottom w:val="0"/>
      <w:divBdr>
        <w:top w:val="none" w:sz="0" w:space="0" w:color="auto"/>
        <w:left w:val="none" w:sz="0" w:space="0" w:color="auto"/>
        <w:bottom w:val="none" w:sz="0" w:space="0" w:color="auto"/>
        <w:right w:val="none" w:sz="0" w:space="0" w:color="auto"/>
      </w:divBdr>
    </w:div>
    <w:div w:id="858156363">
      <w:bodyDiv w:val="1"/>
      <w:marLeft w:val="0"/>
      <w:marRight w:val="0"/>
      <w:marTop w:val="0"/>
      <w:marBottom w:val="0"/>
      <w:divBdr>
        <w:top w:val="none" w:sz="0" w:space="0" w:color="auto"/>
        <w:left w:val="none" w:sz="0" w:space="0" w:color="auto"/>
        <w:bottom w:val="none" w:sz="0" w:space="0" w:color="auto"/>
        <w:right w:val="none" w:sz="0" w:space="0" w:color="auto"/>
      </w:divBdr>
    </w:div>
    <w:div w:id="862522464">
      <w:bodyDiv w:val="1"/>
      <w:marLeft w:val="0"/>
      <w:marRight w:val="0"/>
      <w:marTop w:val="0"/>
      <w:marBottom w:val="0"/>
      <w:divBdr>
        <w:top w:val="none" w:sz="0" w:space="0" w:color="auto"/>
        <w:left w:val="none" w:sz="0" w:space="0" w:color="auto"/>
        <w:bottom w:val="none" w:sz="0" w:space="0" w:color="auto"/>
        <w:right w:val="none" w:sz="0" w:space="0" w:color="auto"/>
      </w:divBdr>
      <w:divsChild>
        <w:div w:id="485055776">
          <w:marLeft w:val="0"/>
          <w:marRight w:val="0"/>
          <w:marTop w:val="0"/>
          <w:marBottom w:val="0"/>
          <w:divBdr>
            <w:top w:val="none" w:sz="0" w:space="0" w:color="auto"/>
            <w:left w:val="none" w:sz="0" w:space="0" w:color="auto"/>
            <w:bottom w:val="none" w:sz="0" w:space="0" w:color="auto"/>
            <w:right w:val="none" w:sz="0" w:space="0" w:color="auto"/>
          </w:divBdr>
        </w:div>
      </w:divsChild>
    </w:div>
    <w:div w:id="862592546">
      <w:bodyDiv w:val="1"/>
      <w:marLeft w:val="0"/>
      <w:marRight w:val="0"/>
      <w:marTop w:val="0"/>
      <w:marBottom w:val="0"/>
      <w:divBdr>
        <w:top w:val="none" w:sz="0" w:space="0" w:color="auto"/>
        <w:left w:val="none" w:sz="0" w:space="0" w:color="auto"/>
        <w:bottom w:val="none" w:sz="0" w:space="0" w:color="auto"/>
        <w:right w:val="none" w:sz="0" w:space="0" w:color="auto"/>
      </w:divBdr>
    </w:div>
    <w:div w:id="866941593">
      <w:bodyDiv w:val="1"/>
      <w:marLeft w:val="0"/>
      <w:marRight w:val="0"/>
      <w:marTop w:val="0"/>
      <w:marBottom w:val="0"/>
      <w:divBdr>
        <w:top w:val="none" w:sz="0" w:space="0" w:color="auto"/>
        <w:left w:val="none" w:sz="0" w:space="0" w:color="auto"/>
        <w:bottom w:val="none" w:sz="0" w:space="0" w:color="auto"/>
        <w:right w:val="none" w:sz="0" w:space="0" w:color="auto"/>
      </w:divBdr>
    </w:div>
    <w:div w:id="867329383">
      <w:bodyDiv w:val="1"/>
      <w:marLeft w:val="0"/>
      <w:marRight w:val="0"/>
      <w:marTop w:val="0"/>
      <w:marBottom w:val="0"/>
      <w:divBdr>
        <w:top w:val="none" w:sz="0" w:space="0" w:color="auto"/>
        <w:left w:val="none" w:sz="0" w:space="0" w:color="auto"/>
        <w:bottom w:val="none" w:sz="0" w:space="0" w:color="auto"/>
        <w:right w:val="none" w:sz="0" w:space="0" w:color="auto"/>
      </w:divBdr>
      <w:divsChild>
        <w:div w:id="426460189">
          <w:marLeft w:val="0"/>
          <w:marRight w:val="0"/>
          <w:marTop w:val="0"/>
          <w:marBottom w:val="0"/>
          <w:divBdr>
            <w:top w:val="none" w:sz="0" w:space="0" w:color="auto"/>
            <w:left w:val="none" w:sz="0" w:space="0" w:color="auto"/>
            <w:bottom w:val="none" w:sz="0" w:space="0" w:color="auto"/>
            <w:right w:val="none" w:sz="0" w:space="0" w:color="auto"/>
          </w:divBdr>
        </w:div>
      </w:divsChild>
    </w:div>
    <w:div w:id="867374389">
      <w:bodyDiv w:val="1"/>
      <w:marLeft w:val="0"/>
      <w:marRight w:val="0"/>
      <w:marTop w:val="0"/>
      <w:marBottom w:val="0"/>
      <w:divBdr>
        <w:top w:val="none" w:sz="0" w:space="0" w:color="auto"/>
        <w:left w:val="none" w:sz="0" w:space="0" w:color="auto"/>
        <w:bottom w:val="none" w:sz="0" w:space="0" w:color="auto"/>
        <w:right w:val="none" w:sz="0" w:space="0" w:color="auto"/>
      </w:divBdr>
    </w:div>
    <w:div w:id="875047199">
      <w:bodyDiv w:val="1"/>
      <w:marLeft w:val="0"/>
      <w:marRight w:val="0"/>
      <w:marTop w:val="0"/>
      <w:marBottom w:val="0"/>
      <w:divBdr>
        <w:top w:val="none" w:sz="0" w:space="0" w:color="auto"/>
        <w:left w:val="none" w:sz="0" w:space="0" w:color="auto"/>
        <w:bottom w:val="none" w:sz="0" w:space="0" w:color="auto"/>
        <w:right w:val="none" w:sz="0" w:space="0" w:color="auto"/>
      </w:divBdr>
    </w:div>
    <w:div w:id="875586801">
      <w:bodyDiv w:val="1"/>
      <w:marLeft w:val="0"/>
      <w:marRight w:val="0"/>
      <w:marTop w:val="0"/>
      <w:marBottom w:val="0"/>
      <w:divBdr>
        <w:top w:val="none" w:sz="0" w:space="0" w:color="auto"/>
        <w:left w:val="none" w:sz="0" w:space="0" w:color="auto"/>
        <w:bottom w:val="none" w:sz="0" w:space="0" w:color="auto"/>
        <w:right w:val="none" w:sz="0" w:space="0" w:color="auto"/>
      </w:divBdr>
      <w:divsChild>
        <w:div w:id="2064596247">
          <w:marLeft w:val="0"/>
          <w:marRight w:val="0"/>
          <w:marTop w:val="0"/>
          <w:marBottom w:val="0"/>
          <w:divBdr>
            <w:top w:val="none" w:sz="0" w:space="0" w:color="auto"/>
            <w:left w:val="none" w:sz="0" w:space="0" w:color="auto"/>
            <w:bottom w:val="none" w:sz="0" w:space="0" w:color="auto"/>
            <w:right w:val="none" w:sz="0" w:space="0" w:color="auto"/>
          </w:divBdr>
        </w:div>
      </w:divsChild>
    </w:div>
    <w:div w:id="885527254">
      <w:bodyDiv w:val="1"/>
      <w:marLeft w:val="0"/>
      <w:marRight w:val="0"/>
      <w:marTop w:val="0"/>
      <w:marBottom w:val="0"/>
      <w:divBdr>
        <w:top w:val="none" w:sz="0" w:space="0" w:color="auto"/>
        <w:left w:val="none" w:sz="0" w:space="0" w:color="auto"/>
        <w:bottom w:val="none" w:sz="0" w:space="0" w:color="auto"/>
        <w:right w:val="none" w:sz="0" w:space="0" w:color="auto"/>
      </w:divBdr>
    </w:div>
    <w:div w:id="886340045">
      <w:bodyDiv w:val="1"/>
      <w:marLeft w:val="0"/>
      <w:marRight w:val="0"/>
      <w:marTop w:val="0"/>
      <w:marBottom w:val="0"/>
      <w:divBdr>
        <w:top w:val="none" w:sz="0" w:space="0" w:color="auto"/>
        <w:left w:val="none" w:sz="0" w:space="0" w:color="auto"/>
        <w:bottom w:val="none" w:sz="0" w:space="0" w:color="auto"/>
        <w:right w:val="none" w:sz="0" w:space="0" w:color="auto"/>
      </w:divBdr>
    </w:div>
    <w:div w:id="897013240">
      <w:bodyDiv w:val="1"/>
      <w:marLeft w:val="0"/>
      <w:marRight w:val="0"/>
      <w:marTop w:val="0"/>
      <w:marBottom w:val="0"/>
      <w:divBdr>
        <w:top w:val="none" w:sz="0" w:space="0" w:color="auto"/>
        <w:left w:val="none" w:sz="0" w:space="0" w:color="auto"/>
        <w:bottom w:val="none" w:sz="0" w:space="0" w:color="auto"/>
        <w:right w:val="none" w:sz="0" w:space="0" w:color="auto"/>
      </w:divBdr>
    </w:div>
    <w:div w:id="899174543">
      <w:bodyDiv w:val="1"/>
      <w:marLeft w:val="0"/>
      <w:marRight w:val="0"/>
      <w:marTop w:val="0"/>
      <w:marBottom w:val="0"/>
      <w:divBdr>
        <w:top w:val="none" w:sz="0" w:space="0" w:color="auto"/>
        <w:left w:val="none" w:sz="0" w:space="0" w:color="auto"/>
        <w:bottom w:val="none" w:sz="0" w:space="0" w:color="auto"/>
        <w:right w:val="none" w:sz="0" w:space="0" w:color="auto"/>
      </w:divBdr>
    </w:div>
    <w:div w:id="904339482">
      <w:bodyDiv w:val="1"/>
      <w:marLeft w:val="0"/>
      <w:marRight w:val="0"/>
      <w:marTop w:val="0"/>
      <w:marBottom w:val="0"/>
      <w:divBdr>
        <w:top w:val="none" w:sz="0" w:space="0" w:color="auto"/>
        <w:left w:val="none" w:sz="0" w:space="0" w:color="auto"/>
        <w:bottom w:val="none" w:sz="0" w:space="0" w:color="auto"/>
        <w:right w:val="none" w:sz="0" w:space="0" w:color="auto"/>
      </w:divBdr>
    </w:div>
    <w:div w:id="908269285">
      <w:bodyDiv w:val="1"/>
      <w:marLeft w:val="0"/>
      <w:marRight w:val="0"/>
      <w:marTop w:val="0"/>
      <w:marBottom w:val="0"/>
      <w:divBdr>
        <w:top w:val="none" w:sz="0" w:space="0" w:color="auto"/>
        <w:left w:val="none" w:sz="0" w:space="0" w:color="auto"/>
        <w:bottom w:val="none" w:sz="0" w:space="0" w:color="auto"/>
        <w:right w:val="none" w:sz="0" w:space="0" w:color="auto"/>
      </w:divBdr>
    </w:div>
    <w:div w:id="912081945">
      <w:bodyDiv w:val="1"/>
      <w:marLeft w:val="0"/>
      <w:marRight w:val="0"/>
      <w:marTop w:val="0"/>
      <w:marBottom w:val="0"/>
      <w:divBdr>
        <w:top w:val="none" w:sz="0" w:space="0" w:color="auto"/>
        <w:left w:val="none" w:sz="0" w:space="0" w:color="auto"/>
        <w:bottom w:val="none" w:sz="0" w:space="0" w:color="auto"/>
        <w:right w:val="none" w:sz="0" w:space="0" w:color="auto"/>
      </w:divBdr>
    </w:div>
    <w:div w:id="912159225">
      <w:bodyDiv w:val="1"/>
      <w:marLeft w:val="0"/>
      <w:marRight w:val="0"/>
      <w:marTop w:val="0"/>
      <w:marBottom w:val="0"/>
      <w:divBdr>
        <w:top w:val="none" w:sz="0" w:space="0" w:color="auto"/>
        <w:left w:val="none" w:sz="0" w:space="0" w:color="auto"/>
        <w:bottom w:val="none" w:sz="0" w:space="0" w:color="auto"/>
        <w:right w:val="none" w:sz="0" w:space="0" w:color="auto"/>
      </w:divBdr>
    </w:div>
    <w:div w:id="918059176">
      <w:bodyDiv w:val="1"/>
      <w:marLeft w:val="0"/>
      <w:marRight w:val="0"/>
      <w:marTop w:val="0"/>
      <w:marBottom w:val="0"/>
      <w:divBdr>
        <w:top w:val="none" w:sz="0" w:space="0" w:color="auto"/>
        <w:left w:val="none" w:sz="0" w:space="0" w:color="auto"/>
        <w:bottom w:val="none" w:sz="0" w:space="0" w:color="auto"/>
        <w:right w:val="none" w:sz="0" w:space="0" w:color="auto"/>
      </w:divBdr>
    </w:div>
    <w:div w:id="919801028">
      <w:bodyDiv w:val="1"/>
      <w:marLeft w:val="0"/>
      <w:marRight w:val="0"/>
      <w:marTop w:val="0"/>
      <w:marBottom w:val="0"/>
      <w:divBdr>
        <w:top w:val="none" w:sz="0" w:space="0" w:color="auto"/>
        <w:left w:val="none" w:sz="0" w:space="0" w:color="auto"/>
        <w:bottom w:val="none" w:sz="0" w:space="0" w:color="auto"/>
        <w:right w:val="none" w:sz="0" w:space="0" w:color="auto"/>
      </w:divBdr>
    </w:div>
    <w:div w:id="922489968">
      <w:bodyDiv w:val="1"/>
      <w:marLeft w:val="0"/>
      <w:marRight w:val="0"/>
      <w:marTop w:val="0"/>
      <w:marBottom w:val="0"/>
      <w:divBdr>
        <w:top w:val="none" w:sz="0" w:space="0" w:color="auto"/>
        <w:left w:val="none" w:sz="0" w:space="0" w:color="auto"/>
        <w:bottom w:val="none" w:sz="0" w:space="0" w:color="auto"/>
        <w:right w:val="none" w:sz="0" w:space="0" w:color="auto"/>
      </w:divBdr>
    </w:div>
    <w:div w:id="926500977">
      <w:bodyDiv w:val="1"/>
      <w:marLeft w:val="0"/>
      <w:marRight w:val="0"/>
      <w:marTop w:val="0"/>
      <w:marBottom w:val="0"/>
      <w:divBdr>
        <w:top w:val="none" w:sz="0" w:space="0" w:color="auto"/>
        <w:left w:val="none" w:sz="0" w:space="0" w:color="auto"/>
        <w:bottom w:val="none" w:sz="0" w:space="0" w:color="auto"/>
        <w:right w:val="none" w:sz="0" w:space="0" w:color="auto"/>
      </w:divBdr>
    </w:div>
    <w:div w:id="929118869">
      <w:bodyDiv w:val="1"/>
      <w:marLeft w:val="0"/>
      <w:marRight w:val="0"/>
      <w:marTop w:val="0"/>
      <w:marBottom w:val="0"/>
      <w:divBdr>
        <w:top w:val="none" w:sz="0" w:space="0" w:color="auto"/>
        <w:left w:val="none" w:sz="0" w:space="0" w:color="auto"/>
        <w:bottom w:val="none" w:sz="0" w:space="0" w:color="auto"/>
        <w:right w:val="none" w:sz="0" w:space="0" w:color="auto"/>
      </w:divBdr>
    </w:div>
    <w:div w:id="930357100">
      <w:bodyDiv w:val="1"/>
      <w:marLeft w:val="0"/>
      <w:marRight w:val="0"/>
      <w:marTop w:val="0"/>
      <w:marBottom w:val="0"/>
      <w:divBdr>
        <w:top w:val="none" w:sz="0" w:space="0" w:color="auto"/>
        <w:left w:val="none" w:sz="0" w:space="0" w:color="auto"/>
        <w:bottom w:val="none" w:sz="0" w:space="0" w:color="auto"/>
        <w:right w:val="none" w:sz="0" w:space="0" w:color="auto"/>
      </w:divBdr>
    </w:div>
    <w:div w:id="930433258">
      <w:bodyDiv w:val="1"/>
      <w:marLeft w:val="0"/>
      <w:marRight w:val="0"/>
      <w:marTop w:val="0"/>
      <w:marBottom w:val="0"/>
      <w:divBdr>
        <w:top w:val="none" w:sz="0" w:space="0" w:color="auto"/>
        <w:left w:val="none" w:sz="0" w:space="0" w:color="auto"/>
        <w:bottom w:val="none" w:sz="0" w:space="0" w:color="auto"/>
        <w:right w:val="none" w:sz="0" w:space="0" w:color="auto"/>
      </w:divBdr>
    </w:div>
    <w:div w:id="933512022">
      <w:bodyDiv w:val="1"/>
      <w:marLeft w:val="0"/>
      <w:marRight w:val="0"/>
      <w:marTop w:val="0"/>
      <w:marBottom w:val="0"/>
      <w:divBdr>
        <w:top w:val="none" w:sz="0" w:space="0" w:color="auto"/>
        <w:left w:val="none" w:sz="0" w:space="0" w:color="auto"/>
        <w:bottom w:val="none" w:sz="0" w:space="0" w:color="auto"/>
        <w:right w:val="none" w:sz="0" w:space="0" w:color="auto"/>
      </w:divBdr>
      <w:divsChild>
        <w:div w:id="1553612112">
          <w:marLeft w:val="0"/>
          <w:marRight w:val="0"/>
          <w:marTop w:val="0"/>
          <w:marBottom w:val="0"/>
          <w:divBdr>
            <w:top w:val="none" w:sz="0" w:space="0" w:color="auto"/>
            <w:left w:val="none" w:sz="0" w:space="0" w:color="auto"/>
            <w:bottom w:val="none" w:sz="0" w:space="0" w:color="auto"/>
            <w:right w:val="none" w:sz="0" w:space="0" w:color="auto"/>
          </w:divBdr>
        </w:div>
      </w:divsChild>
    </w:div>
    <w:div w:id="940187859">
      <w:bodyDiv w:val="1"/>
      <w:marLeft w:val="0"/>
      <w:marRight w:val="0"/>
      <w:marTop w:val="0"/>
      <w:marBottom w:val="0"/>
      <w:divBdr>
        <w:top w:val="none" w:sz="0" w:space="0" w:color="auto"/>
        <w:left w:val="none" w:sz="0" w:space="0" w:color="auto"/>
        <w:bottom w:val="none" w:sz="0" w:space="0" w:color="auto"/>
        <w:right w:val="none" w:sz="0" w:space="0" w:color="auto"/>
      </w:divBdr>
    </w:div>
    <w:div w:id="944775887">
      <w:bodyDiv w:val="1"/>
      <w:marLeft w:val="0"/>
      <w:marRight w:val="0"/>
      <w:marTop w:val="0"/>
      <w:marBottom w:val="0"/>
      <w:divBdr>
        <w:top w:val="none" w:sz="0" w:space="0" w:color="auto"/>
        <w:left w:val="none" w:sz="0" w:space="0" w:color="auto"/>
        <w:bottom w:val="none" w:sz="0" w:space="0" w:color="auto"/>
        <w:right w:val="none" w:sz="0" w:space="0" w:color="auto"/>
      </w:divBdr>
    </w:div>
    <w:div w:id="947852394">
      <w:bodyDiv w:val="1"/>
      <w:marLeft w:val="0"/>
      <w:marRight w:val="0"/>
      <w:marTop w:val="0"/>
      <w:marBottom w:val="0"/>
      <w:divBdr>
        <w:top w:val="none" w:sz="0" w:space="0" w:color="auto"/>
        <w:left w:val="none" w:sz="0" w:space="0" w:color="auto"/>
        <w:bottom w:val="none" w:sz="0" w:space="0" w:color="auto"/>
        <w:right w:val="none" w:sz="0" w:space="0" w:color="auto"/>
      </w:divBdr>
    </w:div>
    <w:div w:id="951012107">
      <w:bodyDiv w:val="1"/>
      <w:marLeft w:val="0"/>
      <w:marRight w:val="0"/>
      <w:marTop w:val="0"/>
      <w:marBottom w:val="0"/>
      <w:divBdr>
        <w:top w:val="none" w:sz="0" w:space="0" w:color="auto"/>
        <w:left w:val="none" w:sz="0" w:space="0" w:color="auto"/>
        <w:bottom w:val="none" w:sz="0" w:space="0" w:color="auto"/>
        <w:right w:val="none" w:sz="0" w:space="0" w:color="auto"/>
      </w:divBdr>
    </w:div>
    <w:div w:id="955912638">
      <w:bodyDiv w:val="1"/>
      <w:marLeft w:val="0"/>
      <w:marRight w:val="0"/>
      <w:marTop w:val="0"/>
      <w:marBottom w:val="0"/>
      <w:divBdr>
        <w:top w:val="none" w:sz="0" w:space="0" w:color="auto"/>
        <w:left w:val="none" w:sz="0" w:space="0" w:color="auto"/>
        <w:bottom w:val="none" w:sz="0" w:space="0" w:color="auto"/>
        <w:right w:val="none" w:sz="0" w:space="0" w:color="auto"/>
      </w:divBdr>
    </w:div>
    <w:div w:id="956721173">
      <w:bodyDiv w:val="1"/>
      <w:marLeft w:val="0"/>
      <w:marRight w:val="0"/>
      <w:marTop w:val="0"/>
      <w:marBottom w:val="0"/>
      <w:divBdr>
        <w:top w:val="none" w:sz="0" w:space="0" w:color="auto"/>
        <w:left w:val="none" w:sz="0" w:space="0" w:color="auto"/>
        <w:bottom w:val="none" w:sz="0" w:space="0" w:color="auto"/>
        <w:right w:val="none" w:sz="0" w:space="0" w:color="auto"/>
      </w:divBdr>
    </w:div>
    <w:div w:id="957874624">
      <w:bodyDiv w:val="1"/>
      <w:marLeft w:val="0"/>
      <w:marRight w:val="0"/>
      <w:marTop w:val="0"/>
      <w:marBottom w:val="0"/>
      <w:divBdr>
        <w:top w:val="none" w:sz="0" w:space="0" w:color="auto"/>
        <w:left w:val="none" w:sz="0" w:space="0" w:color="auto"/>
        <w:bottom w:val="none" w:sz="0" w:space="0" w:color="auto"/>
        <w:right w:val="none" w:sz="0" w:space="0" w:color="auto"/>
      </w:divBdr>
    </w:div>
    <w:div w:id="959841006">
      <w:bodyDiv w:val="1"/>
      <w:marLeft w:val="0"/>
      <w:marRight w:val="0"/>
      <w:marTop w:val="0"/>
      <w:marBottom w:val="0"/>
      <w:divBdr>
        <w:top w:val="none" w:sz="0" w:space="0" w:color="auto"/>
        <w:left w:val="none" w:sz="0" w:space="0" w:color="auto"/>
        <w:bottom w:val="none" w:sz="0" w:space="0" w:color="auto"/>
        <w:right w:val="none" w:sz="0" w:space="0" w:color="auto"/>
      </w:divBdr>
    </w:div>
    <w:div w:id="963653855">
      <w:bodyDiv w:val="1"/>
      <w:marLeft w:val="0"/>
      <w:marRight w:val="0"/>
      <w:marTop w:val="0"/>
      <w:marBottom w:val="0"/>
      <w:divBdr>
        <w:top w:val="none" w:sz="0" w:space="0" w:color="auto"/>
        <w:left w:val="none" w:sz="0" w:space="0" w:color="auto"/>
        <w:bottom w:val="none" w:sz="0" w:space="0" w:color="auto"/>
        <w:right w:val="none" w:sz="0" w:space="0" w:color="auto"/>
      </w:divBdr>
    </w:div>
    <w:div w:id="965552065">
      <w:bodyDiv w:val="1"/>
      <w:marLeft w:val="0"/>
      <w:marRight w:val="0"/>
      <w:marTop w:val="0"/>
      <w:marBottom w:val="0"/>
      <w:divBdr>
        <w:top w:val="none" w:sz="0" w:space="0" w:color="auto"/>
        <w:left w:val="none" w:sz="0" w:space="0" w:color="auto"/>
        <w:bottom w:val="none" w:sz="0" w:space="0" w:color="auto"/>
        <w:right w:val="none" w:sz="0" w:space="0" w:color="auto"/>
      </w:divBdr>
    </w:div>
    <w:div w:id="969095159">
      <w:bodyDiv w:val="1"/>
      <w:marLeft w:val="0"/>
      <w:marRight w:val="0"/>
      <w:marTop w:val="0"/>
      <w:marBottom w:val="0"/>
      <w:divBdr>
        <w:top w:val="none" w:sz="0" w:space="0" w:color="auto"/>
        <w:left w:val="none" w:sz="0" w:space="0" w:color="auto"/>
        <w:bottom w:val="none" w:sz="0" w:space="0" w:color="auto"/>
        <w:right w:val="none" w:sz="0" w:space="0" w:color="auto"/>
      </w:divBdr>
      <w:divsChild>
        <w:div w:id="701438943">
          <w:marLeft w:val="0"/>
          <w:marRight w:val="0"/>
          <w:marTop w:val="0"/>
          <w:marBottom w:val="0"/>
          <w:divBdr>
            <w:top w:val="none" w:sz="0" w:space="0" w:color="auto"/>
            <w:left w:val="none" w:sz="0" w:space="0" w:color="auto"/>
            <w:bottom w:val="none" w:sz="0" w:space="0" w:color="auto"/>
            <w:right w:val="none" w:sz="0" w:space="0" w:color="auto"/>
          </w:divBdr>
        </w:div>
      </w:divsChild>
    </w:div>
    <w:div w:id="970288606">
      <w:bodyDiv w:val="1"/>
      <w:marLeft w:val="0"/>
      <w:marRight w:val="0"/>
      <w:marTop w:val="0"/>
      <w:marBottom w:val="0"/>
      <w:divBdr>
        <w:top w:val="none" w:sz="0" w:space="0" w:color="auto"/>
        <w:left w:val="none" w:sz="0" w:space="0" w:color="auto"/>
        <w:bottom w:val="none" w:sz="0" w:space="0" w:color="auto"/>
        <w:right w:val="none" w:sz="0" w:space="0" w:color="auto"/>
      </w:divBdr>
    </w:div>
    <w:div w:id="970551692">
      <w:bodyDiv w:val="1"/>
      <w:marLeft w:val="0"/>
      <w:marRight w:val="0"/>
      <w:marTop w:val="0"/>
      <w:marBottom w:val="0"/>
      <w:divBdr>
        <w:top w:val="none" w:sz="0" w:space="0" w:color="auto"/>
        <w:left w:val="none" w:sz="0" w:space="0" w:color="auto"/>
        <w:bottom w:val="none" w:sz="0" w:space="0" w:color="auto"/>
        <w:right w:val="none" w:sz="0" w:space="0" w:color="auto"/>
      </w:divBdr>
    </w:div>
    <w:div w:id="975404847">
      <w:bodyDiv w:val="1"/>
      <w:marLeft w:val="0"/>
      <w:marRight w:val="0"/>
      <w:marTop w:val="0"/>
      <w:marBottom w:val="0"/>
      <w:divBdr>
        <w:top w:val="none" w:sz="0" w:space="0" w:color="auto"/>
        <w:left w:val="none" w:sz="0" w:space="0" w:color="auto"/>
        <w:bottom w:val="none" w:sz="0" w:space="0" w:color="auto"/>
        <w:right w:val="none" w:sz="0" w:space="0" w:color="auto"/>
      </w:divBdr>
    </w:div>
    <w:div w:id="978654854">
      <w:bodyDiv w:val="1"/>
      <w:marLeft w:val="0"/>
      <w:marRight w:val="0"/>
      <w:marTop w:val="0"/>
      <w:marBottom w:val="0"/>
      <w:divBdr>
        <w:top w:val="none" w:sz="0" w:space="0" w:color="auto"/>
        <w:left w:val="none" w:sz="0" w:space="0" w:color="auto"/>
        <w:bottom w:val="none" w:sz="0" w:space="0" w:color="auto"/>
        <w:right w:val="none" w:sz="0" w:space="0" w:color="auto"/>
      </w:divBdr>
    </w:div>
    <w:div w:id="979463273">
      <w:bodyDiv w:val="1"/>
      <w:marLeft w:val="0"/>
      <w:marRight w:val="0"/>
      <w:marTop w:val="0"/>
      <w:marBottom w:val="0"/>
      <w:divBdr>
        <w:top w:val="none" w:sz="0" w:space="0" w:color="auto"/>
        <w:left w:val="none" w:sz="0" w:space="0" w:color="auto"/>
        <w:bottom w:val="none" w:sz="0" w:space="0" w:color="auto"/>
        <w:right w:val="none" w:sz="0" w:space="0" w:color="auto"/>
      </w:divBdr>
    </w:div>
    <w:div w:id="982462275">
      <w:bodyDiv w:val="1"/>
      <w:marLeft w:val="0"/>
      <w:marRight w:val="0"/>
      <w:marTop w:val="0"/>
      <w:marBottom w:val="0"/>
      <w:divBdr>
        <w:top w:val="none" w:sz="0" w:space="0" w:color="auto"/>
        <w:left w:val="none" w:sz="0" w:space="0" w:color="auto"/>
        <w:bottom w:val="none" w:sz="0" w:space="0" w:color="auto"/>
        <w:right w:val="none" w:sz="0" w:space="0" w:color="auto"/>
      </w:divBdr>
    </w:div>
    <w:div w:id="983781256">
      <w:bodyDiv w:val="1"/>
      <w:marLeft w:val="0"/>
      <w:marRight w:val="0"/>
      <w:marTop w:val="0"/>
      <w:marBottom w:val="0"/>
      <w:divBdr>
        <w:top w:val="none" w:sz="0" w:space="0" w:color="auto"/>
        <w:left w:val="none" w:sz="0" w:space="0" w:color="auto"/>
        <w:bottom w:val="none" w:sz="0" w:space="0" w:color="auto"/>
        <w:right w:val="none" w:sz="0" w:space="0" w:color="auto"/>
      </w:divBdr>
    </w:div>
    <w:div w:id="986477800">
      <w:bodyDiv w:val="1"/>
      <w:marLeft w:val="0"/>
      <w:marRight w:val="0"/>
      <w:marTop w:val="0"/>
      <w:marBottom w:val="0"/>
      <w:divBdr>
        <w:top w:val="none" w:sz="0" w:space="0" w:color="auto"/>
        <w:left w:val="none" w:sz="0" w:space="0" w:color="auto"/>
        <w:bottom w:val="none" w:sz="0" w:space="0" w:color="auto"/>
        <w:right w:val="none" w:sz="0" w:space="0" w:color="auto"/>
      </w:divBdr>
    </w:div>
    <w:div w:id="989284173">
      <w:bodyDiv w:val="1"/>
      <w:marLeft w:val="0"/>
      <w:marRight w:val="0"/>
      <w:marTop w:val="0"/>
      <w:marBottom w:val="0"/>
      <w:divBdr>
        <w:top w:val="none" w:sz="0" w:space="0" w:color="auto"/>
        <w:left w:val="none" w:sz="0" w:space="0" w:color="auto"/>
        <w:bottom w:val="none" w:sz="0" w:space="0" w:color="auto"/>
        <w:right w:val="none" w:sz="0" w:space="0" w:color="auto"/>
      </w:divBdr>
    </w:div>
    <w:div w:id="990518678">
      <w:bodyDiv w:val="1"/>
      <w:marLeft w:val="0"/>
      <w:marRight w:val="0"/>
      <w:marTop w:val="0"/>
      <w:marBottom w:val="0"/>
      <w:divBdr>
        <w:top w:val="none" w:sz="0" w:space="0" w:color="auto"/>
        <w:left w:val="none" w:sz="0" w:space="0" w:color="auto"/>
        <w:bottom w:val="none" w:sz="0" w:space="0" w:color="auto"/>
        <w:right w:val="none" w:sz="0" w:space="0" w:color="auto"/>
      </w:divBdr>
    </w:div>
    <w:div w:id="994801854">
      <w:bodyDiv w:val="1"/>
      <w:marLeft w:val="0"/>
      <w:marRight w:val="0"/>
      <w:marTop w:val="0"/>
      <w:marBottom w:val="0"/>
      <w:divBdr>
        <w:top w:val="none" w:sz="0" w:space="0" w:color="auto"/>
        <w:left w:val="none" w:sz="0" w:space="0" w:color="auto"/>
        <w:bottom w:val="none" w:sz="0" w:space="0" w:color="auto"/>
        <w:right w:val="none" w:sz="0" w:space="0" w:color="auto"/>
      </w:divBdr>
    </w:div>
    <w:div w:id="997196587">
      <w:bodyDiv w:val="1"/>
      <w:marLeft w:val="0"/>
      <w:marRight w:val="0"/>
      <w:marTop w:val="0"/>
      <w:marBottom w:val="0"/>
      <w:divBdr>
        <w:top w:val="none" w:sz="0" w:space="0" w:color="auto"/>
        <w:left w:val="none" w:sz="0" w:space="0" w:color="auto"/>
        <w:bottom w:val="none" w:sz="0" w:space="0" w:color="auto"/>
        <w:right w:val="none" w:sz="0" w:space="0" w:color="auto"/>
      </w:divBdr>
    </w:div>
    <w:div w:id="999885559">
      <w:bodyDiv w:val="1"/>
      <w:marLeft w:val="0"/>
      <w:marRight w:val="0"/>
      <w:marTop w:val="0"/>
      <w:marBottom w:val="0"/>
      <w:divBdr>
        <w:top w:val="none" w:sz="0" w:space="0" w:color="auto"/>
        <w:left w:val="none" w:sz="0" w:space="0" w:color="auto"/>
        <w:bottom w:val="none" w:sz="0" w:space="0" w:color="auto"/>
        <w:right w:val="none" w:sz="0" w:space="0" w:color="auto"/>
      </w:divBdr>
    </w:div>
    <w:div w:id="1004746978">
      <w:bodyDiv w:val="1"/>
      <w:marLeft w:val="0"/>
      <w:marRight w:val="0"/>
      <w:marTop w:val="0"/>
      <w:marBottom w:val="0"/>
      <w:divBdr>
        <w:top w:val="none" w:sz="0" w:space="0" w:color="auto"/>
        <w:left w:val="none" w:sz="0" w:space="0" w:color="auto"/>
        <w:bottom w:val="none" w:sz="0" w:space="0" w:color="auto"/>
        <w:right w:val="none" w:sz="0" w:space="0" w:color="auto"/>
      </w:divBdr>
    </w:div>
    <w:div w:id="1012533088">
      <w:bodyDiv w:val="1"/>
      <w:marLeft w:val="0"/>
      <w:marRight w:val="0"/>
      <w:marTop w:val="0"/>
      <w:marBottom w:val="0"/>
      <w:divBdr>
        <w:top w:val="none" w:sz="0" w:space="0" w:color="auto"/>
        <w:left w:val="none" w:sz="0" w:space="0" w:color="auto"/>
        <w:bottom w:val="none" w:sz="0" w:space="0" w:color="auto"/>
        <w:right w:val="none" w:sz="0" w:space="0" w:color="auto"/>
      </w:divBdr>
    </w:div>
    <w:div w:id="1012876709">
      <w:bodyDiv w:val="1"/>
      <w:marLeft w:val="0"/>
      <w:marRight w:val="0"/>
      <w:marTop w:val="0"/>
      <w:marBottom w:val="0"/>
      <w:divBdr>
        <w:top w:val="none" w:sz="0" w:space="0" w:color="auto"/>
        <w:left w:val="none" w:sz="0" w:space="0" w:color="auto"/>
        <w:bottom w:val="none" w:sz="0" w:space="0" w:color="auto"/>
        <w:right w:val="none" w:sz="0" w:space="0" w:color="auto"/>
      </w:divBdr>
    </w:div>
    <w:div w:id="1013217875">
      <w:bodyDiv w:val="1"/>
      <w:marLeft w:val="0"/>
      <w:marRight w:val="0"/>
      <w:marTop w:val="0"/>
      <w:marBottom w:val="0"/>
      <w:divBdr>
        <w:top w:val="none" w:sz="0" w:space="0" w:color="auto"/>
        <w:left w:val="none" w:sz="0" w:space="0" w:color="auto"/>
        <w:bottom w:val="none" w:sz="0" w:space="0" w:color="auto"/>
        <w:right w:val="none" w:sz="0" w:space="0" w:color="auto"/>
      </w:divBdr>
    </w:div>
    <w:div w:id="1016884362">
      <w:bodyDiv w:val="1"/>
      <w:marLeft w:val="0"/>
      <w:marRight w:val="0"/>
      <w:marTop w:val="0"/>
      <w:marBottom w:val="0"/>
      <w:divBdr>
        <w:top w:val="none" w:sz="0" w:space="0" w:color="auto"/>
        <w:left w:val="none" w:sz="0" w:space="0" w:color="auto"/>
        <w:bottom w:val="none" w:sz="0" w:space="0" w:color="auto"/>
        <w:right w:val="none" w:sz="0" w:space="0" w:color="auto"/>
      </w:divBdr>
    </w:div>
    <w:div w:id="1022048063">
      <w:bodyDiv w:val="1"/>
      <w:marLeft w:val="0"/>
      <w:marRight w:val="0"/>
      <w:marTop w:val="0"/>
      <w:marBottom w:val="0"/>
      <w:divBdr>
        <w:top w:val="none" w:sz="0" w:space="0" w:color="auto"/>
        <w:left w:val="none" w:sz="0" w:space="0" w:color="auto"/>
        <w:bottom w:val="none" w:sz="0" w:space="0" w:color="auto"/>
        <w:right w:val="none" w:sz="0" w:space="0" w:color="auto"/>
      </w:divBdr>
    </w:div>
    <w:div w:id="1023476320">
      <w:bodyDiv w:val="1"/>
      <w:marLeft w:val="0"/>
      <w:marRight w:val="0"/>
      <w:marTop w:val="0"/>
      <w:marBottom w:val="0"/>
      <w:divBdr>
        <w:top w:val="none" w:sz="0" w:space="0" w:color="auto"/>
        <w:left w:val="none" w:sz="0" w:space="0" w:color="auto"/>
        <w:bottom w:val="none" w:sz="0" w:space="0" w:color="auto"/>
        <w:right w:val="none" w:sz="0" w:space="0" w:color="auto"/>
      </w:divBdr>
      <w:divsChild>
        <w:div w:id="202716449">
          <w:marLeft w:val="0"/>
          <w:marRight w:val="0"/>
          <w:marTop w:val="0"/>
          <w:marBottom w:val="0"/>
          <w:divBdr>
            <w:top w:val="none" w:sz="0" w:space="0" w:color="auto"/>
            <w:left w:val="none" w:sz="0" w:space="0" w:color="auto"/>
            <w:bottom w:val="none" w:sz="0" w:space="0" w:color="auto"/>
            <w:right w:val="none" w:sz="0" w:space="0" w:color="auto"/>
          </w:divBdr>
        </w:div>
      </w:divsChild>
    </w:div>
    <w:div w:id="1024983768">
      <w:bodyDiv w:val="1"/>
      <w:marLeft w:val="0"/>
      <w:marRight w:val="0"/>
      <w:marTop w:val="0"/>
      <w:marBottom w:val="0"/>
      <w:divBdr>
        <w:top w:val="none" w:sz="0" w:space="0" w:color="auto"/>
        <w:left w:val="none" w:sz="0" w:space="0" w:color="auto"/>
        <w:bottom w:val="none" w:sz="0" w:space="0" w:color="auto"/>
        <w:right w:val="none" w:sz="0" w:space="0" w:color="auto"/>
      </w:divBdr>
      <w:divsChild>
        <w:div w:id="1766226877">
          <w:marLeft w:val="0"/>
          <w:marRight w:val="0"/>
          <w:marTop w:val="0"/>
          <w:marBottom w:val="0"/>
          <w:divBdr>
            <w:top w:val="none" w:sz="0" w:space="0" w:color="auto"/>
            <w:left w:val="none" w:sz="0" w:space="0" w:color="auto"/>
            <w:bottom w:val="none" w:sz="0" w:space="0" w:color="auto"/>
            <w:right w:val="none" w:sz="0" w:space="0" w:color="auto"/>
          </w:divBdr>
        </w:div>
      </w:divsChild>
    </w:div>
    <w:div w:id="1026905972">
      <w:bodyDiv w:val="1"/>
      <w:marLeft w:val="0"/>
      <w:marRight w:val="0"/>
      <w:marTop w:val="0"/>
      <w:marBottom w:val="0"/>
      <w:divBdr>
        <w:top w:val="none" w:sz="0" w:space="0" w:color="auto"/>
        <w:left w:val="none" w:sz="0" w:space="0" w:color="auto"/>
        <w:bottom w:val="none" w:sz="0" w:space="0" w:color="auto"/>
        <w:right w:val="none" w:sz="0" w:space="0" w:color="auto"/>
      </w:divBdr>
    </w:div>
    <w:div w:id="1030372421">
      <w:bodyDiv w:val="1"/>
      <w:marLeft w:val="0"/>
      <w:marRight w:val="0"/>
      <w:marTop w:val="0"/>
      <w:marBottom w:val="0"/>
      <w:divBdr>
        <w:top w:val="none" w:sz="0" w:space="0" w:color="auto"/>
        <w:left w:val="none" w:sz="0" w:space="0" w:color="auto"/>
        <w:bottom w:val="none" w:sz="0" w:space="0" w:color="auto"/>
        <w:right w:val="none" w:sz="0" w:space="0" w:color="auto"/>
      </w:divBdr>
      <w:divsChild>
        <w:div w:id="364671896">
          <w:marLeft w:val="0"/>
          <w:marRight w:val="0"/>
          <w:marTop w:val="0"/>
          <w:marBottom w:val="0"/>
          <w:divBdr>
            <w:top w:val="none" w:sz="0" w:space="0" w:color="auto"/>
            <w:left w:val="none" w:sz="0" w:space="0" w:color="auto"/>
            <w:bottom w:val="none" w:sz="0" w:space="0" w:color="auto"/>
            <w:right w:val="none" w:sz="0" w:space="0" w:color="auto"/>
          </w:divBdr>
        </w:div>
      </w:divsChild>
    </w:div>
    <w:div w:id="1032918078">
      <w:bodyDiv w:val="1"/>
      <w:marLeft w:val="0"/>
      <w:marRight w:val="0"/>
      <w:marTop w:val="0"/>
      <w:marBottom w:val="0"/>
      <w:divBdr>
        <w:top w:val="none" w:sz="0" w:space="0" w:color="auto"/>
        <w:left w:val="none" w:sz="0" w:space="0" w:color="auto"/>
        <w:bottom w:val="none" w:sz="0" w:space="0" w:color="auto"/>
        <w:right w:val="none" w:sz="0" w:space="0" w:color="auto"/>
      </w:divBdr>
    </w:div>
    <w:div w:id="1033841818">
      <w:bodyDiv w:val="1"/>
      <w:marLeft w:val="0"/>
      <w:marRight w:val="0"/>
      <w:marTop w:val="0"/>
      <w:marBottom w:val="0"/>
      <w:divBdr>
        <w:top w:val="none" w:sz="0" w:space="0" w:color="auto"/>
        <w:left w:val="none" w:sz="0" w:space="0" w:color="auto"/>
        <w:bottom w:val="none" w:sz="0" w:space="0" w:color="auto"/>
        <w:right w:val="none" w:sz="0" w:space="0" w:color="auto"/>
      </w:divBdr>
    </w:div>
    <w:div w:id="1037049748">
      <w:bodyDiv w:val="1"/>
      <w:marLeft w:val="0"/>
      <w:marRight w:val="0"/>
      <w:marTop w:val="0"/>
      <w:marBottom w:val="0"/>
      <w:divBdr>
        <w:top w:val="none" w:sz="0" w:space="0" w:color="auto"/>
        <w:left w:val="none" w:sz="0" w:space="0" w:color="auto"/>
        <w:bottom w:val="none" w:sz="0" w:space="0" w:color="auto"/>
        <w:right w:val="none" w:sz="0" w:space="0" w:color="auto"/>
      </w:divBdr>
    </w:div>
    <w:div w:id="1037504505">
      <w:bodyDiv w:val="1"/>
      <w:marLeft w:val="0"/>
      <w:marRight w:val="0"/>
      <w:marTop w:val="0"/>
      <w:marBottom w:val="0"/>
      <w:divBdr>
        <w:top w:val="none" w:sz="0" w:space="0" w:color="auto"/>
        <w:left w:val="none" w:sz="0" w:space="0" w:color="auto"/>
        <w:bottom w:val="none" w:sz="0" w:space="0" w:color="auto"/>
        <w:right w:val="none" w:sz="0" w:space="0" w:color="auto"/>
      </w:divBdr>
    </w:div>
    <w:div w:id="1039358546">
      <w:bodyDiv w:val="1"/>
      <w:marLeft w:val="0"/>
      <w:marRight w:val="0"/>
      <w:marTop w:val="0"/>
      <w:marBottom w:val="0"/>
      <w:divBdr>
        <w:top w:val="none" w:sz="0" w:space="0" w:color="auto"/>
        <w:left w:val="none" w:sz="0" w:space="0" w:color="auto"/>
        <w:bottom w:val="none" w:sz="0" w:space="0" w:color="auto"/>
        <w:right w:val="none" w:sz="0" w:space="0" w:color="auto"/>
      </w:divBdr>
    </w:div>
    <w:div w:id="1044257606">
      <w:bodyDiv w:val="1"/>
      <w:marLeft w:val="0"/>
      <w:marRight w:val="0"/>
      <w:marTop w:val="0"/>
      <w:marBottom w:val="0"/>
      <w:divBdr>
        <w:top w:val="none" w:sz="0" w:space="0" w:color="auto"/>
        <w:left w:val="none" w:sz="0" w:space="0" w:color="auto"/>
        <w:bottom w:val="none" w:sz="0" w:space="0" w:color="auto"/>
        <w:right w:val="none" w:sz="0" w:space="0" w:color="auto"/>
      </w:divBdr>
    </w:div>
    <w:div w:id="1046297553">
      <w:bodyDiv w:val="1"/>
      <w:marLeft w:val="0"/>
      <w:marRight w:val="0"/>
      <w:marTop w:val="0"/>
      <w:marBottom w:val="0"/>
      <w:divBdr>
        <w:top w:val="none" w:sz="0" w:space="0" w:color="auto"/>
        <w:left w:val="none" w:sz="0" w:space="0" w:color="auto"/>
        <w:bottom w:val="none" w:sz="0" w:space="0" w:color="auto"/>
        <w:right w:val="none" w:sz="0" w:space="0" w:color="auto"/>
      </w:divBdr>
    </w:div>
    <w:div w:id="1048794864">
      <w:bodyDiv w:val="1"/>
      <w:marLeft w:val="0"/>
      <w:marRight w:val="0"/>
      <w:marTop w:val="0"/>
      <w:marBottom w:val="0"/>
      <w:divBdr>
        <w:top w:val="none" w:sz="0" w:space="0" w:color="auto"/>
        <w:left w:val="none" w:sz="0" w:space="0" w:color="auto"/>
        <w:bottom w:val="none" w:sz="0" w:space="0" w:color="auto"/>
        <w:right w:val="none" w:sz="0" w:space="0" w:color="auto"/>
      </w:divBdr>
    </w:div>
    <w:div w:id="1049652288">
      <w:bodyDiv w:val="1"/>
      <w:marLeft w:val="0"/>
      <w:marRight w:val="0"/>
      <w:marTop w:val="0"/>
      <w:marBottom w:val="0"/>
      <w:divBdr>
        <w:top w:val="none" w:sz="0" w:space="0" w:color="auto"/>
        <w:left w:val="none" w:sz="0" w:space="0" w:color="auto"/>
        <w:bottom w:val="none" w:sz="0" w:space="0" w:color="auto"/>
        <w:right w:val="none" w:sz="0" w:space="0" w:color="auto"/>
      </w:divBdr>
      <w:divsChild>
        <w:div w:id="550001690">
          <w:marLeft w:val="0"/>
          <w:marRight w:val="0"/>
          <w:marTop w:val="0"/>
          <w:marBottom w:val="0"/>
          <w:divBdr>
            <w:top w:val="none" w:sz="0" w:space="0" w:color="auto"/>
            <w:left w:val="none" w:sz="0" w:space="0" w:color="auto"/>
            <w:bottom w:val="none" w:sz="0" w:space="0" w:color="auto"/>
            <w:right w:val="none" w:sz="0" w:space="0" w:color="auto"/>
          </w:divBdr>
        </w:div>
        <w:div w:id="1037124134">
          <w:marLeft w:val="0"/>
          <w:marRight w:val="0"/>
          <w:marTop w:val="0"/>
          <w:marBottom w:val="0"/>
          <w:divBdr>
            <w:top w:val="none" w:sz="0" w:space="0" w:color="auto"/>
            <w:left w:val="none" w:sz="0" w:space="0" w:color="auto"/>
            <w:bottom w:val="none" w:sz="0" w:space="0" w:color="auto"/>
            <w:right w:val="none" w:sz="0" w:space="0" w:color="auto"/>
          </w:divBdr>
          <w:divsChild>
            <w:div w:id="1228148759">
              <w:marLeft w:val="0"/>
              <w:marRight w:val="0"/>
              <w:marTop w:val="0"/>
              <w:marBottom w:val="0"/>
              <w:divBdr>
                <w:top w:val="none" w:sz="0" w:space="0" w:color="auto"/>
                <w:left w:val="none" w:sz="0" w:space="0" w:color="auto"/>
                <w:bottom w:val="none" w:sz="0" w:space="0" w:color="auto"/>
                <w:right w:val="none" w:sz="0" w:space="0" w:color="auto"/>
              </w:divBdr>
            </w:div>
            <w:div w:id="1313559154">
              <w:marLeft w:val="0"/>
              <w:marRight w:val="0"/>
              <w:marTop w:val="0"/>
              <w:marBottom w:val="0"/>
              <w:divBdr>
                <w:top w:val="none" w:sz="0" w:space="0" w:color="auto"/>
                <w:left w:val="none" w:sz="0" w:space="0" w:color="auto"/>
                <w:bottom w:val="none" w:sz="0" w:space="0" w:color="auto"/>
                <w:right w:val="none" w:sz="0" w:space="0" w:color="auto"/>
              </w:divBdr>
            </w:div>
            <w:div w:id="1318993429">
              <w:marLeft w:val="0"/>
              <w:marRight w:val="0"/>
              <w:marTop w:val="0"/>
              <w:marBottom w:val="0"/>
              <w:divBdr>
                <w:top w:val="none" w:sz="0" w:space="0" w:color="auto"/>
                <w:left w:val="none" w:sz="0" w:space="0" w:color="auto"/>
                <w:bottom w:val="none" w:sz="0" w:space="0" w:color="auto"/>
                <w:right w:val="none" w:sz="0" w:space="0" w:color="auto"/>
              </w:divBdr>
            </w:div>
            <w:div w:id="1441995370">
              <w:marLeft w:val="0"/>
              <w:marRight w:val="0"/>
              <w:marTop w:val="0"/>
              <w:marBottom w:val="0"/>
              <w:divBdr>
                <w:top w:val="none" w:sz="0" w:space="0" w:color="auto"/>
                <w:left w:val="none" w:sz="0" w:space="0" w:color="auto"/>
                <w:bottom w:val="none" w:sz="0" w:space="0" w:color="auto"/>
                <w:right w:val="none" w:sz="0" w:space="0" w:color="auto"/>
              </w:divBdr>
            </w:div>
            <w:div w:id="1643850710">
              <w:marLeft w:val="0"/>
              <w:marRight w:val="0"/>
              <w:marTop w:val="0"/>
              <w:marBottom w:val="0"/>
              <w:divBdr>
                <w:top w:val="none" w:sz="0" w:space="0" w:color="auto"/>
                <w:left w:val="none" w:sz="0" w:space="0" w:color="auto"/>
                <w:bottom w:val="none" w:sz="0" w:space="0" w:color="auto"/>
                <w:right w:val="none" w:sz="0" w:space="0" w:color="auto"/>
              </w:divBdr>
            </w:div>
            <w:div w:id="1752384680">
              <w:marLeft w:val="0"/>
              <w:marRight w:val="0"/>
              <w:marTop w:val="0"/>
              <w:marBottom w:val="0"/>
              <w:divBdr>
                <w:top w:val="none" w:sz="0" w:space="0" w:color="auto"/>
                <w:left w:val="none" w:sz="0" w:space="0" w:color="auto"/>
                <w:bottom w:val="none" w:sz="0" w:space="0" w:color="auto"/>
                <w:right w:val="none" w:sz="0" w:space="0" w:color="auto"/>
              </w:divBdr>
            </w:div>
            <w:div w:id="1835878761">
              <w:marLeft w:val="0"/>
              <w:marRight w:val="0"/>
              <w:marTop w:val="0"/>
              <w:marBottom w:val="0"/>
              <w:divBdr>
                <w:top w:val="none" w:sz="0" w:space="0" w:color="auto"/>
                <w:left w:val="none" w:sz="0" w:space="0" w:color="auto"/>
                <w:bottom w:val="none" w:sz="0" w:space="0" w:color="auto"/>
                <w:right w:val="none" w:sz="0" w:space="0" w:color="auto"/>
              </w:divBdr>
            </w:div>
            <w:div w:id="1928342240">
              <w:marLeft w:val="0"/>
              <w:marRight w:val="0"/>
              <w:marTop w:val="0"/>
              <w:marBottom w:val="0"/>
              <w:divBdr>
                <w:top w:val="none" w:sz="0" w:space="0" w:color="auto"/>
                <w:left w:val="none" w:sz="0" w:space="0" w:color="auto"/>
                <w:bottom w:val="none" w:sz="0" w:space="0" w:color="auto"/>
                <w:right w:val="none" w:sz="0" w:space="0" w:color="auto"/>
              </w:divBdr>
            </w:div>
            <w:div w:id="2018313561">
              <w:marLeft w:val="0"/>
              <w:marRight w:val="0"/>
              <w:marTop w:val="0"/>
              <w:marBottom w:val="0"/>
              <w:divBdr>
                <w:top w:val="none" w:sz="0" w:space="0" w:color="auto"/>
                <w:left w:val="none" w:sz="0" w:space="0" w:color="auto"/>
                <w:bottom w:val="none" w:sz="0" w:space="0" w:color="auto"/>
                <w:right w:val="none" w:sz="0" w:space="0" w:color="auto"/>
              </w:divBdr>
            </w:div>
          </w:divsChild>
        </w:div>
        <w:div w:id="1315258283">
          <w:marLeft w:val="0"/>
          <w:marRight w:val="0"/>
          <w:marTop w:val="0"/>
          <w:marBottom w:val="0"/>
          <w:divBdr>
            <w:top w:val="none" w:sz="0" w:space="0" w:color="auto"/>
            <w:left w:val="none" w:sz="0" w:space="0" w:color="auto"/>
            <w:bottom w:val="none" w:sz="0" w:space="0" w:color="auto"/>
            <w:right w:val="none" w:sz="0" w:space="0" w:color="auto"/>
          </w:divBdr>
        </w:div>
        <w:div w:id="1805929240">
          <w:marLeft w:val="0"/>
          <w:marRight w:val="0"/>
          <w:marTop w:val="0"/>
          <w:marBottom w:val="0"/>
          <w:divBdr>
            <w:top w:val="none" w:sz="0" w:space="0" w:color="auto"/>
            <w:left w:val="none" w:sz="0" w:space="0" w:color="auto"/>
            <w:bottom w:val="none" w:sz="0" w:space="0" w:color="auto"/>
            <w:right w:val="none" w:sz="0" w:space="0" w:color="auto"/>
          </w:divBdr>
          <w:divsChild>
            <w:div w:id="72166317">
              <w:marLeft w:val="0"/>
              <w:marRight w:val="0"/>
              <w:marTop w:val="0"/>
              <w:marBottom w:val="0"/>
              <w:divBdr>
                <w:top w:val="none" w:sz="0" w:space="0" w:color="auto"/>
                <w:left w:val="none" w:sz="0" w:space="0" w:color="auto"/>
                <w:bottom w:val="none" w:sz="0" w:space="0" w:color="auto"/>
                <w:right w:val="none" w:sz="0" w:space="0" w:color="auto"/>
              </w:divBdr>
            </w:div>
            <w:div w:id="206187756">
              <w:marLeft w:val="0"/>
              <w:marRight w:val="0"/>
              <w:marTop w:val="0"/>
              <w:marBottom w:val="0"/>
              <w:divBdr>
                <w:top w:val="none" w:sz="0" w:space="0" w:color="auto"/>
                <w:left w:val="none" w:sz="0" w:space="0" w:color="auto"/>
                <w:bottom w:val="none" w:sz="0" w:space="0" w:color="auto"/>
                <w:right w:val="none" w:sz="0" w:space="0" w:color="auto"/>
              </w:divBdr>
            </w:div>
            <w:div w:id="368460183">
              <w:marLeft w:val="0"/>
              <w:marRight w:val="0"/>
              <w:marTop w:val="0"/>
              <w:marBottom w:val="0"/>
              <w:divBdr>
                <w:top w:val="none" w:sz="0" w:space="0" w:color="auto"/>
                <w:left w:val="none" w:sz="0" w:space="0" w:color="auto"/>
                <w:bottom w:val="none" w:sz="0" w:space="0" w:color="auto"/>
                <w:right w:val="none" w:sz="0" w:space="0" w:color="auto"/>
              </w:divBdr>
            </w:div>
            <w:div w:id="373313856">
              <w:marLeft w:val="0"/>
              <w:marRight w:val="0"/>
              <w:marTop w:val="0"/>
              <w:marBottom w:val="0"/>
              <w:divBdr>
                <w:top w:val="none" w:sz="0" w:space="0" w:color="auto"/>
                <w:left w:val="none" w:sz="0" w:space="0" w:color="auto"/>
                <w:bottom w:val="none" w:sz="0" w:space="0" w:color="auto"/>
                <w:right w:val="none" w:sz="0" w:space="0" w:color="auto"/>
              </w:divBdr>
            </w:div>
            <w:div w:id="595795813">
              <w:marLeft w:val="0"/>
              <w:marRight w:val="0"/>
              <w:marTop w:val="0"/>
              <w:marBottom w:val="0"/>
              <w:divBdr>
                <w:top w:val="none" w:sz="0" w:space="0" w:color="auto"/>
                <w:left w:val="none" w:sz="0" w:space="0" w:color="auto"/>
                <w:bottom w:val="none" w:sz="0" w:space="0" w:color="auto"/>
                <w:right w:val="none" w:sz="0" w:space="0" w:color="auto"/>
              </w:divBdr>
            </w:div>
            <w:div w:id="607812607">
              <w:marLeft w:val="0"/>
              <w:marRight w:val="0"/>
              <w:marTop w:val="0"/>
              <w:marBottom w:val="0"/>
              <w:divBdr>
                <w:top w:val="none" w:sz="0" w:space="0" w:color="auto"/>
                <w:left w:val="none" w:sz="0" w:space="0" w:color="auto"/>
                <w:bottom w:val="none" w:sz="0" w:space="0" w:color="auto"/>
                <w:right w:val="none" w:sz="0" w:space="0" w:color="auto"/>
              </w:divBdr>
            </w:div>
            <w:div w:id="635842537">
              <w:marLeft w:val="0"/>
              <w:marRight w:val="0"/>
              <w:marTop w:val="0"/>
              <w:marBottom w:val="0"/>
              <w:divBdr>
                <w:top w:val="none" w:sz="0" w:space="0" w:color="auto"/>
                <w:left w:val="none" w:sz="0" w:space="0" w:color="auto"/>
                <w:bottom w:val="none" w:sz="0" w:space="0" w:color="auto"/>
                <w:right w:val="none" w:sz="0" w:space="0" w:color="auto"/>
              </w:divBdr>
            </w:div>
            <w:div w:id="661350737">
              <w:marLeft w:val="0"/>
              <w:marRight w:val="0"/>
              <w:marTop w:val="0"/>
              <w:marBottom w:val="0"/>
              <w:divBdr>
                <w:top w:val="none" w:sz="0" w:space="0" w:color="auto"/>
                <w:left w:val="none" w:sz="0" w:space="0" w:color="auto"/>
                <w:bottom w:val="none" w:sz="0" w:space="0" w:color="auto"/>
                <w:right w:val="none" w:sz="0" w:space="0" w:color="auto"/>
              </w:divBdr>
            </w:div>
            <w:div w:id="826164911">
              <w:marLeft w:val="0"/>
              <w:marRight w:val="0"/>
              <w:marTop w:val="0"/>
              <w:marBottom w:val="0"/>
              <w:divBdr>
                <w:top w:val="none" w:sz="0" w:space="0" w:color="auto"/>
                <w:left w:val="none" w:sz="0" w:space="0" w:color="auto"/>
                <w:bottom w:val="none" w:sz="0" w:space="0" w:color="auto"/>
                <w:right w:val="none" w:sz="0" w:space="0" w:color="auto"/>
              </w:divBdr>
            </w:div>
            <w:div w:id="1420832509">
              <w:marLeft w:val="0"/>
              <w:marRight w:val="0"/>
              <w:marTop w:val="0"/>
              <w:marBottom w:val="0"/>
              <w:divBdr>
                <w:top w:val="none" w:sz="0" w:space="0" w:color="auto"/>
                <w:left w:val="none" w:sz="0" w:space="0" w:color="auto"/>
                <w:bottom w:val="none" w:sz="0" w:space="0" w:color="auto"/>
                <w:right w:val="none" w:sz="0" w:space="0" w:color="auto"/>
              </w:divBdr>
            </w:div>
            <w:div w:id="1553227584">
              <w:marLeft w:val="0"/>
              <w:marRight w:val="0"/>
              <w:marTop w:val="0"/>
              <w:marBottom w:val="0"/>
              <w:divBdr>
                <w:top w:val="none" w:sz="0" w:space="0" w:color="auto"/>
                <w:left w:val="none" w:sz="0" w:space="0" w:color="auto"/>
                <w:bottom w:val="none" w:sz="0" w:space="0" w:color="auto"/>
                <w:right w:val="none" w:sz="0" w:space="0" w:color="auto"/>
              </w:divBdr>
            </w:div>
            <w:div w:id="1609847556">
              <w:marLeft w:val="0"/>
              <w:marRight w:val="0"/>
              <w:marTop w:val="0"/>
              <w:marBottom w:val="0"/>
              <w:divBdr>
                <w:top w:val="none" w:sz="0" w:space="0" w:color="auto"/>
                <w:left w:val="none" w:sz="0" w:space="0" w:color="auto"/>
                <w:bottom w:val="none" w:sz="0" w:space="0" w:color="auto"/>
                <w:right w:val="none" w:sz="0" w:space="0" w:color="auto"/>
              </w:divBdr>
            </w:div>
            <w:div w:id="1713380011">
              <w:marLeft w:val="0"/>
              <w:marRight w:val="0"/>
              <w:marTop w:val="0"/>
              <w:marBottom w:val="0"/>
              <w:divBdr>
                <w:top w:val="none" w:sz="0" w:space="0" w:color="auto"/>
                <w:left w:val="none" w:sz="0" w:space="0" w:color="auto"/>
                <w:bottom w:val="none" w:sz="0" w:space="0" w:color="auto"/>
                <w:right w:val="none" w:sz="0" w:space="0" w:color="auto"/>
              </w:divBdr>
            </w:div>
            <w:div w:id="1719164303">
              <w:marLeft w:val="0"/>
              <w:marRight w:val="0"/>
              <w:marTop w:val="0"/>
              <w:marBottom w:val="0"/>
              <w:divBdr>
                <w:top w:val="none" w:sz="0" w:space="0" w:color="auto"/>
                <w:left w:val="none" w:sz="0" w:space="0" w:color="auto"/>
                <w:bottom w:val="none" w:sz="0" w:space="0" w:color="auto"/>
                <w:right w:val="none" w:sz="0" w:space="0" w:color="auto"/>
              </w:divBdr>
            </w:div>
            <w:div w:id="1770001467">
              <w:marLeft w:val="0"/>
              <w:marRight w:val="0"/>
              <w:marTop w:val="0"/>
              <w:marBottom w:val="0"/>
              <w:divBdr>
                <w:top w:val="none" w:sz="0" w:space="0" w:color="auto"/>
                <w:left w:val="none" w:sz="0" w:space="0" w:color="auto"/>
                <w:bottom w:val="none" w:sz="0" w:space="0" w:color="auto"/>
                <w:right w:val="none" w:sz="0" w:space="0" w:color="auto"/>
              </w:divBdr>
            </w:div>
            <w:div w:id="1801922756">
              <w:marLeft w:val="0"/>
              <w:marRight w:val="0"/>
              <w:marTop w:val="0"/>
              <w:marBottom w:val="0"/>
              <w:divBdr>
                <w:top w:val="none" w:sz="0" w:space="0" w:color="auto"/>
                <w:left w:val="none" w:sz="0" w:space="0" w:color="auto"/>
                <w:bottom w:val="none" w:sz="0" w:space="0" w:color="auto"/>
                <w:right w:val="none" w:sz="0" w:space="0" w:color="auto"/>
              </w:divBdr>
            </w:div>
            <w:div w:id="1872641379">
              <w:marLeft w:val="0"/>
              <w:marRight w:val="0"/>
              <w:marTop w:val="0"/>
              <w:marBottom w:val="0"/>
              <w:divBdr>
                <w:top w:val="none" w:sz="0" w:space="0" w:color="auto"/>
                <w:left w:val="none" w:sz="0" w:space="0" w:color="auto"/>
                <w:bottom w:val="none" w:sz="0" w:space="0" w:color="auto"/>
                <w:right w:val="none" w:sz="0" w:space="0" w:color="auto"/>
              </w:divBdr>
            </w:div>
            <w:div w:id="1917081775">
              <w:marLeft w:val="0"/>
              <w:marRight w:val="0"/>
              <w:marTop w:val="0"/>
              <w:marBottom w:val="0"/>
              <w:divBdr>
                <w:top w:val="none" w:sz="0" w:space="0" w:color="auto"/>
                <w:left w:val="none" w:sz="0" w:space="0" w:color="auto"/>
                <w:bottom w:val="none" w:sz="0" w:space="0" w:color="auto"/>
                <w:right w:val="none" w:sz="0" w:space="0" w:color="auto"/>
              </w:divBdr>
            </w:div>
            <w:div w:id="2086416174">
              <w:marLeft w:val="0"/>
              <w:marRight w:val="0"/>
              <w:marTop w:val="0"/>
              <w:marBottom w:val="0"/>
              <w:divBdr>
                <w:top w:val="none" w:sz="0" w:space="0" w:color="auto"/>
                <w:left w:val="none" w:sz="0" w:space="0" w:color="auto"/>
                <w:bottom w:val="none" w:sz="0" w:space="0" w:color="auto"/>
                <w:right w:val="none" w:sz="0" w:space="0" w:color="auto"/>
              </w:divBdr>
            </w:div>
            <w:div w:id="2123113891">
              <w:marLeft w:val="0"/>
              <w:marRight w:val="0"/>
              <w:marTop w:val="0"/>
              <w:marBottom w:val="0"/>
              <w:divBdr>
                <w:top w:val="none" w:sz="0" w:space="0" w:color="auto"/>
                <w:left w:val="none" w:sz="0" w:space="0" w:color="auto"/>
                <w:bottom w:val="none" w:sz="0" w:space="0" w:color="auto"/>
                <w:right w:val="none" w:sz="0" w:space="0" w:color="auto"/>
              </w:divBdr>
            </w:div>
          </w:divsChild>
        </w:div>
        <w:div w:id="2032953171">
          <w:marLeft w:val="0"/>
          <w:marRight w:val="0"/>
          <w:marTop w:val="0"/>
          <w:marBottom w:val="0"/>
          <w:divBdr>
            <w:top w:val="none" w:sz="0" w:space="0" w:color="auto"/>
            <w:left w:val="none" w:sz="0" w:space="0" w:color="auto"/>
            <w:bottom w:val="none" w:sz="0" w:space="0" w:color="auto"/>
            <w:right w:val="none" w:sz="0" w:space="0" w:color="auto"/>
          </w:divBdr>
        </w:div>
      </w:divsChild>
    </w:div>
    <w:div w:id="1051460698">
      <w:bodyDiv w:val="1"/>
      <w:marLeft w:val="0"/>
      <w:marRight w:val="0"/>
      <w:marTop w:val="0"/>
      <w:marBottom w:val="0"/>
      <w:divBdr>
        <w:top w:val="none" w:sz="0" w:space="0" w:color="auto"/>
        <w:left w:val="none" w:sz="0" w:space="0" w:color="auto"/>
        <w:bottom w:val="none" w:sz="0" w:space="0" w:color="auto"/>
        <w:right w:val="none" w:sz="0" w:space="0" w:color="auto"/>
      </w:divBdr>
    </w:div>
    <w:div w:id="1052847341">
      <w:bodyDiv w:val="1"/>
      <w:marLeft w:val="0"/>
      <w:marRight w:val="0"/>
      <w:marTop w:val="0"/>
      <w:marBottom w:val="0"/>
      <w:divBdr>
        <w:top w:val="none" w:sz="0" w:space="0" w:color="auto"/>
        <w:left w:val="none" w:sz="0" w:space="0" w:color="auto"/>
        <w:bottom w:val="none" w:sz="0" w:space="0" w:color="auto"/>
        <w:right w:val="none" w:sz="0" w:space="0" w:color="auto"/>
      </w:divBdr>
      <w:divsChild>
        <w:div w:id="279340644">
          <w:marLeft w:val="0"/>
          <w:marRight w:val="0"/>
          <w:marTop w:val="0"/>
          <w:marBottom w:val="0"/>
          <w:divBdr>
            <w:top w:val="none" w:sz="0" w:space="0" w:color="auto"/>
            <w:left w:val="none" w:sz="0" w:space="0" w:color="auto"/>
            <w:bottom w:val="none" w:sz="0" w:space="0" w:color="auto"/>
            <w:right w:val="none" w:sz="0" w:space="0" w:color="auto"/>
          </w:divBdr>
        </w:div>
        <w:div w:id="674111404">
          <w:marLeft w:val="0"/>
          <w:marRight w:val="0"/>
          <w:marTop w:val="0"/>
          <w:marBottom w:val="0"/>
          <w:divBdr>
            <w:top w:val="none" w:sz="0" w:space="0" w:color="auto"/>
            <w:left w:val="none" w:sz="0" w:space="0" w:color="auto"/>
            <w:bottom w:val="none" w:sz="0" w:space="0" w:color="auto"/>
            <w:right w:val="none" w:sz="0" w:space="0" w:color="auto"/>
          </w:divBdr>
        </w:div>
        <w:div w:id="1095441197">
          <w:marLeft w:val="0"/>
          <w:marRight w:val="0"/>
          <w:marTop w:val="0"/>
          <w:marBottom w:val="0"/>
          <w:divBdr>
            <w:top w:val="none" w:sz="0" w:space="0" w:color="auto"/>
            <w:left w:val="none" w:sz="0" w:space="0" w:color="auto"/>
            <w:bottom w:val="none" w:sz="0" w:space="0" w:color="auto"/>
            <w:right w:val="none" w:sz="0" w:space="0" w:color="auto"/>
          </w:divBdr>
        </w:div>
        <w:div w:id="1488592325">
          <w:marLeft w:val="0"/>
          <w:marRight w:val="0"/>
          <w:marTop w:val="0"/>
          <w:marBottom w:val="0"/>
          <w:divBdr>
            <w:top w:val="none" w:sz="0" w:space="0" w:color="auto"/>
            <w:left w:val="none" w:sz="0" w:space="0" w:color="auto"/>
            <w:bottom w:val="none" w:sz="0" w:space="0" w:color="auto"/>
            <w:right w:val="none" w:sz="0" w:space="0" w:color="auto"/>
          </w:divBdr>
          <w:divsChild>
            <w:div w:id="22682363">
              <w:marLeft w:val="0"/>
              <w:marRight w:val="0"/>
              <w:marTop w:val="0"/>
              <w:marBottom w:val="0"/>
              <w:divBdr>
                <w:top w:val="none" w:sz="0" w:space="0" w:color="auto"/>
                <w:left w:val="none" w:sz="0" w:space="0" w:color="auto"/>
                <w:bottom w:val="none" w:sz="0" w:space="0" w:color="auto"/>
                <w:right w:val="none" w:sz="0" w:space="0" w:color="auto"/>
              </w:divBdr>
            </w:div>
            <w:div w:id="101458090">
              <w:marLeft w:val="0"/>
              <w:marRight w:val="0"/>
              <w:marTop w:val="0"/>
              <w:marBottom w:val="0"/>
              <w:divBdr>
                <w:top w:val="none" w:sz="0" w:space="0" w:color="auto"/>
                <w:left w:val="none" w:sz="0" w:space="0" w:color="auto"/>
                <w:bottom w:val="none" w:sz="0" w:space="0" w:color="auto"/>
                <w:right w:val="none" w:sz="0" w:space="0" w:color="auto"/>
              </w:divBdr>
            </w:div>
            <w:div w:id="112525873">
              <w:marLeft w:val="0"/>
              <w:marRight w:val="0"/>
              <w:marTop w:val="0"/>
              <w:marBottom w:val="0"/>
              <w:divBdr>
                <w:top w:val="none" w:sz="0" w:space="0" w:color="auto"/>
                <w:left w:val="none" w:sz="0" w:space="0" w:color="auto"/>
                <w:bottom w:val="none" w:sz="0" w:space="0" w:color="auto"/>
                <w:right w:val="none" w:sz="0" w:space="0" w:color="auto"/>
              </w:divBdr>
            </w:div>
            <w:div w:id="209803869">
              <w:marLeft w:val="0"/>
              <w:marRight w:val="0"/>
              <w:marTop w:val="0"/>
              <w:marBottom w:val="0"/>
              <w:divBdr>
                <w:top w:val="none" w:sz="0" w:space="0" w:color="auto"/>
                <w:left w:val="none" w:sz="0" w:space="0" w:color="auto"/>
                <w:bottom w:val="none" w:sz="0" w:space="0" w:color="auto"/>
                <w:right w:val="none" w:sz="0" w:space="0" w:color="auto"/>
              </w:divBdr>
            </w:div>
            <w:div w:id="339505257">
              <w:marLeft w:val="0"/>
              <w:marRight w:val="0"/>
              <w:marTop w:val="0"/>
              <w:marBottom w:val="0"/>
              <w:divBdr>
                <w:top w:val="none" w:sz="0" w:space="0" w:color="auto"/>
                <w:left w:val="none" w:sz="0" w:space="0" w:color="auto"/>
                <w:bottom w:val="none" w:sz="0" w:space="0" w:color="auto"/>
                <w:right w:val="none" w:sz="0" w:space="0" w:color="auto"/>
              </w:divBdr>
            </w:div>
            <w:div w:id="501509546">
              <w:marLeft w:val="0"/>
              <w:marRight w:val="0"/>
              <w:marTop w:val="0"/>
              <w:marBottom w:val="0"/>
              <w:divBdr>
                <w:top w:val="none" w:sz="0" w:space="0" w:color="auto"/>
                <w:left w:val="none" w:sz="0" w:space="0" w:color="auto"/>
                <w:bottom w:val="none" w:sz="0" w:space="0" w:color="auto"/>
                <w:right w:val="none" w:sz="0" w:space="0" w:color="auto"/>
              </w:divBdr>
            </w:div>
            <w:div w:id="561872189">
              <w:marLeft w:val="0"/>
              <w:marRight w:val="0"/>
              <w:marTop w:val="0"/>
              <w:marBottom w:val="0"/>
              <w:divBdr>
                <w:top w:val="none" w:sz="0" w:space="0" w:color="auto"/>
                <w:left w:val="none" w:sz="0" w:space="0" w:color="auto"/>
                <w:bottom w:val="none" w:sz="0" w:space="0" w:color="auto"/>
                <w:right w:val="none" w:sz="0" w:space="0" w:color="auto"/>
              </w:divBdr>
            </w:div>
            <w:div w:id="589041816">
              <w:marLeft w:val="0"/>
              <w:marRight w:val="0"/>
              <w:marTop w:val="0"/>
              <w:marBottom w:val="0"/>
              <w:divBdr>
                <w:top w:val="none" w:sz="0" w:space="0" w:color="auto"/>
                <w:left w:val="none" w:sz="0" w:space="0" w:color="auto"/>
                <w:bottom w:val="none" w:sz="0" w:space="0" w:color="auto"/>
                <w:right w:val="none" w:sz="0" w:space="0" w:color="auto"/>
              </w:divBdr>
            </w:div>
            <w:div w:id="670332609">
              <w:marLeft w:val="0"/>
              <w:marRight w:val="0"/>
              <w:marTop w:val="0"/>
              <w:marBottom w:val="0"/>
              <w:divBdr>
                <w:top w:val="none" w:sz="0" w:space="0" w:color="auto"/>
                <w:left w:val="none" w:sz="0" w:space="0" w:color="auto"/>
                <w:bottom w:val="none" w:sz="0" w:space="0" w:color="auto"/>
                <w:right w:val="none" w:sz="0" w:space="0" w:color="auto"/>
              </w:divBdr>
            </w:div>
            <w:div w:id="685131941">
              <w:marLeft w:val="0"/>
              <w:marRight w:val="0"/>
              <w:marTop w:val="0"/>
              <w:marBottom w:val="0"/>
              <w:divBdr>
                <w:top w:val="none" w:sz="0" w:space="0" w:color="auto"/>
                <w:left w:val="none" w:sz="0" w:space="0" w:color="auto"/>
                <w:bottom w:val="none" w:sz="0" w:space="0" w:color="auto"/>
                <w:right w:val="none" w:sz="0" w:space="0" w:color="auto"/>
              </w:divBdr>
            </w:div>
            <w:div w:id="867060859">
              <w:marLeft w:val="0"/>
              <w:marRight w:val="0"/>
              <w:marTop w:val="0"/>
              <w:marBottom w:val="0"/>
              <w:divBdr>
                <w:top w:val="none" w:sz="0" w:space="0" w:color="auto"/>
                <w:left w:val="none" w:sz="0" w:space="0" w:color="auto"/>
                <w:bottom w:val="none" w:sz="0" w:space="0" w:color="auto"/>
                <w:right w:val="none" w:sz="0" w:space="0" w:color="auto"/>
              </w:divBdr>
            </w:div>
            <w:div w:id="1016737608">
              <w:marLeft w:val="0"/>
              <w:marRight w:val="0"/>
              <w:marTop w:val="0"/>
              <w:marBottom w:val="0"/>
              <w:divBdr>
                <w:top w:val="none" w:sz="0" w:space="0" w:color="auto"/>
                <w:left w:val="none" w:sz="0" w:space="0" w:color="auto"/>
                <w:bottom w:val="none" w:sz="0" w:space="0" w:color="auto"/>
                <w:right w:val="none" w:sz="0" w:space="0" w:color="auto"/>
              </w:divBdr>
            </w:div>
            <w:div w:id="1127434838">
              <w:marLeft w:val="0"/>
              <w:marRight w:val="0"/>
              <w:marTop w:val="0"/>
              <w:marBottom w:val="0"/>
              <w:divBdr>
                <w:top w:val="none" w:sz="0" w:space="0" w:color="auto"/>
                <w:left w:val="none" w:sz="0" w:space="0" w:color="auto"/>
                <w:bottom w:val="none" w:sz="0" w:space="0" w:color="auto"/>
                <w:right w:val="none" w:sz="0" w:space="0" w:color="auto"/>
              </w:divBdr>
            </w:div>
            <w:div w:id="1234199492">
              <w:marLeft w:val="0"/>
              <w:marRight w:val="0"/>
              <w:marTop w:val="0"/>
              <w:marBottom w:val="0"/>
              <w:divBdr>
                <w:top w:val="none" w:sz="0" w:space="0" w:color="auto"/>
                <w:left w:val="none" w:sz="0" w:space="0" w:color="auto"/>
                <w:bottom w:val="none" w:sz="0" w:space="0" w:color="auto"/>
                <w:right w:val="none" w:sz="0" w:space="0" w:color="auto"/>
              </w:divBdr>
            </w:div>
            <w:div w:id="1285111647">
              <w:marLeft w:val="0"/>
              <w:marRight w:val="0"/>
              <w:marTop w:val="0"/>
              <w:marBottom w:val="0"/>
              <w:divBdr>
                <w:top w:val="none" w:sz="0" w:space="0" w:color="auto"/>
                <w:left w:val="none" w:sz="0" w:space="0" w:color="auto"/>
                <w:bottom w:val="none" w:sz="0" w:space="0" w:color="auto"/>
                <w:right w:val="none" w:sz="0" w:space="0" w:color="auto"/>
              </w:divBdr>
            </w:div>
            <w:div w:id="1324964389">
              <w:marLeft w:val="0"/>
              <w:marRight w:val="0"/>
              <w:marTop w:val="0"/>
              <w:marBottom w:val="0"/>
              <w:divBdr>
                <w:top w:val="none" w:sz="0" w:space="0" w:color="auto"/>
                <w:left w:val="none" w:sz="0" w:space="0" w:color="auto"/>
                <w:bottom w:val="none" w:sz="0" w:space="0" w:color="auto"/>
                <w:right w:val="none" w:sz="0" w:space="0" w:color="auto"/>
              </w:divBdr>
            </w:div>
            <w:div w:id="1400862772">
              <w:marLeft w:val="0"/>
              <w:marRight w:val="0"/>
              <w:marTop w:val="0"/>
              <w:marBottom w:val="0"/>
              <w:divBdr>
                <w:top w:val="none" w:sz="0" w:space="0" w:color="auto"/>
                <w:left w:val="none" w:sz="0" w:space="0" w:color="auto"/>
                <w:bottom w:val="none" w:sz="0" w:space="0" w:color="auto"/>
                <w:right w:val="none" w:sz="0" w:space="0" w:color="auto"/>
              </w:divBdr>
            </w:div>
            <w:div w:id="1553342972">
              <w:marLeft w:val="0"/>
              <w:marRight w:val="0"/>
              <w:marTop w:val="0"/>
              <w:marBottom w:val="0"/>
              <w:divBdr>
                <w:top w:val="none" w:sz="0" w:space="0" w:color="auto"/>
                <w:left w:val="none" w:sz="0" w:space="0" w:color="auto"/>
                <w:bottom w:val="none" w:sz="0" w:space="0" w:color="auto"/>
                <w:right w:val="none" w:sz="0" w:space="0" w:color="auto"/>
              </w:divBdr>
            </w:div>
            <w:div w:id="1777215045">
              <w:marLeft w:val="0"/>
              <w:marRight w:val="0"/>
              <w:marTop w:val="0"/>
              <w:marBottom w:val="0"/>
              <w:divBdr>
                <w:top w:val="none" w:sz="0" w:space="0" w:color="auto"/>
                <w:left w:val="none" w:sz="0" w:space="0" w:color="auto"/>
                <w:bottom w:val="none" w:sz="0" w:space="0" w:color="auto"/>
                <w:right w:val="none" w:sz="0" w:space="0" w:color="auto"/>
              </w:divBdr>
            </w:div>
            <w:div w:id="1959754942">
              <w:marLeft w:val="0"/>
              <w:marRight w:val="0"/>
              <w:marTop w:val="0"/>
              <w:marBottom w:val="0"/>
              <w:divBdr>
                <w:top w:val="none" w:sz="0" w:space="0" w:color="auto"/>
                <w:left w:val="none" w:sz="0" w:space="0" w:color="auto"/>
                <w:bottom w:val="none" w:sz="0" w:space="0" w:color="auto"/>
                <w:right w:val="none" w:sz="0" w:space="0" w:color="auto"/>
              </w:divBdr>
            </w:div>
          </w:divsChild>
        </w:div>
        <w:div w:id="2121992017">
          <w:marLeft w:val="0"/>
          <w:marRight w:val="0"/>
          <w:marTop w:val="0"/>
          <w:marBottom w:val="0"/>
          <w:divBdr>
            <w:top w:val="none" w:sz="0" w:space="0" w:color="auto"/>
            <w:left w:val="none" w:sz="0" w:space="0" w:color="auto"/>
            <w:bottom w:val="none" w:sz="0" w:space="0" w:color="auto"/>
            <w:right w:val="none" w:sz="0" w:space="0" w:color="auto"/>
          </w:divBdr>
          <w:divsChild>
            <w:div w:id="151919391">
              <w:marLeft w:val="0"/>
              <w:marRight w:val="0"/>
              <w:marTop w:val="0"/>
              <w:marBottom w:val="0"/>
              <w:divBdr>
                <w:top w:val="none" w:sz="0" w:space="0" w:color="auto"/>
                <w:left w:val="none" w:sz="0" w:space="0" w:color="auto"/>
                <w:bottom w:val="none" w:sz="0" w:space="0" w:color="auto"/>
                <w:right w:val="none" w:sz="0" w:space="0" w:color="auto"/>
              </w:divBdr>
            </w:div>
            <w:div w:id="320930199">
              <w:marLeft w:val="0"/>
              <w:marRight w:val="0"/>
              <w:marTop w:val="0"/>
              <w:marBottom w:val="0"/>
              <w:divBdr>
                <w:top w:val="none" w:sz="0" w:space="0" w:color="auto"/>
                <w:left w:val="none" w:sz="0" w:space="0" w:color="auto"/>
                <w:bottom w:val="none" w:sz="0" w:space="0" w:color="auto"/>
                <w:right w:val="none" w:sz="0" w:space="0" w:color="auto"/>
              </w:divBdr>
            </w:div>
            <w:div w:id="597983161">
              <w:marLeft w:val="0"/>
              <w:marRight w:val="0"/>
              <w:marTop w:val="0"/>
              <w:marBottom w:val="0"/>
              <w:divBdr>
                <w:top w:val="none" w:sz="0" w:space="0" w:color="auto"/>
                <w:left w:val="none" w:sz="0" w:space="0" w:color="auto"/>
                <w:bottom w:val="none" w:sz="0" w:space="0" w:color="auto"/>
                <w:right w:val="none" w:sz="0" w:space="0" w:color="auto"/>
              </w:divBdr>
            </w:div>
            <w:div w:id="708650304">
              <w:marLeft w:val="0"/>
              <w:marRight w:val="0"/>
              <w:marTop w:val="0"/>
              <w:marBottom w:val="0"/>
              <w:divBdr>
                <w:top w:val="none" w:sz="0" w:space="0" w:color="auto"/>
                <w:left w:val="none" w:sz="0" w:space="0" w:color="auto"/>
                <w:bottom w:val="none" w:sz="0" w:space="0" w:color="auto"/>
                <w:right w:val="none" w:sz="0" w:space="0" w:color="auto"/>
              </w:divBdr>
            </w:div>
            <w:div w:id="794373403">
              <w:marLeft w:val="0"/>
              <w:marRight w:val="0"/>
              <w:marTop w:val="0"/>
              <w:marBottom w:val="0"/>
              <w:divBdr>
                <w:top w:val="none" w:sz="0" w:space="0" w:color="auto"/>
                <w:left w:val="none" w:sz="0" w:space="0" w:color="auto"/>
                <w:bottom w:val="none" w:sz="0" w:space="0" w:color="auto"/>
                <w:right w:val="none" w:sz="0" w:space="0" w:color="auto"/>
              </w:divBdr>
            </w:div>
            <w:div w:id="1264873653">
              <w:marLeft w:val="0"/>
              <w:marRight w:val="0"/>
              <w:marTop w:val="0"/>
              <w:marBottom w:val="0"/>
              <w:divBdr>
                <w:top w:val="none" w:sz="0" w:space="0" w:color="auto"/>
                <w:left w:val="none" w:sz="0" w:space="0" w:color="auto"/>
                <w:bottom w:val="none" w:sz="0" w:space="0" w:color="auto"/>
                <w:right w:val="none" w:sz="0" w:space="0" w:color="auto"/>
              </w:divBdr>
            </w:div>
            <w:div w:id="1778334366">
              <w:marLeft w:val="0"/>
              <w:marRight w:val="0"/>
              <w:marTop w:val="0"/>
              <w:marBottom w:val="0"/>
              <w:divBdr>
                <w:top w:val="none" w:sz="0" w:space="0" w:color="auto"/>
                <w:left w:val="none" w:sz="0" w:space="0" w:color="auto"/>
                <w:bottom w:val="none" w:sz="0" w:space="0" w:color="auto"/>
                <w:right w:val="none" w:sz="0" w:space="0" w:color="auto"/>
              </w:divBdr>
            </w:div>
            <w:div w:id="1951548423">
              <w:marLeft w:val="0"/>
              <w:marRight w:val="0"/>
              <w:marTop w:val="0"/>
              <w:marBottom w:val="0"/>
              <w:divBdr>
                <w:top w:val="none" w:sz="0" w:space="0" w:color="auto"/>
                <w:left w:val="none" w:sz="0" w:space="0" w:color="auto"/>
                <w:bottom w:val="none" w:sz="0" w:space="0" w:color="auto"/>
                <w:right w:val="none" w:sz="0" w:space="0" w:color="auto"/>
              </w:divBdr>
            </w:div>
            <w:div w:id="20214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83568">
      <w:bodyDiv w:val="1"/>
      <w:marLeft w:val="0"/>
      <w:marRight w:val="0"/>
      <w:marTop w:val="0"/>
      <w:marBottom w:val="0"/>
      <w:divBdr>
        <w:top w:val="none" w:sz="0" w:space="0" w:color="auto"/>
        <w:left w:val="none" w:sz="0" w:space="0" w:color="auto"/>
        <w:bottom w:val="none" w:sz="0" w:space="0" w:color="auto"/>
        <w:right w:val="none" w:sz="0" w:space="0" w:color="auto"/>
      </w:divBdr>
      <w:divsChild>
        <w:div w:id="2004778858">
          <w:marLeft w:val="0"/>
          <w:marRight w:val="0"/>
          <w:marTop w:val="0"/>
          <w:marBottom w:val="0"/>
          <w:divBdr>
            <w:top w:val="none" w:sz="0" w:space="0" w:color="auto"/>
            <w:left w:val="none" w:sz="0" w:space="0" w:color="auto"/>
            <w:bottom w:val="none" w:sz="0" w:space="0" w:color="auto"/>
            <w:right w:val="none" w:sz="0" w:space="0" w:color="auto"/>
          </w:divBdr>
        </w:div>
      </w:divsChild>
    </w:div>
    <w:div w:id="1058166800">
      <w:bodyDiv w:val="1"/>
      <w:marLeft w:val="0"/>
      <w:marRight w:val="0"/>
      <w:marTop w:val="0"/>
      <w:marBottom w:val="0"/>
      <w:divBdr>
        <w:top w:val="none" w:sz="0" w:space="0" w:color="auto"/>
        <w:left w:val="none" w:sz="0" w:space="0" w:color="auto"/>
        <w:bottom w:val="none" w:sz="0" w:space="0" w:color="auto"/>
        <w:right w:val="none" w:sz="0" w:space="0" w:color="auto"/>
      </w:divBdr>
    </w:div>
    <w:div w:id="1061102108">
      <w:bodyDiv w:val="1"/>
      <w:marLeft w:val="0"/>
      <w:marRight w:val="0"/>
      <w:marTop w:val="0"/>
      <w:marBottom w:val="0"/>
      <w:divBdr>
        <w:top w:val="none" w:sz="0" w:space="0" w:color="auto"/>
        <w:left w:val="none" w:sz="0" w:space="0" w:color="auto"/>
        <w:bottom w:val="none" w:sz="0" w:space="0" w:color="auto"/>
        <w:right w:val="none" w:sz="0" w:space="0" w:color="auto"/>
      </w:divBdr>
    </w:div>
    <w:div w:id="1061635840">
      <w:bodyDiv w:val="1"/>
      <w:marLeft w:val="0"/>
      <w:marRight w:val="0"/>
      <w:marTop w:val="0"/>
      <w:marBottom w:val="0"/>
      <w:divBdr>
        <w:top w:val="none" w:sz="0" w:space="0" w:color="auto"/>
        <w:left w:val="none" w:sz="0" w:space="0" w:color="auto"/>
        <w:bottom w:val="none" w:sz="0" w:space="0" w:color="auto"/>
        <w:right w:val="none" w:sz="0" w:space="0" w:color="auto"/>
      </w:divBdr>
    </w:div>
    <w:div w:id="1063715676">
      <w:bodyDiv w:val="1"/>
      <w:marLeft w:val="0"/>
      <w:marRight w:val="0"/>
      <w:marTop w:val="0"/>
      <w:marBottom w:val="0"/>
      <w:divBdr>
        <w:top w:val="none" w:sz="0" w:space="0" w:color="auto"/>
        <w:left w:val="none" w:sz="0" w:space="0" w:color="auto"/>
        <w:bottom w:val="none" w:sz="0" w:space="0" w:color="auto"/>
        <w:right w:val="none" w:sz="0" w:space="0" w:color="auto"/>
      </w:divBdr>
      <w:divsChild>
        <w:div w:id="1486773840">
          <w:marLeft w:val="0"/>
          <w:marRight w:val="0"/>
          <w:marTop w:val="0"/>
          <w:marBottom w:val="0"/>
          <w:divBdr>
            <w:top w:val="none" w:sz="0" w:space="0" w:color="auto"/>
            <w:left w:val="none" w:sz="0" w:space="0" w:color="auto"/>
            <w:bottom w:val="none" w:sz="0" w:space="0" w:color="auto"/>
            <w:right w:val="none" w:sz="0" w:space="0" w:color="auto"/>
          </w:divBdr>
        </w:div>
      </w:divsChild>
    </w:div>
    <w:div w:id="1063790730">
      <w:bodyDiv w:val="1"/>
      <w:marLeft w:val="0"/>
      <w:marRight w:val="0"/>
      <w:marTop w:val="0"/>
      <w:marBottom w:val="0"/>
      <w:divBdr>
        <w:top w:val="none" w:sz="0" w:space="0" w:color="auto"/>
        <w:left w:val="none" w:sz="0" w:space="0" w:color="auto"/>
        <w:bottom w:val="none" w:sz="0" w:space="0" w:color="auto"/>
        <w:right w:val="none" w:sz="0" w:space="0" w:color="auto"/>
      </w:divBdr>
    </w:div>
    <w:div w:id="1065878042">
      <w:bodyDiv w:val="1"/>
      <w:marLeft w:val="0"/>
      <w:marRight w:val="0"/>
      <w:marTop w:val="0"/>
      <w:marBottom w:val="0"/>
      <w:divBdr>
        <w:top w:val="none" w:sz="0" w:space="0" w:color="auto"/>
        <w:left w:val="none" w:sz="0" w:space="0" w:color="auto"/>
        <w:bottom w:val="none" w:sz="0" w:space="0" w:color="auto"/>
        <w:right w:val="none" w:sz="0" w:space="0" w:color="auto"/>
      </w:divBdr>
    </w:div>
    <w:div w:id="1065879690">
      <w:bodyDiv w:val="1"/>
      <w:marLeft w:val="0"/>
      <w:marRight w:val="0"/>
      <w:marTop w:val="0"/>
      <w:marBottom w:val="0"/>
      <w:divBdr>
        <w:top w:val="none" w:sz="0" w:space="0" w:color="auto"/>
        <w:left w:val="none" w:sz="0" w:space="0" w:color="auto"/>
        <w:bottom w:val="none" w:sz="0" w:space="0" w:color="auto"/>
        <w:right w:val="none" w:sz="0" w:space="0" w:color="auto"/>
      </w:divBdr>
    </w:div>
    <w:div w:id="1080368885">
      <w:bodyDiv w:val="1"/>
      <w:marLeft w:val="0"/>
      <w:marRight w:val="0"/>
      <w:marTop w:val="0"/>
      <w:marBottom w:val="0"/>
      <w:divBdr>
        <w:top w:val="none" w:sz="0" w:space="0" w:color="auto"/>
        <w:left w:val="none" w:sz="0" w:space="0" w:color="auto"/>
        <w:bottom w:val="none" w:sz="0" w:space="0" w:color="auto"/>
        <w:right w:val="none" w:sz="0" w:space="0" w:color="auto"/>
      </w:divBdr>
    </w:div>
    <w:div w:id="1083376660">
      <w:bodyDiv w:val="1"/>
      <w:marLeft w:val="0"/>
      <w:marRight w:val="0"/>
      <w:marTop w:val="0"/>
      <w:marBottom w:val="0"/>
      <w:divBdr>
        <w:top w:val="none" w:sz="0" w:space="0" w:color="auto"/>
        <w:left w:val="none" w:sz="0" w:space="0" w:color="auto"/>
        <w:bottom w:val="none" w:sz="0" w:space="0" w:color="auto"/>
        <w:right w:val="none" w:sz="0" w:space="0" w:color="auto"/>
      </w:divBdr>
    </w:div>
    <w:div w:id="1090542345">
      <w:bodyDiv w:val="1"/>
      <w:marLeft w:val="0"/>
      <w:marRight w:val="0"/>
      <w:marTop w:val="0"/>
      <w:marBottom w:val="0"/>
      <w:divBdr>
        <w:top w:val="none" w:sz="0" w:space="0" w:color="auto"/>
        <w:left w:val="none" w:sz="0" w:space="0" w:color="auto"/>
        <w:bottom w:val="none" w:sz="0" w:space="0" w:color="auto"/>
        <w:right w:val="none" w:sz="0" w:space="0" w:color="auto"/>
      </w:divBdr>
    </w:div>
    <w:div w:id="1090781830">
      <w:bodyDiv w:val="1"/>
      <w:marLeft w:val="0"/>
      <w:marRight w:val="0"/>
      <w:marTop w:val="0"/>
      <w:marBottom w:val="0"/>
      <w:divBdr>
        <w:top w:val="none" w:sz="0" w:space="0" w:color="auto"/>
        <w:left w:val="none" w:sz="0" w:space="0" w:color="auto"/>
        <w:bottom w:val="none" w:sz="0" w:space="0" w:color="auto"/>
        <w:right w:val="none" w:sz="0" w:space="0" w:color="auto"/>
      </w:divBdr>
    </w:div>
    <w:div w:id="1092240167">
      <w:bodyDiv w:val="1"/>
      <w:marLeft w:val="0"/>
      <w:marRight w:val="0"/>
      <w:marTop w:val="0"/>
      <w:marBottom w:val="0"/>
      <w:divBdr>
        <w:top w:val="none" w:sz="0" w:space="0" w:color="auto"/>
        <w:left w:val="none" w:sz="0" w:space="0" w:color="auto"/>
        <w:bottom w:val="none" w:sz="0" w:space="0" w:color="auto"/>
        <w:right w:val="none" w:sz="0" w:space="0" w:color="auto"/>
      </w:divBdr>
    </w:div>
    <w:div w:id="1098254119">
      <w:bodyDiv w:val="1"/>
      <w:marLeft w:val="0"/>
      <w:marRight w:val="0"/>
      <w:marTop w:val="0"/>
      <w:marBottom w:val="0"/>
      <w:divBdr>
        <w:top w:val="none" w:sz="0" w:space="0" w:color="auto"/>
        <w:left w:val="none" w:sz="0" w:space="0" w:color="auto"/>
        <w:bottom w:val="none" w:sz="0" w:space="0" w:color="auto"/>
        <w:right w:val="none" w:sz="0" w:space="0" w:color="auto"/>
      </w:divBdr>
    </w:div>
    <w:div w:id="1099059883">
      <w:bodyDiv w:val="1"/>
      <w:marLeft w:val="0"/>
      <w:marRight w:val="0"/>
      <w:marTop w:val="0"/>
      <w:marBottom w:val="0"/>
      <w:divBdr>
        <w:top w:val="none" w:sz="0" w:space="0" w:color="auto"/>
        <w:left w:val="none" w:sz="0" w:space="0" w:color="auto"/>
        <w:bottom w:val="none" w:sz="0" w:space="0" w:color="auto"/>
        <w:right w:val="none" w:sz="0" w:space="0" w:color="auto"/>
      </w:divBdr>
      <w:divsChild>
        <w:div w:id="506213381">
          <w:marLeft w:val="0"/>
          <w:marRight w:val="0"/>
          <w:marTop w:val="0"/>
          <w:marBottom w:val="0"/>
          <w:divBdr>
            <w:top w:val="none" w:sz="0" w:space="0" w:color="auto"/>
            <w:left w:val="none" w:sz="0" w:space="0" w:color="auto"/>
            <w:bottom w:val="none" w:sz="0" w:space="0" w:color="auto"/>
            <w:right w:val="none" w:sz="0" w:space="0" w:color="auto"/>
          </w:divBdr>
        </w:div>
      </w:divsChild>
    </w:div>
    <w:div w:id="1102069511">
      <w:bodyDiv w:val="1"/>
      <w:marLeft w:val="0"/>
      <w:marRight w:val="0"/>
      <w:marTop w:val="0"/>
      <w:marBottom w:val="0"/>
      <w:divBdr>
        <w:top w:val="none" w:sz="0" w:space="0" w:color="auto"/>
        <w:left w:val="none" w:sz="0" w:space="0" w:color="auto"/>
        <w:bottom w:val="none" w:sz="0" w:space="0" w:color="auto"/>
        <w:right w:val="none" w:sz="0" w:space="0" w:color="auto"/>
      </w:divBdr>
    </w:div>
    <w:div w:id="1105878274">
      <w:bodyDiv w:val="1"/>
      <w:marLeft w:val="0"/>
      <w:marRight w:val="0"/>
      <w:marTop w:val="0"/>
      <w:marBottom w:val="0"/>
      <w:divBdr>
        <w:top w:val="none" w:sz="0" w:space="0" w:color="auto"/>
        <w:left w:val="none" w:sz="0" w:space="0" w:color="auto"/>
        <w:bottom w:val="none" w:sz="0" w:space="0" w:color="auto"/>
        <w:right w:val="none" w:sz="0" w:space="0" w:color="auto"/>
      </w:divBdr>
    </w:div>
    <w:div w:id="1109620790">
      <w:bodyDiv w:val="1"/>
      <w:marLeft w:val="0"/>
      <w:marRight w:val="0"/>
      <w:marTop w:val="0"/>
      <w:marBottom w:val="0"/>
      <w:divBdr>
        <w:top w:val="none" w:sz="0" w:space="0" w:color="auto"/>
        <w:left w:val="none" w:sz="0" w:space="0" w:color="auto"/>
        <w:bottom w:val="none" w:sz="0" w:space="0" w:color="auto"/>
        <w:right w:val="none" w:sz="0" w:space="0" w:color="auto"/>
      </w:divBdr>
    </w:div>
    <w:div w:id="1111896552">
      <w:bodyDiv w:val="1"/>
      <w:marLeft w:val="0"/>
      <w:marRight w:val="0"/>
      <w:marTop w:val="0"/>
      <w:marBottom w:val="0"/>
      <w:divBdr>
        <w:top w:val="none" w:sz="0" w:space="0" w:color="auto"/>
        <w:left w:val="none" w:sz="0" w:space="0" w:color="auto"/>
        <w:bottom w:val="none" w:sz="0" w:space="0" w:color="auto"/>
        <w:right w:val="none" w:sz="0" w:space="0" w:color="auto"/>
      </w:divBdr>
    </w:div>
    <w:div w:id="1121076589">
      <w:bodyDiv w:val="1"/>
      <w:marLeft w:val="0"/>
      <w:marRight w:val="0"/>
      <w:marTop w:val="0"/>
      <w:marBottom w:val="0"/>
      <w:divBdr>
        <w:top w:val="none" w:sz="0" w:space="0" w:color="auto"/>
        <w:left w:val="none" w:sz="0" w:space="0" w:color="auto"/>
        <w:bottom w:val="none" w:sz="0" w:space="0" w:color="auto"/>
        <w:right w:val="none" w:sz="0" w:space="0" w:color="auto"/>
      </w:divBdr>
      <w:divsChild>
        <w:div w:id="220135646">
          <w:marLeft w:val="0"/>
          <w:marRight w:val="0"/>
          <w:marTop w:val="0"/>
          <w:marBottom w:val="0"/>
          <w:divBdr>
            <w:top w:val="none" w:sz="0" w:space="0" w:color="auto"/>
            <w:left w:val="none" w:sz="0" w:space="0" w:color="auto"/>
            <w:bottom w:val="none" w:sz="0" w:space="0" w:color="auto"/>
            <w:right w:val="none" w:sz="0" w:space="0" w:color="auto"/>
          </w:divBdr>
        </w:div>
      </w:divsChild>
    </w:div>
    <w:div w:id="1132331599">
      <w:bodyDiv w:val="1"/>
      <w:marLeft w:val="0"/>
      <w:marRight w:val="0"/>
      <w:marTop w:val="0"/>
      <w:marBottom w:val="0"/>
      <w:divBdr>
        <w:top w:val="none" w:sz="0" w:space="0" w:color="auto"/>
        <w:left w:val="none" w:sz="0" w:space="0" w:color="auto"/>
        <w:bottom w:val="none" w:sz="0" w:space="0" w:color="auto"/>
        <w:right w:val="none" w:sz="0" w:space="0" w:color="auto"/>
      </w:divBdr>
    </w:div>
    <w:div w:id="1134907605">
      <w:bodyDiv w:val="1"/>
      <w:marLeft w:val="0"/>
      <w:marRight w:val="0"/>
      <w:marTop w:val="0"/>
      <w:marBottom w:val="0"/>
      <w:divBdr>
        <w:top w:val="none" w:sz="0" w:space="0" w:color="auto"/>
        <w:left w:val="none" w:sz="0" w:space="0" w:color="auto"/>
        <w:bottom w:val="none" w:sz="0" w:space="0" w:color="auto"/>
        <w:right w:val="none" w:sz="0" w:space="0" w:color="auto"/>
      </w:divBdr>
    </w:div>
    <w:div w:id="1136794323">
      <w:bodyDiv w:val="1"/>
      <w:marLeft w:val="0"/>
      <w:marRight w:val="0"/>
      <w:marTop w:val="0"/>
      <w:marBottom w:val="0"/>
      <w:divBdr>
        <w:top w:val="none" w:sz="0" w:space="0" w:color="auto"/>
        <w:left w:val="none" w:sz="0" w:space="0" w:color="auto"/>
        <w:bottom w:val="none" w:sz="0" w:space="0" w:color="auto"/>
        <w:right w:val="none" w:sz="0" w:space="0" w:color="auto"/>
      </w:divBdr>
    </w:div>
    <w:div w:id="1138375026">
      <w:bodyDiv w:val="1"/>
      <w:marLeft w:val="0"/>
      <w:marRight w:val="0"/>
      <w:marTop w:val="0"/>
      <w:marBottom w:val="0"/>
      <w:divBdr>
        <w:top w:val="none" w:sz="0" w:space="0" w:color="auto"/>
        <w:left w:val="none" w:sz="0" w:space="0" w:color="auto"/>
        <w:bottom w:val="none" w:sz="0" w:space="0" w:color="auto"/>
        <w:right w:val="none" w:sz="0" w:space="0" w:color="auto"/>
      </w:divBdr>
    </w:div>
    <w:div w:id="1144929893">
      <w:bodyDiv w:val="1"/>
      <w:marLeft w:val="0"/>
      <w:marRight w:val="0"/>
      <w:marTop w:val="0"/>
      <w:marBottom w:val="0"/>
      <w:divBdr>
        <w:top w:val="none" w:sz="0" w:space="0" w:color="auto"/>
        <w:left w:val="none" w:sz="0" w:space="0" w:color="auto"/>
        <w:bottom w:val="none" w:sz="0" w:space="0" w:color="auto"/>
        <w:right w:val="none" w:sz="0" w:space="0" w:color="auto"/>
      </w:divBdr>
    </w:div>
    <w:div w:id="1150052795">
      <w:bodyDiv w:val="1"/>
      <w:marLeft w:val="0"/>
      <w:marRight w:val="0"/>
      <w:marTop w:val="0"/>
      <w:marBottom w:val="0"/>
      <w:divBdr>
        <w:top w:val="none" w:sz="0" w:space="0" w:color="auto"/>
        <w:left w:val="none" w:sz="0" w:space="0" w:color="auto"/>
        <w:bottom w:val="none" w:sz="0" w:space="0" w:color="auto"/>
        <w:right w:val="none" w:sz="0" w:space="0" w:color="auto"/>
      </w:divBdr>
      <w:divsChild>
        <w:div w:id="326515791">
          <w:marLeft w:val="0"/>
          <w:marRight w:val="0"/>
          <w:marTop w:val="0"/>
          <w:marBottom w:val="0"/>
          <w:divBdr>
            <w:top w:val="none" w:sz="0" w:space="0" w:color="auto"/>
            <w:left w:val="none" w:sz="0" w:space="0" w:color="auto"/>
            <w:bottom w:val="none" w:sz="0" w:space="0" w:color="auto"/>
            <w:right w:val="none" w:sz="0" w:space="0" w:color="auto"/>
          </w:divBdr>
          <w:divsChild>
            <w:div w:id="251159383">
              <w:marLeft w:val="0"/>
              <w:marRight w:val="0"/>
              <w:marTop w:val="0"/>
              <w:marBottom w:val="0"/>
              <w:divBdr>
                <w:top w:val="none" w:sz="0" w:space="0" w:color="auto"/>
                <w:left w:val="none" w:sz="0" w:space="0" w:color="auto"/>
                <w:bottom w:val="none" w:sz="0" w:space="0" w:color="auto"/>
                <w:right w:val="none" w:sz="0" w:space="0" w:color="auto"/>
              </w:divBdr>
            </w:div>
            <w:div w:id="544947474">
              <w:marLeft w:val="0"/>
              <w:marRight w:val="0"/>
              <w:marTop w:val="0"/>
              <w:marBottom w:val="0"/>
              <w:divBdr>
                <w:top w:val="none" w:sz="0" w:space="0" w:color="auto"/>
                <w:left w:val="none" w:sz="0" w:space="0" w:color="auto"/>
                <w:bottom w:val="none" w:sz="0" w:space="0" w:color="auto"/>
                <w:right w:val="none" w:sz="0" w:space="0" w:color="auto"/>
              </w:divBdr>
            </w:div>
            <w:div w:id="648248531">
              <w:marLeft w:val="0"/>
              <w:marRight w:val="0"/>
              <w:marTop w:val="0"/>
              <w:marBottom w:val="0"/>
              <w:divBdr>
                <w:top w:val="none" w:sz="0" w:space="0" w:color="auto"/>
                <w:left w:val="none" w:sz="0" w:space="0" w:color="auto"/>
                <w:bottom w:val="none" w:sz="0" w:space="0" w:color="auto"/>
                <w:right w:val="none" w:sz="0" w:space="0" w:color="auto"/>
              </w:divBdr>
            </w:div>
            <w:div w:id="689454065">
              <w:marLeft w:val="0"/>
              <w:marRight w:val="0"/>
              <w:marTop w:val="0"/>
              <w:marBottom w:val="0"/>
              <w:divBdr>
                <w:top w:val="none" w:sz="0" w:space="0" w:color="auto"/>
                <w:left w:val="none" w:sz="0" w:space="0" w:color="auto"/>
                <w:bottom w:val="none" w:sz="0" w:space="0" w:color="auto"/>
                <w:right w:val="none" w:sz="0" w:space="0" w:color="auto"/>
              </w:divBdr>
            </w:div>
            <w:div w:id="746541622">
              <w:marLeft w:val="0"/>
              <w:marRight w:val="0"/>
              <w:marTop w:val="0"/>
              <w:marBottom w:val="0"/>
              <w:divBdr>
                <w:top w:val="none" w:sz="0" w:space="0" w:color="auto"/>
                <w:left w:val="none" w:sz="0" w:space="0" w:color="auto"/>
                <w:bottom w:val="none" w:sz="0" w:space="0" w:color="auto"/>
                <w:right w:val="none" w:sz="0" w:space="0" w:color="auto"/>
              </w:divBdr>
            </w:div>
            <w:div w:id="757482759">
              <w:marLeft w:val="0"/>
              <w:marRight w:val="0"/>
              <w:marTop w:val="0"/>
              <w:marBottom w:val="0"/>
              <w:divBdr>
                <w:top w:val="none" w:sz="0" w:space="0" w:color="auto"/>
                <w:left w:val="none" w:sz="0" w:space="0" w:color="auto"/>
                <w:bottom w:val="none" w:sz="0" w:space="0" w:color="auto"/>
                <w:right w:val="none" w:sz="0" w:space="0" w:color="auto"/>
              </w:divBdr>
            </w:div>
            <w:div w:id="1213619155">
              <w:marLeft w:val="0"/>
              <w:marRight w:val="0"/>
              <w:marTop w:val="0"/>
              <w:marBottom w:val="0"/>
              <w:divBdr>
                <w:top w:val="none" w:sz="0" w:space="0" w:color="auto"/>
                <w:left w:val="none" w:sz="0" w:space="0" w:color="auto"/>
                <w:bottom w:val="none" w:sz="0" w:space="0" w:color="auto"/>
                <w:right w:val="none" w:sz="0" w:space="0" w:color="auto"/>
              </w:divBdr>
            </w:div>
            <w:div w:id="1241214382">
              <w:marLeft w:val="0"/>
              <w:marRight w:val="0"/>
              <w:marTop w:val="0"/>
              <w:marBottom w:val="0"/>
              <w:divBdr>
                <w:top w:val="none" w:sz="0" w:space="0" w:color="auto"/>
                <w:left w:val="none" w:sz="0" w:space="0" w:color="auto"/>
                <w:bottom w:val="none" w:sz="0" w:space="0" w:color="auto"/>
                <w:right w:val="none" w:sz="0" w:space="0" w:color="auto"/>
              </w:divBdr>
            </w:div>
            <w:div w:id="1416632683">
              <w:marLeft w:val="0"/>
              <w:marRight w:val="0"/>
              <w:marTop w:val="0"/>
              <w:marBottom w:val="0"/>
              <w:divBdr>
                <w:top w:val="none" w:sz="0" w:space="0" w:color="auto"/>
                <w:left w:val="none" w:sz="0" w:space="0" w:color="auto"/>
                <w:bottom w:val="none" w:sz="0" w:space="0" w:color="auto"/>
                <w:right w:val="none" w:sz="0" w:space="0" w:color="auto"/>
              </w:divBdr>
            </w:div>
            <w:div w:id="1578176026">
              <w:marLeft w:val="0"/>
              <w:marRight w:val="0"/>
              <w:marTop w:val="0"/>
              <w:marBottom w:val="0"/>
              <w:divBdr>
                <w:top w:val="none" w:sz="0" w:space="0" w:color="auto"/>
                <w:left w:val="none" w:sz="0" w:space="0" w:color="auto"/>
                <w:bottom w:val="none" w:sz="0" w:space="0" w:color="auto"/>
                <w:right w:val="none" w:sz="0" w:space="0" w:color="auto"/>
              </w:divBdr>
            </w:div>
            <w:div w:id="1603877055">
              <w:marLeft w:val="0"/>
              <w:marRight w:val="0"/>
              <w:marTop w:val="0"/>
              <w:marBottom w:val="0"/>
              <w:divBdr>
                <w:top w:val="none" w:sz="0" w:space="0" w:color="auto"/>
                <w:left w:val="none" w:sz="0" w:space="0" w:color="auto"/>
                <w:bottom w:val="none" w:sz="0" w:space="0" w:color="auto"/>
                <w:right w:val="none" w:sz="0" w:space="0" w:color="auto"/>
              </w:divBdr>
            </w:div>
            <w:div w:id="1664774145">
              <w:marLeft w:val="0"/>
              <w:marRight w:val="0"/>
              <w:marTop w:val="0"/>
              <w:marBottom w:val="0"/>
              <w:divBdr>
                <w:top w:val="none" w:sz="0" w:space="0" w:color="auto"/>
                <w:left w:val="none" w:sz="0" w:space="0" w:color="auto"/>
                <w:bottom w:val="none" w:sz="0" w:space="0" w:color="auto"/>
                <w:right w:val="none" w:sz="0" w:space="0" w:color="auto"/>
              </w:divBdr>
            </w:div>
            <w:div w:id="1897667255">
              <w:marLeft w:val="0"/>
              <w:marRight w:val="0"/>
              <w:marTop w:val="0"/>
              <w:marBottom w:val="0"/>
              <w:divBdr>
                <w:top w:val="none" w:sz="0" w:space="0" w:color="auto"/>
                <w:left w:val="none" w:sz="0" w:space="0" w:color="auto"/>
                <w:bottom w:val="none" w:sz="0" w:space="0" w:color="auto"/>
                <w:right w:val="none" w:sz="0" w:space="0" w:color="auto"/>
              </w:divBdr>
            </w:div>
            <w:div w:id="1938445855">
              <w:marLeft w:val="0"/>
              <w:marRight w:val="0"/>
              <w:marTop w:val="0"/>
              <w:marBottom w:val="0"/>
              <w:divBdr>
                <w:top w:val="none" w:sz="0" w:space="0" w:color="auto"/>
                <w:left w:val="none" w:sz="0" w:space="0" w:color="auto"/>
                <w:bottom w:val="none" w:sz="0" w:space="0" w:color="auto"/>
                <w:right w:val="none" w:sz="0" w:space="0" w:color="auto"/>
              </w:divBdr>
            </w:div>
            <w:div w:id="1938558027">
              <w:marLeft w:val="0"/>
              <w:marRight w:val="0"/>
              <w:marTop w:val="0"/>
              <w:marBottom w:val="0"/>
              <w:divBdr>
                <w:top w:val="none" w:sz="0" w:space="0" w:color="auto"/>
                <w:left w:val="none" w:sz="0" w:space="0" w:color="auto"/>
                <w:bottom w:val="none" w:sz="0" w:space="0" w:color="auto"/>
                <w:right w:val="none" w:sz="0" w:space="0" w:color="auto"/>
              </w:divBdr>
            </w:div>
            <w:div w:id="1989556933">
              <w:marLeft w:val="0"/>
              <w:marRight w:val="0"/>
              <w:marTop w:val="0"/>
              <w:marBottom w:val="0"/>
              <w:divBdr>
                <w:top w:val="none" w:sz="0" w:space="0" w:color="auto"/>
                <w:left w:val="none" w:sz="0" w:space="0" w:color="auto"/>
                <w:bottom w:val="none" w:sz="0" w:space="0" w:color="auto"/>
                <w:right w:val="none" w:sz="0" w:space="0" w:color="auto"/>
              </w:divBdr>
            </w:div>
            <w:div w:id="2014214486">
              <w:marLeft w:val="0"/>
              <w:marRight w:val="0"/>
              <w:marTop w:val="0"/>
              <w:marBottom w:val="0"/>
              <w:divBdr>
                <w:top w:val="none" w:sz="0" w:space="0" w:color="auto"/>
                <w:left w:val="none" w:sz="0" w:space="0" w:color="auto"/>
                <w:bottom w:val="none" w:sz="0" w:space="0" w:color="auto"/>
                <w:right w:val="none" w:sz="0" w:space="0" w:color="auto"/>
              </w:divBdr>
            </w:div>
            <w:div w:id="2018532537">
              <w:marLeft w:val="0"/>
              <w:marRight w:val="0"/>
              <w:marTop w:val="0"/>
              <w:marBottom w:val="0"/>
              <w:divBdr>
                <w:top w:val="none" w:sz="0" w:space="0" w:color="auto"/>
                <w:left w:val="none" w:sz="0" w:space="0" w:color="auto"/>
                <w:bottom w:val="none" w:sz="0" w:space="0" w:color="auto"/>
                <w:right w:val="none" w:sz="0" w:space="0" w:color="auto"/>
              </w:divBdr>
            </w:div>
          </w:divsChild>
        </w:div>
        <w:div w:id="430320024">
          <w:marLeft w:val="0"/>
          <w:marRight w:val="0"/>
          <w:marTop w:val="0"/>
          <w:marBottom w:val="0"/>
          <w:divBdr>
            <w:top w:val="none" w:sz="0" w:space="0" w:color="auto"/>
            <w:left w:val="none" w:sz="0" w:space="0" w:color="auto"/>
            <w:bottom w:val="none" w:sz="0" w:space="0" w:color="auto"/>
            <w:right w:val="none" w:sz="0" w:space="0" w:color="auto"/>
          </w:divBdr>
          <w:divsChild>
            <w:div w:id="48117059">
              <w:marLeft w:val="0"/>
              <w:marRight w:val="0"/>
              <w:marTop w:val="0"/>
              <w:marBottom w:val="0"/>
              <w:divBdr>
                <w:top w:val="none" w:sz="0" w:space="0" w:color="auto"/>
                <w:left w:val="none" w:sz="0" w:space="0" w:color="auto"/>
                <w:bottom w:val="none" w:sz="0" w:space="0" w:color="auto"/>
                <w:right w:val="none" w:sz="0" w:space="0" w:color="auto"/>
              </w:divBdr>
            </w:div>
            <w:div w:id="73287778">
              <w:marLeft w:val="0"/>
              <w:marRight w:val="0"/>
              <w:marTop w:val="0"/>
              <w:marBottom w:val="0"/>
              <w:divBdr>
                <w:top w:val="none" w:sz="0" w:space="0" w:color="auto"/>
                <w:left w:val="none" w:sz="0" w:space="0" w:color="auto"/>
                <w:bottom w:val="none" w:sz="0" w:space="0" w:color="auto"/>
                <w:right w:val="none" w:sz="0" w:space="0" w:color="auto"/>
              </w:divBdr>
            </w:div>
            <w:div w:id="306204049">
              <w:marLeft w:val="0"/>
              <w:marRight w:val="0"/>
              <w:marTop w:val="0"/>
              <w:marBottom w:val="0"/>
              <w:divBdr>
                <w:top w:val="none" w:sz="0" w:space="0" w:color="auto"/>
                <w:left w:val="none" w:sz="0" w:space="0" w:color="auto"/>
                <w:bottom w:val="none" w:sz="0" w:space="0" w:color="auto"/>
                <w:right w:val="none" w:sz="0" w:space="0" w:color="auto"/>
              </w:divBdr>
            </w:div>
            <w:div w:id="309210611">
              <w:marLeft w:val="0"/>
              <w:marRight w:val="0"/>
              <w:marTop w:val="0"/>
              <w:marBottom w:val="0"/>
              <w:divBdr>
                <w:top w:val="none" w:sz="0" w:space="0" w:color="auto"/>
                <w:left w:val="none" w:sz="0" w:space="0" w:color="auto"/>
                <w:bottom w:val="none" w:sz="0" w:space="0" w:color="auto"/>
                <w:right w:val="none" w:sz="0" w:space="0" w:color="auto"/>
              </w:divBdr>
            </w:div>
            <w:div w:id="524831386">
              <w:marLeft w:val="0"/>
              <w:marRight w:val="0"/>
              <w:marTop w:val="0"/>
              <w:marBottom w:val="0"/>
              <w:divBdr>
                <w:top w:val="none" w:sz="0" w:space="0" w:color="auto"/>
                <w:left w:val="none" w:sz="0" w:space="0" w:color="auto"/>
                <w:bottom w:val="none" w:sz="0" w:space="0" w:color="auto"/>
                <w:right w:val="none" w:sz="0" w:space="0" w:color="auto"/>
              </w:divBdr>
            </w:div>
            <w:div w:id="1290471669">
              <w:marLeft w:val="0"/>
              <w:marRight w:val="0"/>
              <w:marTop w:val="0"/>
              <w:marBottom w:val="0"/>
              <w:divBdr>
                <w:top w:val="none" w:sz="0" w:space="0" w:color="auto"/>
                <w:left w:val="none" w:sz="0" w:space="0" w:color="auto"/>
                <w:bottom w:val="none" w:sz="0" w:space="0" w:color="auto"/>
                <w:right w:val="none" w:sz="0" w:space="0" w:color="auto"/>
              </w:divBdr>
            </w:div>
            <w:div w:id="1408529062">
              <w:marLeft w:val="0"/>
              <w:marRight w:val="0"/>
              <w:marTop w:val="0"/>
              <w:marBottom w:val="0"/>
              <w:divBdr>
                <w:top w:val="none" w:sz="0" w:space="0" w:color="auto"/>
                <w:left w:val="none" w:sz="0" w:space="0" w:color="auto"/>
                <w:bottom w:val="none" w:sz="0" w:space="0" w:color="auto"/>
                <w:right w:val="none" w:sz="0" w:space="0" w:color="auto"/>
              </w:divBdr>
            </w:div>
            <w:div w:id="1567373914">
              <w:marLeft w:val="0"/>
              <w:marRight w:val="0"/>
              <w:marTop w:val="0"/>
              <w:marBottom w:val="0"/>
              <w:divBdr>
                <w:top w:val="none" w:sz="0" w:space="0" w:color="auto"/>
                <w:left w:val="none" w:sz="0" w:space="0" w:color="auto"/>
                <w:bottom w:val="none" w:sz="0" w:space="0" w:color="auto"/>
                <w:right w:val="none" w:sz="0" w:space="0" w:color="auto"/>
              </w:divBdr>
            </w:div>
            <w:div w:id="1743486062">
              <w:marLeft w:val="0"/>
              <w:marRight w:val="0"/>
              <w:marTop w:val="0"/>
              <w:marBottom w:val="0"/>
              <w:divBdr>
                <w:top w:val="none" w:sz="0" w:space="0" w:color="auto"/>
                <w:left w:val="none" w:sz="0" w:space="0" w:color="auto"/>
                <w:bottom w:val="none" w:sz="0" w:space="0" w:color="auto"/>
                <w:right w:val="none" w:sz="0" w:space="0" w:color="auto"/>
              </w:divBdr>
            </w:div>
            <w:div w:id="196065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13562">
      <w:bodyDiv w:val="1"/>
      <w:marLeft w:val="0"/>
      <w:marRight w:val="0"/>
      <w:marTop w:val="0"/>
      <w:marBottom w:val="0"/>
      <w:divBdr>
        <w:top w:val="none" w:sz="0" w:space="0" w:color="auto"/>
        <w:left w:val="none" w:sz="0" w:space="0" w:color="auto"/>
        <w:bottom w:val="none" w:sz="0" w:space="0" w:color="auto"/>
        <w:right w:val="none" w:sz="0" w:space="0" w:color="auto"/>
      </w:divBdr>
    </w:div>
    <w:div w:id="1151209840">
      <w:bodyDiv w:val="1"/>
      <w:marLeft w:val="0"/>
      <w:marRight w:val="0"/>
      <w:marTop w:val="0"/>
      <w:marBottom w:val="0"/>
      <w:divBdr>
        <w:top w:val="none" w:sz="0" w:space="0" w:color="auto"/>
        <w:left w:val="none" w:sz="0" w:space="0" w:color="auto"/>
        <w:bottom w:val="none" w:sz="0" w:space="0" w:color="auto"/>
        <w:right w:val="none" w:sz="0" w:space="0" w:color="auto"/>
      </w:divBdr>
    </w:div>
    <w:div w:id="1152720937">
      <w:bodyDiv w:val="1"/>
      <w:marLeft w:val="0"/>
      <w:marRight w:val="0"/>
      <w:marTop w:val="0"/>
      <w:marBottom w:val="0"/>
      <w:divBdr>
        <w:top w:val="none" w:sz="0" w:space="0" w:color="auto"/>
        <w:left w:val="none" w:sz="0" w:space="0" w:color="auto"/>
        <w:bottom w:val="none" w:sz="0" w:space="0" w:color="auto"/>
        <w:right w:val="none" w:sz="0" w:space="0" w:color="auto"/>
      </w:divBdr>
    </w:div>
    <w:div w:id="1153178679">
      <w:bodyDiv w:val="1"/>
      <w:marLeft w:val="0"/>
      <w:marRight w:val="0"/>
      <w:marTop w:val="0"/>
      <w:marBottom w:val="0"/>
      <w:divBdr>
        <w:top w:val="none" w:sz="0" w:space="0" w:color="auto"/>
        <w:left w:val="none" w:sz="0" w:space="0" w:color="auto"/>
        <w:bottom w:val="none" w:sz="0" w:space="0" w:color="auto"/>
        <w:right w:val="none" w:sz="0" w:space="0" w:color="auto"/>
      </w:divBdr>
    </w:div>
    <w:div w:id="1155486617">
      <w:bodyDiv w:val="1"/>
      <w:marLeft w:val="0"/>
      <w:marRight w:val="0"/>
      <w:marTop w:val="0"/>
      <w:marBottom w:val="0"/>
      <w:divBdr>
        <w:top w:val="none" w:sz="0" w:space="0" w:color="auto"/>
        <w:left w:val="none" w:sz="0" w:space="0" w:color="auto"/>
        <w:bottom w:val="none" w:sz="0" w:space="0" w:color="auto"/>
        <w:right w:val="none" w:sz="0" w:space="0" w:color="auto"/>
      </w:divBdr>
    </w:div>
    <w:div w:id="1156458995">
      <w:bodyDiv w:val="1"/>
      <w:marLeft w:val="0"/>
      <w:marRight w:val="0"/>
      <w:marTop w:val="0"/>
      <w:marBottom w:val="0"/>
      <w:divBdr>
        <w:top w:val="none" w:sz="0" w:space="0" w:color="auto"/>
        <w:left w:val="none" w:sz="0" w:space="0" w:color="auto"/>
        <w:bottom w:val="none" w:sz="0" w:space="0" w:color="auto"/>
        <w:right w:val="none" w:sz="0" w:space="0" w:color="auto"/>
      </w:divBdr>
    </w:div>
    <w:div w:id="1156654406">
      <w:bodyDiv w:val="1"/>
      <w:marLeft w:val="0"/>
      <w:marRight w:val="0"/>
      <w:marTop w:val="0"/>
      <w:marBottom w:val="0"/>
      <w:divBdr>
        <w:top w:val="none" w:sz="0" w:space="0" w:color="auto"/>
        <w:left w:val="none" w:sz="0" w:space="0" w:color="auto"/>
        <w:bottom w:val="none" w:sz="0" w:space="0" w:color="auto"/>
        <w:right w:val="none" w:sz="0" w:space="0" w:color="auto"/>
      </w:divBdr>
    </w:div>
    <w:div w:id="1157301528">
      <w:bodyDiv w:val="1"/>
      <w:marLeft w:val="0"/>
      <w:marRight w:val="0"/>
      <w:marTop w:val="0"/>
      <w:marBottom w:val="0"/>
      <w:divBdr>
        <w:top w:val="none" w:sz="0" w:space="0" w:color="auto"/>
        <w:left w:val="none" w:sz="0" w:space="0" w:color="auto"/>
        <w:bottom w:val="none" w:sz="0" w:space="0" w:color="auto"/>
        <w:right w:val="none" w:sz="0" w:space="0" w:color="auto"/>
      </w:divBdr>
    </w:div>
    <w:div w:id="1157695298">
      <w:bodyDiv w:val="1"/>
      <w:marLeft w:val="0"/>
      <w:marRight w:val="0"/>
      <w:marTop w:val="0"/>
      <w:marBottom w:val="0"/>
      <w:divBdr>
        <w:top w:val="none" w:sz="0" w:space="0" w:color="auto"/>
        <w:left w:val="none" w:sz="0" w:space="0" w:color="auto"/>
        <w:bottom w:val="none" w:sz="0" w:space="0" w:color="auto"/>
        <w:right w:val="none" w:sz="0" w:space="0" w:color="auto"/>
      </w:divBdr>
    </w:div>
    <w:div w:id="1160074386">
      <w:bodyDiv w:val="1"/>
      <w:marLeft w:val="0"/>
      <w:marRight w:val="0"/>
      <w:marTop w:val="0"/>
      <w:marBottom w:val="0"/>
      <w:divBdr>
        <w:top w:val="none" w:sz="0" w:space="0" w:color="auto"/>
        <w:left w:val="none" w:sz="0" w:space="0" w:color="auto"/>
        <w:bottom w:val="none" w:sz="0" w:space="0" w:color="auto"/>
        <w:right w:val="none" w:sz="0" w:space="0" w:color="auto"/>
      </w:divBdr>
    </w:div>
    <w:div w:id="1160538440">
      <w:bodyDiv w:val="1"/>
      <w:marLeft w:val="0"/>
      <w:marRight w:val="0"/>
      <w:marTop w:val="0"/>
      <w:marBottom w:val="0"/>
      <w:divBdr>
        <w:top w:val="none" w:sz="0" w:space="0" w:color="auto"/>
        <w:left w:val="none" w:sz="0" w:space="0" w:color="auto"/>
        <w:bottom w:val="none" w:sz="0" w:space="0" w:color="auto"/>
        <w:right w:val="none" w:sz="0" w:space="0" w:color="auto"/>
      </w:divBdr>
    </w:div>
    <w:div w:id="1160731187">
      <w:bodyDiv w:val="1"/>
      <w:marLeft w:val="0"/>
      <w:marRight w:val="0"/>
      <w:marTop w:val="0"/>
      <w:marBottom w:val="0"/>
      <w:divBdr>
        <w:top w:val="none" w:sz="0" w:space="0" w:color="auto"/>
        <w:left w:val="none" w:sz="0" w:space="0" w:color="auto"/>
        <w:bottom w:val="none" w:sz="0" w:space="0" w:color="auto"/>
        <w:right w:val="none" w:sz="0" w:space="0" w:color="auto"/>
      </w:divBdr>
    </w:div>
    <w:div w:id="1166744373">
      <w:bodyDiv w:val="1"/>
      <w:marLeft w:val="0"/>
      <w:marRight w:val="0"/>
      <w:marTop w:val="0"/>
      <w:marBottom w:val="0"/>
      <w:divBdr>
        <w:top w:val="none" w:sz="0" w:space="0" w:color="auto"/>
        <w:left w:val="none" w:sz="0" w:space="0" w:color="auto"/>
        <w:bottom w:val="none" w:sz="0" w:space="0" w:color="auto"/>
        <w:right w:val="none" w:sz="0" w:space="0" w:color="auto"/>
      </w:divBdr>
    </w:div>
    <w:div w:id="1167016762">
      <w:bodyDiv w:val="1"/>
      <w:marLeft w:val="0"/>
      <w:marRight w:val="0"/>
      <w:marTop w:val="0"/>
      <w:marBottom w:val="0"/>
      <w:divBdr>
        <w:top w:val="none" w:sz="0" w:space="0" w:color="auto"/>
        <w:left w:val="none" w:sz="0" w:space="0" w:color="auto"/>
        <w:bottom w:val="none" w:sz="0" w:space="0" w:color="auto"/>
        <w:right w:val="none" w:sz="0" w:space="0" w:color="auto"/>
      </w:divBdr>
    </w:div>
    <w:div w:id="1169714868">
      <w:bodyDiv w:val="1"/>
      <w:marLeft w:val="0"/>
      <w:marRight w:val="0"/>
      <w:marTop w:val="0"/>
      <w:marBottom w:val="0"/>
      <w:divBdr>
        <w:top w:val="none" w:sz="0" w:space="0" w:color="auto"/>
        <w:left w:val="none" w:sz="0" w:space="0" w:color="auto"/>
        <w:bottom w:val="none" w:sz="0" w:space="0" w:color="auto"/>
        <w:right w:val="none" w:sz="0" w:space="0" w:color="auto"/>
      </w:divBdr>
    </w:div>
    <w:div w:id="1174803354">
      <w:bodyDiv w:val="1"/>
      <w:marLeft w:val="0"/>
      <w:marRight w:val="0"/>
      <w:marTop w:val="0"/>
      <w:marBottom w:val="0"/>
      <w:divBdr>
        <w:top w:val="none" w:sz="0" w:space="0" w:color="auto"/>
        <w:left w:val="none" w:sz="0" w:space="0" w:color="auto"/>
        <w:bottom w:val="none" w:sz="0" w:space="0" w:color="auto"/>
        <w:right w:val="none" w:sz="0" w:space="0" w:color="auto"/>
      </w:divBdr>
    </w:div>
    <w:div w:id="1184782094">
      <w:bodyDiv w:val="1"/>
      <w:marLeft w:val="0"/>
      <w:marRight w:val="0"/>
      <w:marTop w:val="0"/>
      <w:marBottom w:val="0"/>
      <w:divBdr>
        <w:top w:val="none" w:sz="0" w:space="0" w:color="auto"/>
        <w:left w:val="none" w:sz="0" w:space="0" w:color="auto"/>
        <w:bottom w:val="none" w:sz="0" w:space="0" w:color="auto"/>
        <w:right w:val="none" w:sz="0" w:space="0" w:color="auto"/>
      </w:divBdr>
    </w:div>
    <w:div w:id="1186627089">
      <w:bodyDiv w:val="1"/>
      <w:marLeft w:val="0"/>
      <w:marRight w:val="0"/>
      <w:marTop w:val="0"/>
      <w:marBottom w:val="0"/>
      <w:divBdr>
        <w:top w:val="none" w:sz="0" w:space="0" w:color="auto"/>
        <w:left w:val="none" w:sz="0" w:space="0" w:color="auto"/>
        <w:bottom w:val="none" w:sz="0" w:space="0" w:color="auto"/>
        <w:right w:val="none" w:sz="0" w:space="0" w:color="auto"/>
      </w:divBdr>
    </w:div>
    <w:div w:id="1192963433">
      <w:bodyDiv w:val="1"/>
      <w:marLeft w:val="0"/>
      <w:marRight w:val="0"/>
      <w:marTop w:val="0"/>
      <w:marBottom w:val="0"/>
      <w:divBdr>
        <w:top w:val="none" w:sz="0" w:space="0" w:color="auto"/>
        <w:left w:val="none" w:sz="0" w:space="0" w:color="auto"/>
        <w:bottom w:val="none" w:sz="0" w:space="0" w:color="auto"/>
        <w:right w:val="none" w:sz="0" w:space="0" w:color="auto"/>
      </w:divBdr>
    </w:div>
    <w:div w:id="1193037993">
      <w:bodyDiv w:val="1"/>
      <w:marLeft w:val="0"/>
      <w:marRight w:val="0"/>
      <w:marTop w:val="0"/>
      <w:marBottom w:val="0"/>
      <w:divBdr>
        <w:top w:val="none" w:sz="0" w:space="0" w:color="auto"/>
        <w:left w:val="none" w:sz="0" w:space="0" w:color="auto"/>
        <w:bottom w:val="none" w:sz="0" w:space="0" w:color="auto"/>
        <w:right w:val="none" w:sz="0" w:space="0" w:color="auto"/>
      </w:divBdr>
    </w:div>
    <w:div w:id="1196189571">
      <w:bodyDiv w:val="1"/>
      <w:marLeft w:val="0"/>
      <w:marRight w:val="0"/>
      <w:marTop w:val="0"/>
      <w:marBottom w:val="0"/>
      <w:divBdr>
        <w:top w:val="none" w:sz="0" w:space="0" w:color="auto"/>
        <w:left w:val="none" w:sz="0" w:space="0" w:color="auto"/>
        <w:bottom w:val="none" w:sz="0" w:space="0" w:color="auto"/>
        <w:right w:val="none" w:sz="0" w:space="0" w:color="auto"/>
      </w:divBdr>
    </w:div>
    <w:div w:id="1200045674">
      <w:bodyDiv w:val="1"/>
      <w:marLeft w:val="0"/>
      <w:marRight w:val="0"/>
      <w:marTop w:val="0"/>
      <w:marBottom w:val="0"/>
      <w:divBdr>
        <w:top w:val="none" w:sz="0" w:space="0" w:color="auto"/>
        <w:left w:val="none" w:sz="0" w:space="0" w:color="auto"/>
        <w:bottom w:val="none" w:sz="0" w:space="0" w:color="auto"/>
        <w:right w:val="none" w:sz="0" w:space="0" w:color="auto"/>
      </w:divBdr>
    </w:div>
    <w:div w:id="1202400782">
      <w:bodyDiv w:val="1"/>
      <w:marLeft w:val="0"/>
      <w:marRight w:val="0"/>
      <w:marTop w:val="0"/>
      <w:marBottom w:val="0"/>
      <w:divBdr>
        <w:top w:val="none" w:sz="0" w:space="0" w:color="auto"/>
        <w:left w:val="none" w:sz="0" w:space="0" w:color="auto"/>
        <w:bottom w:val="none" w:sz="0" w:space="0" w:color="auto"/>
        <w:right w:val="none" w:sz="0" w:space="0" w:color="auto"/>
      </w:divBdr>
    </w:div>
    <w:div w:id="1210456702">
      <w:bodyDiv w:val="1"/>
      <w:marLeft w:val="0"/>
      <w:marRight w:val="0"/>
      <w:marTop w:val="0"/>
      <w:marBottom w:val="0"/>
      <w:divBdr>
        <w:top w:val="none" w:sz="0" w:space="0" w:color="auto"/>
        <w:left w:val="none" w:sz="0" w:space="0" w:color="auto"/>
        <w:bottom w:val="none" w:sz="0" w:space="0" w:color="auto"/>
        <w:right w:val="none" w:sz="0" w:space="0" w:color="auto"/>
      </w:divBdr>
    </w:div>
    <w:div w:id="1212883432">
      <w:bodyDiv w:val="1"/>
      <w:marLeft w:val="0"/>
      <w:marRight w:val="0"/>
      <w:marTop w:val="0"/>
      <w:marBottom w:val="0"/>
      <w:divBdr>
        <w:top w:val="none" w:sz="0" w:space="0" w:color="auto"/>
        <w:left w:val="none" w:sz="0" w:space="0" w:color="auto"/>
        <w:bottom w:val="none" w:sz="0" w:space="0" w:color="auto"/>
        <w:right w:val="none" w:sz="0" w:space="0" w:color="auto"/>
      </w:divBdr>
    </w:div>
    <w:div w:id="1213422307">
      <w:bodyDiv w:val="1"/>
      <w:marLeft w:val="0"/>
      <w:marRight w:val="0"/>
      <w:marTop w:val="0"/>
      <w:marBottom w:val="0"/>
      <w:divBdr>
        <w:top w:val="none" w:sz="0" w:space="0" w:color="auto"/>
        <w:left w:val="none" w:sz="0" w:space="0" w:color="auto"/>
        <w:bottom w:val="none" w:sz="0" w:space="0" w:color="auto"/>
        <w:right w:val="none" w:sz="0" w:space="0" w:color="auto"/>
      </w:divBdr>
    </w:div>
    <w:div w:id="1214198779">
      <w:bodyDiv w:val="1"/>
      <w:marLeft w:val="0"/>
      <w:marRight w:val="0"/>
      <w:marTop w:val="0"/>
      <w:marBottom w:val="0"/>
      <w:divBdr>
        <w:top w:val="none" w:sz="0" w:space="0" w:color="auto"/>
        <w:left w:val="none" w:sz="0" w:space="0" w:color="auto"/>
        <w:bottom w:val="none" w:sz="0" w:space="0" w:color="auto"/>
        <w:right w:val="none" w:sz="0" w:space="0" w:color="auto"/>
      </w:divBdr>
    </w:div>
    <w:div w:id="1215043229">
      <w:bodyDiv w:val="1"/>
      <w:marLeft w:val="0"/>
      <w:marRight w:val="0"/>
      <w:marTop w:val="0"/>
      <w:marBottom w:val="0"/>
      <w:divBdr>
        <w:top w:val="none" w:sz="0" w:space="0" w:color="auto"/>
        <w:left w:val="none" w:sz="0" w:space="0" w:color="auto"/>
        <w:bottom w:val="none" w:sz="0" w:space="0" w:color="auto"/>
        <w:right w:val="none" w:sz="0" w:space="0" w:color="auto"/>
      </w:divBdr>
    </w:div>
    <w:div w:id="1215432734">
      <w:bodyDiv w:val="1"/>
      <w:marLeft w:val="0"/>
      <w:marRight w:val="0"/>
      <w:marTop w:val="0"/>
      <w:marBottom w:val="0"/>
      <w:divBdr>
        <w:top w:val="none" w:sz="0" w:space="0" w:color="auto"/>
        <w:left w:val="none" w:sz="0" w:space="0" w:color="auto"/>
        <w:bottom w:val="none" w:sz="0" w:space="0" w:color="auto"/>
        <w:right w:val="none" w:sz="0" w:space="0" w:color="auto"/>
      </w:divBdr>
    </w:div>
    <w:div w:id="1216770685">
      <w:bodyDiv w:val="1"/>
      <w:marLeft w:val="0"/>
      <w:marRight w:val="0"/>
      <w:marTop w:val="0"/>
      <w:marBottom w:val="0"/>
      <w:divBdr>
        <w:top w:val="none" w:sz="0" w:space="0" w:color="auto"/>
        <w:left w:val="none" w:sz="0" w:space="0" w:color="auto"/>
        <w:bottom w:val="none" w:sz="0" w:space="0" w:color="auto"/>
        <w:right w:val="none" w:sz="0" w:space="0" w:color="auto"/>
      </w:divBdr>
    </w:div>
    <w:div w:id="1220366591">
      <w:bodyDiv w:val="1"/>
      <w:marLeft w:val="0"/>
      <w:marRight w:val="0"/>
      <w:marTop w:val="0"/>
      <w:marBottom w:val="0"/>
      <w:divBdr>
        <w:top w:val="none" w:sz="0" w:space="0" w:color="auto"/>
        <w:left w:val="none" w:sz="0" w:space="0" w:color="auto"/>
        <w:bottom w:val="none" w:sz="0" w:space="0" w:color="auto"/>
        <w:right w:val="none" w:sz="0" w:space="0" w:color="auto"/>
      </w:divBdr>
    </w:div>
    <w:div w:id="1223715663">
      <w:bodyDiv w:val="1"/>
      <w:marLeft w:val="0"/>
      <w:marRight w:val="0"/>
      <w:marTop w:val="0"/>
      <w:marBottom w:val="0"/>
      <w:divBdr>
        <w:top w:val="none" w:sz="0" w:space="0" w:color="auto"/>
        <w:left w:val="none" w:sz="0" w:space="0" w:color="auto"/>
        <w:bottom w:val="none" w:sz="0" w:space="0" w:color="auto"/>
        <w:right w:val="none" w:sz="0" w:space="0" w:color="auto"/>
      </w:divBdr>
    </w:div>
    <w:div w:id="1228955425">
      <w:bodyDiv w:val="1"/>
      <w:marLeft w:val="0"/>
      <w:marRight w:val="0"/>
      <w:marTop w:val="0"/>
      <w:marBottom w:val="0"/>
      <w:divBdr>
        <w:top w:val="none" w:sz="0" w:space="0" w:color="auto"/>
        <w:left w:val="none" w:sz="0" w:space="0" w:color="auto"/>
        <w:bottom w:val="none" w:sz="0" w:space="0" w:color="auto"/>
        <w:right w:val="none" w:sz="0" w:space="0" w:color="auto"/>
      </w:divBdr>
    </w:div>
    <w:div w:id="1233657104">
      <w:bodyDiv w:val="1"/>
      <w:marLeft w:val="0"/>
      <w:marRight w:val="0"/>
      <w:marTop w:val="0"/>
      <w:marBottom w:val="0"/>
      <w:divBdr>
        <w:top w:val="none" w:sz="0" w:space="0" w:color="auto"/>
        <w:left w:val="none" w:sz="0" w:space="0" w:color="auto"/>
        <w:bottom w:val="none" w:sz="0" w:space="0" w:color="auto"/>
        <w:right w:val="none" w:sz="0" w:space="0" w:color="auto"/>
      </w:divBdr>
    </w:div>
    <w:div w:id="1236091592">
      <w:bodyDiv w:val="1"/>
      <w:marLeft w:val="0"/>
      <w:marRight w:val="0"/>
      <w:marTop w:val="0"/>
      <w:marBottom w:val="0"/>
      <w:divBdr>
        <w:top w:val="none" w:sz="0" w:space="0" w:color="auto"/>
        <w:left w:val="none" w:sz="0" w:space="0" w:color="auto"/>
        <w:bottom w:val="none" w:sz="0" w:space="0" w:color="auto"/>
        <w:right w:val="none" w:sz="0" w:space="0" w:color="auto"/>
      </w:divBdr>
    </w:div>
    <w:div w:id="1236208868">
      <w:bodyDiv w:val="1"/>
      <w:marLeft w:val="0"/>
      <w:marRight w:val="0"/>
      <w:marTop w:val="0"/>
      <w:marBottom w:val="0"/>
      <w:divBdr>
        <w:top w:val="none" w:sz="0" w:space="0" w:color="auto"/>
        <w:left w:val="none" w:sz="0" w:space="0" w:color="auto"/>
        <w:bottom w:val="none" w:sz="0" w:space="0" w:color="auto"/>
        <w:right w:val="none" w:sz="0" w:space="0" w:color="auto"/>
      </w:divBdr>
    </w:div>
    <w:div w:id="1239752737">
      <w:bodyDiv w:val="1"/>
      <w:marLeft w:val="0"/>
      <w:marRight w:val="0"/>
      <w:marTop w:val="0"/>
      <w:marBottom w:val="0"/>
      <w:divBdr>
        <w:top w:val="none" w:sz="0" w:space="0" w:color="auto"/>
        <w:left w:val="none" w:sz="0" w:space="0" w:color="auto"/>
        <w:bottom w:val="none" w:sz="0" w:space="0" w:color="auto"/>
        <w:right w:val="none" w:sz="0" w:space="0" w:color="auto"/>
      </w:divBdr>
    </w:div>
    <w:div w:id="1240402627">
      <w:bodyDiv w:val="1"/>
      <w:marLeft w:val="0"/>
      <w:marRight w:val="0"/>
      <w:marTop w:val="0"/>
      <w:marBottom w:val="0"/>
      <w:divBdr>
        <w:top w:val="none" w:sz="0" w:space="0" w:color="auto"/>
        <w:left w:val="none" w:sz="0" w:space="0" w:color="auto"/>
        <w:bottom w:val="none" w:sz="0" w:space="0" w:color="auto"/>
        <w:right w:val="none" w:sz="0" w:space="0" w:color="auto"/>
      </w:divBdr>
    </w:div>
    <w:div w:id="1242451657">
      <w:bodyDiv w:val="1"/>
      <w:marLeft w:val="0"/>
      <w:marRight w:val="0"/>
      <w:marTop w:val="0"/>
      <w:marBottom w:val="0"/>
      <w:divBdr>
        <w:top w:val="none" w:sz="0" w:space="0" w:color="auto"/>
        <w:left w:val="none" w:sz="0" w:space="0" w:color="auto"/>
        <w:bottom w:val="none" w:sz="0" w:space="0" w:color="auto"/>
        <w:right w:val="none" w:sz="0" w:space="0" w:color="auto"/>
      </w:divBdr>
    </w:div>
    <w:div w:id="1242636774">
      <w:bodyDiv w:val="1"/>
      <w:marLeft w:val="0"/>
      <w:marRight w:val="0"/>
      <w:marTop w:val="0"/>
      <w:marBottom w:val="0"/>
      <w:divBdr>
        <w:top w:val="none" w:sz="0" w:space="0" w:color="auto"/>
        <w:left w:val="none" w:sz="0" w:space="0" w:color="auto"/>
        <w:bottom w:val="none" w:sz="0" w:space="0" w:color="auto"/>
        <w:right w:val="none" w:sz="0" w:space="0" w:color="auto"/>
      </w:divBdr>
    </w:div>
    <w:div w:id="1245216280">
      <w:bodyDiv w:val="1"/>
      <w:marLeft w:val="0"/>
      <w:marRight w:val="0"/>
      <w:marTop w:val="0"/>
      <w:marBottom w:val="0"/>
      <w:divBdr>
        <w:top w:val="none" w:sz="0" w:space="0" w:color="auto"/>
        <w:left w:val="none" w:sz="0" w:space="0" w:color="auto"/>
        <w:bottom w:val="none" w:sz="0" w:space="0" w:color="auto"/>
        <w:right w:val="none" w:sz="0" w:space="0" w:color="auto"/>
      </w:divBdr>
    </w:div>
    <w:div w:id="1246845554">
      <w:bodyDiv w:val="1"/>
      <w:marLeft w:val="0"/>
      <w:marRight w:val="0"/>
      <w:marTop w:val="0"/>
      <w:marBottom w:val="0"/>
      <w:divBdr>
        <w:top w:val="none" w:sz="0" w:space="0" w:color="auto"/>
        <w:left w:val="none" w:sz="0" w:space="0" w:color="auto"/>
        <w:bottom w:val="none" w:sz="0" w:space="0" w:color="auto"/>
        <w:right w:val="none" w:sz="0" w:space="0" w:color="auto"/>
      </w:divBdr>
    </w:div>
    <w:div w:id="1249844785">
      <w:bodyDiv w:val="1"/>
      <w:marLeft w:val="0"/>
      <w:marRight w:val="0"/>
      <w:marTop w:val="0"/>
      <w:marBottom w:val="0"/>
      <w:divBdr>
        <w:top w:val="none" w:sz="0" w:space="0" w:color="auto"/>
        <w:left w:val="none" w:sz="0" w:space="0" w:color="auto"/>
        <w:bottom w:val="none" w:sz="0" w:space="0" w:color="auto"/>
        <w:right w:val="none" w:sz="0" w:space="0" w:color="auto"/>
      </w:divBdr>
    </w:div>
    <w:div w:id="1251891866">
      <w:bodyDiv w:val="1"/>
      <w:marLeft w:val="0"/>
      <w:marRight w:val="0"/>
      <w:marTop w:val="0"/>
      <w:marBottom w:val="0"/>
      <w:divBdr>
        <w:top w:val="none" w:sz="0" w:space="0" w:color="auto"/>
        <w:left w:val="none" w:sz="0" w:space="0" w:color="auto"/>
        <w:bottom w:val="none" w:sz="0" w:space="0" w:color="auto"/>
        <w:right w:val="none" w:sz="0" w:space="0" w:color="auto"/>
      </w:divBdr>
    </w:div>
    <w:div w:id="1255434451">
      <w:bodyDiv w:val="1"/>
      <w:marLeft w:val="0"/>
      <w:marRight w:val="0"/>
      <w:marTop w:val="0"/>
      <w:marBottom w:val="0"/>
      <w:divBdr>
        <w:top w:val="none" w:sz="0" w:space="0" w:color="auto"/>
        <w:left w:val="none" w:sz="0" w:space="0" w:color="auto"/>
        <w:bottom w:val="none" w:sz="0" w:space="0" w:color="auto"/>
        <w:right w:val="none" w:sz="0" w:space="0" w:color="auto"/>
      </w:divBdr>
    </w:div>
    <w:div w:id="1256135061">
      <w:bodyDiv w:val="1"/>
      <w:marLeft w:val="0"/>
      <w:marRight w:val="0"/>
      <w:marTop w:val="0"/>
      <w:marBottom w:val="0"/>
      <w:divBdr>
        <w:top w:val="none" w:sz="0" w:space="0" w:color="auto"/>
        <w:left w:val="none" w:sz="0" w:space="0" w:color="auto"/>
        <w:bottom w:val="none" w:sz="0" w:space="0" w:color="auto"/>
        <w:right w:val="none" w:sz="0" w:space="0" w:color="auto"/>
      </w:divBdr>
    </w:div>
    <w:div w:id="1259217661">
      <w:bodyDiv w:val="1"/>
      <w:marLeft w:val="0"/>
      <w:marRight w:val="0"/>
      <w:marTop w:val="0"/>
      <w:marBottom w:val="0"/>
      <w:divBdr>
        <w:top w:val="none" w:sz="0" w:space="0" w:color="auto"/>
        <w:left w:val="none" w:sz="0" w:space="0" w:color="auto"/>
        <w:bottom w:val="none" w:sz="0" w:space="0" w:color="auto"/>
        <w:right w:val="none" w:sz="0" w:space="0" w:color="auto"/>
      </w:divBdr>
    </w:div>
    <w:div w:id="1262028616">
      <w:bodyDiv w:val="1"/>
      <w:marLeft w:val="0"/>
      <w:marRight w:val="0"/>
      <w:marTop w:val="0"/>
      <w:marBottom w:val="0"/>
      <w:divBdr>
        <w:top w:val="none" w:sz="0" w:space="0" w:color="auto"/>
        <w:left w:val="none" w:sz="0" w:space="0" w:color="auto"/>
        <w:bottom w:val="none" w:sz="0" w:space="0" w:color="auto"/>
        <w:right w:val="none" w:sz="0" w:space="0" w:color="auto"/>
      </w:divBdr>
      <w:divsChild>
        <w:div w:id="1778678181">
          <w:marLeft w:val="0"/>
          <w:marRight w:val="0"/>
          <w:marTop w:val="0"/>
          <w:marBottom w:val="0"/>
          <w:divBdr>
            <w:top w:val="none" w:sz="0" w:space="0" w:color="auto"/>
            <w:left w:val="none" w:sz="0" w:space="0" w:color="auto"/>
            <w:bottom w:val="none" w:sz="0" w:space="0" w:color="auto"/>
            <w:right w:val="none" w:sz="0" w:space="0" w:color="auto"/>
          </w:divBdr>
        </w:div>
      </w:divsChild>
    </w:div>
    <w:div w:id="1266234170">
      <w:bodyDiv w:val="1"/>
      <w:marLeft w:val="0"/>
      <w:marRight w:val="0"/>
      <w:marTop w:val="0"/>
      <w:marBottom w:val="0"/>
      <w:divBdr>
        <w:top w:val="none" w:sz="0" w:space="0" w:color="auto"/>
        <w:left w:val="none" w:sz="0" w:space="0" w:color="auto"/>
        <w:bottom w:val="none" w:sz="0" w:space="0" w:color="auto"/>
        <w:right w:val="none" w:sz="0" w:space="0" w:color="auto"/>
      </w:divBdr>
      <w:divsChild>
        <w:div w:id="1289580500">
          <w:marLeft w:val="0"/>
          <w:marRight w:val="0"/>
          <w:marTop w:val="0"/>
          <w:marBottom w:val="0"/>
          <w:divBdr>
            <w:top w:val="none" w:sz="0" w:space="0" w:color="auto"/>
            <w:left w:val="none" w:sz="0" w:space="0" w:color="auto"/>
            <w:bottom w:val="none" w:sz="0" w:space="0" w:color="auto"/>
            <w:right w:val="none" w:sz="0" w:space="0" w:color="auto"/>
          </w:divBdr>
        </w:div>
      </w:divsChild>
    </w:div>
    <w:div w:id="1274166949">
      <w:bodyDiv w:val="1"/>
      <w:marLeft w:val="0"/>
      <w:marRight w:val="0"/>
      <w:marTop w:val="0"/>
      <w:marBottom w:val="0"/>
      <w:divBdr>
        <w:top w:val="none" w:sz="0" w:space="0" w:color="auto"/>
        <w:left w:val="none" w:sz="0" w:space="0" w:color="auto"/>
        <w:bottom w:val="none" w:sz="0" w:space="0" w:color="auto"/>
        <w:right w:val="none" w:sz="0" w:space="0" w:color="auto"/>
      </w:divBdr>
    </w:div>
    <w:div w:id="1276714713">
      <w:bodyDiv w:val="1"/>
      <w:marLeft w:val="0"/>
      <w:marRight w:val="0"/>
      <w:marTop w:val="0"/>
      <w:marBottom w:val="0"/>
      <w:divBdr>
        <w:top w:val="none" w:sz="0" w:space="0" w:color="auto"/>
        <w:left w:val="none" w:sz="0" w:space="0" w:color="auto"/>
        <w:bottom w:val="none" w:sz="0" w:space="0" w:color="auto"/>
        <w:right w:val="none" w:sz="0" w:space="0" w:color="auto"/>
      </w:divBdr>
    </w:div>
    <w:div w:id="1285650678">
      <w:bodyDiv w:val="1"/>
      <w:marLeft w:val="0"/>
      <w:marRight w:val="0"/>
      <w:marTop w:val="0"/>
      <w:marBottom w:val="0"/>
      <w:divBdr>
        <w:top w:val="none" w:sz="0" w:space="0" w:color="auto"/>
        <w:left w:val="none" w:sz="0" w:space="0" w:color="auto"/>
        <w:bottom w:val="none" w:sz="0" w:space="0" w:color="auto"/>
        <w:right w:val="none" w:sz="0" w:space="0" w:color="auto"/>
      </w:divBdr>
    </w:div>
    <w:div w:id="1286540909">
      <w:bodyDiv w:val="1"/>
      <w:marLeft w:val="0"/>
      <w:marRight w:val="0"/>
      <w:marTop w:val="0"/>
      <w:marBottom w:val="0"/>
      <w:divBdr>
        <w:top w:val="none" w:sz="0" w:space="0" w:color="auto"/>
        <w:left w:val="none" w:sz="0" w:space="0" w:color="auto"/>
        <w:bottom w:val="none" w:sz="0" w:space="0" w:color="auto"/>
        <w:right w:val="none" w:sz="0" w:space="0" w:color="auto"/>
      </w:divBdr>
    </w:div>
    <w:div w:id="1290621892">
      <w:bodyDiv w:val="1"/>
      <w:marLeft w:val="0"/>
      <w:marRight w:val="0"/>
      <w:marTop w:val="0"/>
      <w:marBottom w:val="0"/>
      <w:divBdr>
        <w:top w:val="none" w:sz="0" w:space="0" w:color="auto"/>
        <w:left w:val="none" w:sz="0" w:space="0" w:color="auto"/>
        <w:bottom w:val="none" w:sz="0" w:space="0" w:color="auto"/>
        <w:right w:val="none" w:sz="0" w:space="0" w:color="auto"/>
      </w:divBdr>
    </w:div>
    <w:div w:id="1292008088">
      <w:bodyDiv w:val="1"/>
      <w:marLeft w:val="0"/>
      <w:marRight w:val="0"/>
      <w:marTop w:val="0"/>
      <w:marBottom w:val="0"/>
      <w:divBdr>
        <w:top w:val="none" w:sz="0" w:space="0" w:color="auto"/>
        <w:left w:val="none" w:sz="0" w:space="0" w:color="auto"/>
        <w:bottom w:val="none" w:sz="0" w:space="0" w:color="auto"/>
        <w:right w:val="none" w:sz="0" w:space="0" w:color="auto"/>
      </w:divBdr>
    </w:div>
    <w:div w:id="1292322385">
      <w:bodyDiv w:val="1"/>
      <w:marLeft w:val="0"/>
      <w:marRight w:val="0"/>
      <w:marTop w:val="0"/>
      <w:marBottom w:val="0"/>
      <w:divBdr>
        <w:top w:val="none" w:sz="0" w:space="0" w:color="auto"/>
        <w:left w:val="none" w:sz="0" w:space="0" w:color="auto"/>
        <w:bottom w:val="none" w:sz="0" w:space="0" w:color="auto"/>
        <w:right w:val="none" w:sz="0" w:space="0" w:color="auto"/>
      </w:divBdr>
    </w:div>
    <w:div w:id="1293632306">
      <w:bodyDiv w:val="1"/>
      <w:marLeft w:val="0"/>
      <w:marRight w:val="0"/>
      <w:marTop w:val="0"/>
      <w:marBottom w:val="0"/>
      <w:divBdr>
        <w:top w:val="none" w:sz="0" w:space="0" w:color="auto"/>
        <w:left w:val="none" w:sz="0" w:space="0" w:color="auto"/>
        <w:bottom w:val="none" w:sz="0" w:space="0" w:color="auto"/>
        <w:right w:val="none" w:sz="0" w:space="0" w:color="auto"/>
      </w:divBdr>
    </w:div>
    <w:div w:id="1294018065">
      <w:bodyDiv w:val="1"/>
      <w:marLeft w:val="0"/>
      <w:marRight w:val="0"/>
      <w:marTop w:val="0"/>
      <w:marBottom w:val="0"/>
      <w:divBdr>
        <w:top w:val="none" w:sz="0" w:space="0" w:color="auto"/>
        <w:left w:val="none" w:sz="0" w:space="0" w:color="auto"/>
        <w:bottom w:val="none" w:sz="0" w:space="0" w:color="auto"/>
        <w:right w:val="none" w:sz="0" w:space="0" w:color="auto"/>
      </w:divBdr>
    </w:div>
    <w:div w:id="1294755666">
      <w:bodyDiv w:val="1"/>
      <w:marLeft w:val="0"/>
      <w:marRight w:val="0"/>
      <w:marTop w:val="0"/>
      <w:marBottom w:val="0"/>
      <w:divBdr>
        <w:top w:val="none" w:sz="0" w:space="0" w:color="auto"/>
        <w:left w:val="none" w:sz="0" w:space="0" w:color="auto"/>
        <w:bottom w:val="none" w:sz="0" w:space="0" w:color="auto"/>
        <w:right w:val="none" w:sz="0" w:space="0" w:color="auto"/>
      </w:divBdr>
      <w:divsChild>
        <w:div w:id="1331519043">
          <w:marLeft w:val="0"/>
          <w:marRight w:val="0"/>
          <w:marTop w:val="0"/>
          <w:marBottom w:val="0"/>
          <w:divBdr>
            <w:top w:val="none" w:sz="0" w:space="0" w:color="auto"/>
            <w:left w:val="none" w:sz="0" w:space="0" w:color="auto"/>
            <w:bottom w:val="none" w:sz="0" w:space="0" w:color="auto"/>
            <w:right w:val="none" w:sz="0" w:space="0" w:color="auto"/>
          </w:divBdr>
        </w:div>
      </w:divsChild>
    </w:div>
    <w:div w:id="1296252523">
      <w:bodyDiv w:val="1"/>
      <w:marLeft w:val="0"/>
      <w:marRight w:val="0"/>
      <w:marTop w:val="0"/>
      <w:marBottom w:val="0"/>
      <w:divBdr>
        <w:top w:val="none" w:sz="0" w:space="0" w:color="auto"/>
        <w:left w:val="none" w:sz="0" w:space="0" w:color="auto"/>
        <w:bottom w:val="none" w:sz="0" w:space="0" w:color="auto"/>
        <w:right w:val="none" w:sz="0" w:space="0" w:color="auto"/>
      </w:divBdr>
    </w:div>
    <w:div w:id="1296521369">
      <w:bodyDiv w:val="1"/>
      <w:marLeft w:val="0"/>
      <w:marRight w:val="0"/>
      <w:marTop w:val="0"/>
      <w:marBottom w:val="0"/>
      <w:divBdr>
        <w:top w:val="none" w:sz="0" w:space="0" w:color="auto"/>
        <w:left w:val="none" w:sz="0" w:space="0" w:color="auto"/>
        <w:bottom w:val="none" w:sz="0" w:space="0" w:color="auto"/>
        <w:right w:val="none" w:sz="0" w:space="0" w:color="auto"/>
      </w:divBdr>
    </w:div>
    <w:div w:id="1297492280">
      <w:bodyDiv w:val="1"/>
      <w:marLeft w:val="0"/>
      <w:marRight w:val="0"/>
      <w:marTop w:val="0"/>
      <w:marBottom w:val="0"/>
      <w:divBdr>
        <w:top w:val="none" w:sz="0" w:space="0" w:color="auto"/>
        <w:left w:val="none" w:sz="0" w:space="0" w:color="auto"/>
        <w:bottom w:val="none" w:sz="0" w:space="0" w:color="auto"/>
        <w:right w:val="none" w:sz="0" w:space="0" w:color="auto"/>
      </w:divBdr>
    </w:div>
    <w:div w:id="1301418418">
      <w:bodyDiv w:val="1"/>
      <w:marLeft w:val="0"/>
      <w:marRight w:val="0"/>
      <w:marTop w:val="0"/>
      <w:marBottom w:val="0"/>
      <w:divBdr>
        <w:top w:val="none" w:sz="0" w:space="0" w:color="auto"/>
        <w:left w:val="none" w:sz="0" w:space="0" w:color="auto"/>
        <w:bottom w:val="none" w:sz="0" w:space="0" w:color="auto"/>
        <w:right w:val="none" w:sz="0" w:space="0" w:color="auto"/>
      </w:divBdr>
    </w:div>
    <w:div w:id="1304771823">
      <w:bodyDiv w:val="1"/>
      <w:marLeft w:val="0"/>
      <w:marRight w:val="0"/>
      <w:marTop w:val="0"/>
      <w:marBottom w:val="0"/>
      <w:divBdr>
        <w:top w:val="none" w:sz="0" w:space="0" w:color="auto"/>
        <w:left w:val="none" w:sz="0" w:space="0" w:color="auto"/>
        <w:bottom w:val="none" w:sz="0" w:space="0" w:color="auto"/>
        <w:right w:val="none" w:sz="0" w:space="0" w:color="auto"/>
      </w:divBdr>
    </w:div>
    <w:div w:id="1304889608">
      <w:bodyDiv w:val="1"/>
      <w:marLeft w:val="0"/>
      <w:marRight w:val="0"/>
      <w:marTop w:val="0"/>
      <w:marBottom w:val="0"/>
      <w:divBdr>
        <w:top w:val="none" w:sz="0" w:space="0" w:color="auto"/>
        <w:left w:val="none" w:sz="0" w:space="0" w:color="auto"/>
        <w:bottom w:val="none" w:sz="0" w:space="0" w:color="auto"/>
        <w:right w:val="none" w:sz="0" w:space="0" w:color="auto"/>
      </w:divBdr>
    </w:div>
    <w:div w:id="1306813661">
      <w:bodyDiv w:val="1"/>
      <w:marLeft w:val="0"/>
      <w:marRight w:val="0"/>
      <w:marTop w:val="0"/>
      <w:marBottom w:val="0"/>
      <w:divBdr>
        <w:top w:val="none" w:sz="0" w:space="0" w:color="auto"/>
        <w:left w:val="none" w:sz="0" w:space="0" w:color="auto"/>
        <w:bottom w:val="none" w:sz="0" w:space="0" w:color="auto"/>
        <w:right w:val="none" w:sz="0" w:space="0" w:color="auto"/>
      </w:divBdr>
    </w:div>
    <w:div w:id="1306885485">
      <w:bodyDiv w:val="1"/>
      <w:marLeft w:val="0"/>
      <w:marRight w:val="0"/>
      <w:marTop w:val="0"/>
      <w:marBottom w:val="0"/>
      <w:divBdr>
        <w:top w:val="none" w:sz="0" w:space="0" w:color="auto"/>
        <w:left w:val="none" w:sz="0" w:space="0" w:color="auto"/>
        <w:bottom w:val="none" w:sz="0" w:space="0" w:color="auto"/>
        <w:right w:val="none" w:sz="0" w:space="0" w:color="auto"/>
      </w:divBdr>
    </w:div>
    <w:div w:id="1311253279">
      <w:bodyDiv w:val="1"/>
      <w:marLeft w:val="0"/>
      <w:marRight w:val="0"/>
      <w:marTop w:val="0"/>
      <w:marBottom w:val="0"/>
      <w:divBdr>
        <w:top w:val="none" w:sz="0" w:space="0" w:color="auto"/>
        <w:left w:val="none" w:sz="0" w:space="0" w:color="auto"/>
        <w:bottom w:val="none" w:sz="0" w:space="0" w:color="auto"/>
        <w:right w:val="none" w:sz="0" w:space="0" w:color="auto"/>
      </w:divBdr>
    </w:div>
    <w:div w:id="1331718471">
      <w:bodyDiv w:val="1"/>
      <w:marLeft w:val="0"/>
      <w:marRight w:val="0"/>
      <w:marTop w:val="0"/>
      <w:marBottom w:val="0"/>
      <w:divBdr>
        <w:top w:val="none" w:sz="0" w:space="0" w:color="auto"/>
        <w:left w:val="none" w:sz="0" w:space="0" w:color="auto"/>
        <w:bottom w:val="none" w:sz="0" w:space="0" w:color="auto"/>
        <w:right w:val="none" w:sz="0" w:space="0" w:color="auto"/>
      </w:divBdr>
    </w:div>
    <w:div w:id="1332174639">
      <w:bodyDiv w:val="1"/>
      <w:marLeft w:val="0"/>
      <w:marRight w:val="0"/>
      <w:marTop w:val="0"/>
      <w:marBottom w:val="0"/>
      <w:divBdr>
        <w:top w:val="none" w:sz="0" w:space="0" w:color="auto"/>
        <w:left w:val="none" w:sz="0" w:space="0" w:color="auto"/>
        <w:bottom w:val="none" w:sz="0" w:space="0" w:color="auto"/>
        <w:right w:val="none" w:sz="0" w:space="0" w:color="auto"/>
      </w:divBdr>
    </w:div>
    <w:div w:id="1332753253">
      <w:bodyDiv w:val="1"/>
      <w:marLeft w:val="0"/>
      <w:marRight w:val="0"/>
      <w:marTop w:val="0"/>
      <w:marBottom w:val="0"/>
      <w:divBdr>
        <w:top w:val="none" w:sz="0" w:space="0" w:color="auto"/>
        <w:left w:val="none" w:sz="0" w:space="0" w:color="auto"/>
        <w:bottom w:val="none" w:sz="0" w:space="0" w:color="auto"/>
        <w:right w:val="none" w:sz="0" w:space="0" w:color="auto"/>
      </w:divBdr>
    </w:div>
    <w:div w:id="1341005811">
      <w:bodyDiv w:val="1"/>
      <w:marLeft w:val="0"/>
      <w:marRight w:val="0"/>
      <w:marTop w:val="0"/>
      <w:marBottom w:val="0"/>
      <w:divBdr>
        <w:top w:val="none" w:sz="0" w:space="0" w:color="auto"/>
        <w:left w:val="none" w:sz="0" w:space="0" w:color="auto"/>
        <w:bottom w:val="none" w:sz="0" w:space="0" w:color="auto"/>
        <w:right w:val="none" w:sz="0" w:space="0" w:color="auto"/>
      </w:divBdr>
    </w:div>
    <w:div w:id="1344208900">
      <w:bodyDiv w:val="1"/>
      <w:marLeft w:val="0"/>
      <w:marRight w:val="0"/>
      <w:marTop w:val="0"/>
      <w:marBottom w:val="0"/>
      <w:divBdr>
        <w:top w:val="none" w:sz="0" w:space="0" w:color="auto"/>
        <w:left w:val="none" w:sz="0" w:space="0" w:color="auto"/>
        <w:bottom w:val="none" w:sz="0" w:space="0" w:color="auto"/>
        <w:right w:val="none" w:sz="0" w:space="0" w:color="auto"/>
      </w:divBdr>
    </w:div>
    <w:div w:id="1344866215">
      <w:bodyDiv w:val="1"/>
      <w:marLeft w:val="0"/>
      <w:marRight w:val="0"/>
      <w:marTop w:val="0"/>
      <w:marBottom w:val="0"/>
      <w:divBdr>
        <w:top w:val="none" w:sz="0" w:space="0" w:color="auto"/>
        <w:left w:val="none" w:sz="0" w:space="0" w:color="auto"/>
        <w:bottom w:val="none" w:sz="0" w:space="0" w:color="auto"/>
        <w:right w:val="none" w:sz="0" w:space="0" w:color="auto"/>
      </w:divBdr>
    </w:div>
    <w:div w:id="1345744626">
      <w:bodyDiv w:val="1"/>
      <w:marLeft w:val="0"/>
      <w:marRight w:val="0"/>
      <w:marTop w:val="0"/>
      <w:marBottom w:val="0"/>
      <w:divBdr>
        <w:top w:val="none" w:sz="0" w:space="0" w:color="auto"/>
        <w:left w:val="none" w:sz="0" w:space="0" w:color="auto"/>
        <w:bottom w:val="none" w:sz="0" w:space="0" w:color="auto"/>
        <w:right w:val="none" w:sz="0" w:space="0" w:color="auto"/>
      </w:divBdr>
    </w:div>
    <w:div w:id="1349454162">
      <w:bodyDiv w:val="1"/>
      <w:marLeft w:val="0"/>
      <w:marRight w:val="0"/>
      <w:marTop w:val="0"/>
      <w:marBottom w:val="0"/>
      <w:divBdr>
        <w:top w:val="none" w:sz="0" w:space="0" w:color="auto"/>
        <w:left w:val="none" w:sz="0" w:space="0" w:color="auto"/>
        <w:bottom w:val="none" w:sz="0" w:space="0" w:color="auto"/>
        <w:right w:val="none" w:sz="0" w:space="0" w:color="auto"/>
      </w:divBdr>
    </w:div>
    <w:div w:id="1351565429">
      <w:bodyDiv w:val="1"/>
      <w:marLeft w:val="0"/>
      <w:marRight w:val="0"/>
      <w:marTop w:val="0"/>
      <w:marBottom w:val="0"/>
      <w:divBdr>
        <w:top w:val="none" w:sz="0" w:space="0" w:color="auto"/>
        <w:left w:val="none" w:sz="0" w:space="0" w:color="auto"/>
        <w:bottom w:val="none" w:sz="0" w:space="0" w:color="auto"/>
        <w:right w:val="none" w:sz="0" w:space="0" w:color="auto"/>
      </w:divBdr>
      <w:divsChild>
        <w:div w:id="30349931">
          <w:marLeft w:val="274"/>
          <w:marRight w:val="0"/>
          <w:marTop w:val="0"/>
          <w:marBottom w:val="0"/>
          <w:divBdr>
            <w:top w:val="none" w:sz="0" w:space="0" w:color="auto"/>
            <w:left w:val="none" w:sz="0" w:space="0" w:color="auto"/>
            <w:bottom w:val="none" w:sz="0" w:space="0" w:color="auto"/>
            <w:right w:val="none" w:sz="0" w:space="0" w:color="auto"/>
          </w:divBdr>
        </w:div>
        <w:div w:id="563570400">
          <w:marLeft w:val="994"/>
          <w:marRight w:val="0"/>
          <w:marTop w:val="0"/>
          <w:marBottom w:val="0"/>
          <w:divBdr>
            <w:top w:val="none" w:sz="0" w:space="0" w:color="auto"/>
            <w:left w:val="none" w:sz="0" w:space="0" w:color="auto"/>
            <w:bottom w:val="none" w:sz="0" w:space="0" w:color="auto"/>
            <w:right w:val="none" w:sz="0" w:space="0" w:color="auto"/>
          </w:divBdr>
        </w:div>
        <w:div w:id="1001009020">
          <w:marLeft w:val="274"/>
          <w:marRight w:val="0"/>
          <w:marTop w:val="0"/>
          <w:marBottom w:val="0"/>
          <w:divBdr>
            <w:top w:val="none" w:sz="0" w:space="0" w:color="auto"/>
            <w:left w:val="none" w:sz="0" w:space="0" w:color="auto"/>
            <w:bottom w:val="none" w:sz="0" w:space="0" w:color="auto"/>
            <w:right w:val="none" w:sz="0" w:space="0" w:color="auto"/>
          </w:divBdr>
        </w:div>
        <w:div w:id="1038433364">
          <w:marLeft w:val="994"/>
          <w:marRight w:val="0"/>
          <w:marTop w:val="0"/>
          <w:marBottom w:val="0"/>
          <w:divBdr>
            <w:top w:val="none" w:sz="0" w:space="0" w:color="auto"/>
            <w:left w:val="none" w:sz="0" w:space="0" w:color="auto"/>
            <w:bottom w:val="none" w:sz="0" w:space="0" w:color="auto"/>
            <w:right w:val="none" w:sz="0" w:space="0" w:color="auto"/>
          </w:divBdr>
        </w:div>
        <w:div w:id="1266423429">
          <w:marLeft w:val="547"/>
          <w:marRight w:val="0"/>
          <w:marTop w:val="0"/>
          <w:marBottom w:val="0"/>
          <w:divBdr>
            <w:top w:val="none" w:sz="0" w:space="0" w:color="auto"/>
            <w:left w:val="none" w:sz="0" w:space="0" w:color="auto"/>
            <w:bottom w:val="none" w:sz="0" w:space="0" w:color="auto"/>
            <w:right w:val="none" w:sz="0" w:space="0" w:color="auto"/>
          </w:divBdr>
        </w:div>
        <w:div w:id="1297101867">
          <w:marLeft w:val="994"/>
          <w:marRight w:val="0"/>
          <w:marTop w:val="0"/>
          <w:marBottom w:val="0"/>
          <w:divBdr>
            <w:top w:val="none" w:sz="0" w:space="0" w:color="auto"/>
            <w:left w:val="none" w:sz="0" w:space="0" w:color="auto"/>
            <w:bottom w:val="none" w:sz="0" w:space="0" w:color="auto"/>
            <w:right w:val="none" w:sz="0" w:space="0" w:color="auto"/>
          </w:divBdr>
        </w:div>
        <w:div w:id="1707439383">
          <w:marLeft w:val="274"/>
          <w:marRight w:val="0"/>
          <w:marTop w:val="0"/>
          <w:marBottom w:val="0"/>
          <w:divBdr>
            <w:top w:val="none" w:sz="0" w:space="0" w:color="auto"/>
            <w:left w:val="none" w:sz="0" w:space="0" w:color="auto"/>
            <w:bottom w:val="none" w:sz="0" w:space="0" w:color="auto"/>
            <w:right w:val="none" w:sz="0" w:space="0" w:color="auto"/>
          </w:divBdr>
        </w:div>
      </w:divsChild>
    </w:div>
    <w:div w:id="1352687146">
      <w:bodyDiv w:val="1"/>
      <w:marLeft w:val="0"/>
      <w:marRight w:val="0"/>
      <w:marTop w:val="0"/>
      <w:marBottom w:val="0"/>
      <w:divBdr>
        <w:top w:val="none" w:sz="0" w:space="0" w:color="auto"/>
        <w:left w:val="none" w:sz="0" w:space="0" w:color="auto"/>
        <w:bottom w:val="none" w:sz="0" w:space="0" w:color="auto"/>
        <w:right w:val="none" w:sz="0" w:space="0" w:color="auto"/>
      </w:divBdr>
    </w:div>
    <w:div w:id="1353990205">
      <w:bodyDiv w:val="1"/>
      <w:marLeft w:val="0"/>
      <w:marRight w:val="0"/>
      <w:marTop w:val="0"/>
      <w:marBottom w:val="0"/>
      <w:divBdr>
        <w:top w:val="none" w:sz="0" w:space="0" w:color="auto"/>
        <w:left w:val="none" w:sz="0" w:space="0" w:color="auto"/>
        <w:bottom w:val="none" w:sz="0" w:space="0" w:color="auto"/>
        <w:right w:val="none" w:sz="0" w:space="0" w:color="auto"/>
      </w:divBdr>
    </w:div>
    <w:div w:id="1356422891">
      <w:bodyDiv w:val="1"/>
      <w:marLeft w:val="0"/>
      <w:marRight w:val="0"/>
      <w:marTop w:val="0"/>
      <w:marBottom w:val="0"/>
      <w:divBdr>
        <w:top w:val="none" w:sz="0" w:space="0" w:color="auto"/>
        <w:left w:val="none" w:sz="0" w:space="0" w:color="auto"/>
        <w:bottom w:val="none" w:sz="0" w:space="0" w:color="auto"/>
        <w:right w:val="none" w:sz="0" w:space="0" w:color="auto"/>
      </w:divBdr>
    </w:div>
    <w:div w:id="1362323631">
      <w:bodyDiv w:val="1"/>
      <w:marLeft w:val="0"/>
      <w:marRight w:val="0"/>
      <w:marTop w:val="0"/>
      <w:marBottom w:val="0"/>
      <w:divBdr>
        <w:top w:val="none" w:sz="0" w:space="0" w:color="auto"/>
        <w:left w:val="none" w:sz="0" w:space="0" w:color="auto"/>
        <w:bottom w:val="none" w:sz="0" w:space="0" w:color="auto"/>
        <w:right w:val="none" w:sz="0" w:space="0" w:color="auto"/>
      </w:divBdr>
    </w:div>
    <w:div w:id="1363438781">
      <w:bodyDiv w:val="1"/>
      <w:marLeft w:val="0"/>
      <w:marRight w:val="0"/>
      <w:marTop w:val="0"/>
      <w:marBottom w:val="0"/>
      <w:divBdr>
        <w:top w:val="none" w:sz="0" w:space="0" w:color="auto"/>
        <w:left w:val="none" w:sz="0" w:space="0" w:color="auto"/>
        <w:bottom w:val="none" w:sz="0" w:space="0" w:color="auto"/>
        <w:right w:val="none" w:sz="0" w:space="0" w:color="auto"/>
      </w:divBdr>
    </w:div>
    <w:div w:id="1364162948">
      <w:bodyDiv w:val="1"/>
      <w:marLeft w:val="0"/>
      <w:marRight w:val="0"/>
      <w:marTop w:val="0"/>
      <w:marBottom w:val="0"/>
      <w:divBdr>
        <w:top w:val="none" w:sz="0" w:space="0" w:color="auto"/>
        <w:left w:val="none" w:sz="0" w:space="0" w:color="auto"/>
        <w:bottom w:val="none" w:sz="0" w:space="0" w:color="auto"/>
        <w:right w:val="none" w:sz="0" w:space="0" w:color="auto"/>
      </w:divBdr>
    </w:div>
    <w:div w:id="1364280721">
      <w:bodyDiv w:val="1"/>
      <w:marLeft w:val="0"/>
      <w:marRight w:val="0"/>
      <w:marTop w:val="0"/>
      <w:marBottom w:val="0"/>
      <w:divBdr>
        <w:top w:val="none" w:sz="0" w:space="0" w:color="auto"/>
        <w:left w:val="none" w:sz="0" w:space="0" w:color="auto"/>
        <w:bottom w:val="none" w:sz="0" w:space="0" w:color="auto"/>
        <w:right w:val="none" w:sz="0" w:space="0" w:color="auto"/>
      </w:divBdr>
    </w:div>
    <w:div w:id="1366177747">
      <w:bodyDiv w:val="1"/>
      <w:marLeft w:val="0"/>
      <w:marRight w:val="0"/>
      <w:marTop w:val="0"/>
      <w:marBottom w:val="0"/>
      <w:divBdr>
        <w:top w:val="none" w:sz="0" w:space="0" w:color="auto"/>
        <w:left w:val="none" w:sz="0" w:space="0" w:color="auto"/>
        <w:bottom w:val="none" w:sz="0" w:space="0" w:color="auto"/>
        <w:right w:val="none" w:sz="0" w:space="0" w:color="auto"/>
      </w:divBdr>
    </w:div>
    <w:div w:id="1366249979">
      <w:bodyDiv w:val="1"/>
      <w:marLeft w:val="0"/>
      <w:marRight w:val="0"/>
      <w:marTop w:val="0"/>
      <w:marBottom w:val="0"/>
      <w:divBdr>
        <w:top w:val="none" w:sz="0" w:space="0" w:color="auto"/>
        <w:left w:val="none" w:sz="0" w:space="0" w:color="auto"/>
        <w:bottom w:val="none" w:sz="0" w:space="0" w:color="auto"/>
        <w:right w:val="none" w:sz="0" w:space="0" w:color="auto"/>
      </w:divBdr>
    </w:div>
    <w:div w:id="1368488404">
      <w:bodyDiv w:val="1"/>
      <w:marLeft w:val="0"/>
      <w:marRight w:val="0"/>
      <w:marTop w:val="0"/>
      <w:marBottom w:val="0"/>
      <w:divBdr>
        <w:top w:val="none" w:sz="0" w:space="0" w:color="auto"/>
        <w:left w:val="none" w:sz="0" w:space="0" w:color="auto"/>
        <w:bottom w:val="none" w:sz="0" w:space="0" w:color="auto"/>
        <w:right w:val="none" w:sz="0" w:space="0" w:color="auto"/>
      </w:divBdr>
    </w:div>
    <w:div w:id="1369531444">
      <w:bodyDiv w:val="1"/>
      <w:marLeft w:val="0"/>
      <w:marRight w:val="0"/>
      <w:marTop w:val="0"/>
      <w:marBottom w:val="0"/>
      <w:divBdr>
        <w:top w:val="none" w:sz="0" w:space="0" w:color="auto"/>
        <w:left w:val="none" w:sz="0" w:space="0" w:color="auto"/>
        <w:bottom w:val="none" w:sz="0" w:space="0" w:color="auto"/>
        <w:right w:val="none" w:sz="0" w:space="0" w:color="auto"/>
      </w:divBdr>
    </w:div>
    <w:div w:id="1372459320">
      <w:bodyDiv w:val="1"/>
      <w:marLeft w:val="0"/>
      <w:marRight w:val="0"/>
      <w:marTop w:val="0"/>
      <w:marBottom w:val="0"/>
      <w:divBdr>
        <w:top w:val="none" w:sz="0" w:space="0" w:color="auto"/>
        <w:left w:val="none" w:sz="0" w:space="0" w:color="auto"/>
        <w:bottom w:val="none" w:sz="0" w:space="0" w:color="auto"/>
        <w:right w:val="none" w:sz="0" w:space="0" w:color="auto"/>
      </w:divBdr>
    </w:div>
    <w:div w:id="1374113014">
      <w:bodyDiv w:val="1"/>
      <w:marLeft w:val="0"/>
      <w:marRight w:val="0"/>
      <w:marTop w:val="0"/>
      <w:marBottom w:val="0"/>
      <w:divBdr>
        <w:top w:val="none" w:sz="0" w:space="0" w:color="auto"/>
        <w:left w:val="none" w:sz="0" w:space="0" w:color="auto"/>
        <w:bottom w:val="none" w:sz="0" w:space="0" w:color="auto"/>
        <w:right w:val="none" w:sz="0" w:space="0" w:color="auto"/>
      </w:divBdr>
    </w:div>
    <w:div w:id="1374303305">
      <w:bodyDiv w:val="1"/>
      <w:marLeft w:val="0"/>
      <w:marRight w:val="0"/>
      <w:marTop w:val="0"/>
      <w:marBottom w:val="0"/>
      <w:divBdr>
        <w:top w:val="none" w:sz="0" w:space="0" w:color="auto"/>
        <w:left w:val="none" w:sz="0" w:space="0" w:color="auto"/>
        <w:bottom w:val="none" w:sz="0" w:space="0" w:color="auto"/>
        <w:right w:val="none" w:sz="0" w:space="0" w:color="auto"/>
      </w:divBdr>
    </w:div>
    <w:div w:id="1378554528">
      <w:bodyDiv w:val="1"/>
      <w:marLeft w:val="0"/>
      <w:marRight w:val="0"/>
      <w:marTop w:val="0"/>
      <w:marBottom w:val="0"/>
      <w:divBdr>
        <w:top w:val="none" w:sz="0" w:space="0" w:color="auto"/>
        <w:left w:val="none" w:sz="0" w:space="0" w:color="auto"/>
        <w:bottom w:val="none" w:sz="0" w:space="0" w:color="auto"/>
        <w:right w:val="none" w:sz="0" w:space="0" w:color="auto"/>
      </w:divBdr>
    </w:div>
    <w:div w:id="1382247873">
      <w:bodyDiv w:val="1"/>
      <w:marLeft w:val="0"/>
      <w:marRight w:val="0"/>
      <w:marTop w:val="0"/>
      <w:marBottom w:val="0"/>
      <w:divBdr>
        <w:top w:val="none" w:sz="0" w:space="0" w:color="auto"/>
        <w:left w:val="none" w:sz="0" w:space="0" w:color="auto"/>
        <w:bottom w:val="none" w:sz="0" w:space="0" w:color="auto"/>
        <w:right w:val="none" w:sz="0" w:space="0" w:color="auto"/>
      </w:divBdr>
    </w:div>
    <w:div w:id="1384450316">
      <w:bodyDiv w:val="1"/>
      <w:marLeft w:val="0"/>
      <w:marRight w:val="0"/>
      <w:marTop w:val="0"/>
      <w:marBottom w:val="0"/>
      <w:divBdr>
        <w:top w:val="none" w:sz="0" w:space="0" w:color="auto"/>
        <w:left w:val="none" w:sz="0" w:space="0" w:color="auto"/>
        <w:bottom w:val="none" w:sz="0" w:space="0" w:color="auto"/>
        <w:right w:val="none" w:sz="0" w:space="0" w:color="auto"/>
      </w:divBdr>
    </w:div>
    <w:div w:id="1385329322">
      <w:bodyDiv w:val="1"/>
      <w:marLeft w:val="0"/>
      <w:marRight w:val="0"/>
      <w:marTop w:val="0"/>
      <w:marBottom w:val="0"/>
      <w:divBdr>
        <w:top w:val="none" w:sz="0" w:space="0" w:color="auto"/>
        <w:left w:val="none" w:sz="0" w:space="0" w:color="auto"/>
        <w:bottom w:val="none" w:sz="0" w:space="0" w:color="auto"/>
        <w:right w:val="none" w:sz="0" w:space="0" w:color="auto"/>
      </w:divBdr>
    </w:div>
    <w:div w:id="1391996176">
      <w:bodyDiv w:val="1"/>
      <w:marLeft w:val="0"/>
      <w:marRight w:val="0"/>
      <w:marTop w:val="0"/>
      <w:marBottom w:val="0"/>
      <w:divBdr>
        <w:top w:val="none" w:sz="0" w:space="0" w:color="auto"/>
        <w:left w:val="none" w:sz="0" w:space="0" w:color="auto"/>
        <w:bottom w:val="none" w:sz="0" w:space="0" w:color="auto"/>
        <w:right w:val="none" w:sz="0" w:space="0" w:color="auto"/>
      </w:divBdr>
    </w:div>
    <w:div w:id="1392927440">
      <w:bodyDiv w:val="1"/>
      <w:marLeft w:val="0"/>
      <w:marRight w:val="0"/>
      <w:marTop w:val="0"/>
      <w:marBottom w:val="0"/>
      <w:divBdr>
        <w:top w:val="none" w:sz="0" w:space="0" w:color="auto"/>
        <w:left w:val="none" w:sz="0" w:space="0" w:color="auto"/>
        <w:bottom w:val="none" w:sz="0" w:space="0" w:color="auto"/>
        <w:right w:val="none" w:sz="0" w:space="0" w:color="auto"/>
      </w:divBdr>
    </w:div>
    <w:div w:id="1395273298">
      <w:bodyDiv w:val="1"/>
      <w:marLeft w:val="0"/>
      <w:marRight w:val="0"/>
      <w:marTop w:val="0"/>
      <w:marBottom w:val="0"/>
      <w:divBdr>
        <w:top w:val="none" w:sz="0" w:space="0" w:color="auto"/>
        <w:left w:val="none" w:sz="0" w:space="0" w:color="auto"/>
        <w:bottom w:val="none" w:sz="0" w:space="0" w:color="auto"/>
        <w:right w:val="none" w:sz="0" w:space="0" w:color="auto"/>
      </w:divBdr>
    </w:div>
    <w:div w:id="1395617892">
      <w:bodyDiv w:val="1"/>
      <w:marLeft w:val="0"/>
      <w:marRight w:val="0"/>
      <w:marTop w:val="0"/>
      <w:marBottom w:val="0"/>
      <w:divBdr>
        <w:top w:val="none" w:sz="0" w:space="0" w:color="auto"/>
        <w:left w:val="none" w:sz="0" w:space="0" w:color="auto"/>
        <w:bottom w:val="none" w:sz="0" w:space="0" w:color="auto"/>
        <w:right w:val="none" w:sz="0" w:space="0" w:color="auto"/>
      </w:divBdr>
    </w:div>
    <w:div w:id="1396196426">
      <w:bodyDiv w:val="1"/>
      <w:marLeft w:val="0"/>
      <w:marRight w:val="0"/>
      <w:marTop w:val="0"/>
      <w:marBottom w:val="0"/>
      <w:divBdr>
        <w:top w:val="none" w:sz="0" w:space="0" w:color="auto"/>
        <w:left w:val="none" w:sz="0" w:space="0" w:color="auto"/>
        <w:bottom w:val="none" w:sz="0" w:space="0" w:color="auto"/>
        <w:right w:val="none" w:sz="0" w:space="0" w:color="auto"/>
      </w:divBdr>
    </w:div>
    <w:div w:id="1397238634">
      <w:bodyDiv w:val="1"/>
      <w:marLeft w:val="0"/>
      <w:marRight w:val="0"/>
      <w:marTop w:val="0"/>
      <w:marBottom w:val="0"/>
      <w:divBdr>
        <w:top w:val="none" w:sz="0" w:space="0" w:color="auto"/>
        <w:left w:val="none" w:sz="0" w:space="0" w:color="auto"/>
        <w:bottom w:val="none" w:sz="0" w:space="0" w:color="auto"/>
        <w:right w:val="none" w:sz="0" w:space="0" w:color="auto"/>
      </w:divBdr>
    </w:div>
    <w:div w:id="1403024942">
      <w:bodyDiv w:val="1"/>
      <w:marLeft w:val="0"/>
      <w:marRight w:val="0"/>
      <w:marTop w:val="0"/>
      <w:marBottom w:val="0"/>
      <w:divBdr>
        <w:top w:val="none" w:sz="0" w:space="0" w:color="auto"/>
        <w:left w:val="none" w:sz="0" w:space="0" w:color="auto"/>
        <w:bottom w:val="none" w:sz="0" w:space="0" w:color="auto"/>
        <w:right w:val="none" w:sz="0" w:space="0" w:color="auto"/>
      </w:divBdr>
    </w:div>
    <w:div w:id="1406954011">
      <w:bodyDiv w:val="1"/>
      <w:marLeft w:val="0"/>
      <w:marRight w:val="0"/>
      <w:marTop w:val="0"/>
      <w:marBottom w:val="0"/>
      <w:divBdr>
        <w:top w:val="none" w:sz="0" w:space="0" w:color="auto"/>
        <w:left w:val="none" w:sz="0" w:space="0" w:color="auto"/>
        <w:bottom w:val="none" w:sz="0" w:space="0" w:color="auto"/>
        <w:right w:val="none" w:sz="0" w:space="0" w:color="auto"/>
      </w:divBdr>
    </w:div>
    <w:div w:id="1407611093">
      <w:bodyDiv w:val="1"/>
      <w:marLeft w:val="0"/>
      <w:marRight w:val="0"/>
      <w:marTop w:val="0"/>
      <w:marBottom w:val="0"/>
      <w:divBdr>
        <w:top w:val="none" w:sz="0" w:space="0" w:color="auto"/>
        <w:left w:val="none" w:sz="0" w:space="0" w:color="auto"/>
        <w:bottom w:val="none" w:sz="0" w:space="0" w:color="auto"/>
        <w:right w:val="none" w:sz="0" w:space="0" w:color="auto"/>
      </w:divBdr>
    </w:div>
    <w:div w:id="1408191359">
      <w:bodyDiv w:val="1"/>
      <w:marLeft w:val="0"/>
      <w:marRight w:val="0"/>
      <w:marTop w:val="0"/>
      <w:marBottom w:val="0"/>
      <w:divBdr>
        <w:top w:val="none" w:sz="0" w:space="0" w:color="auto"/>
        <w:left w:val="none" w:sz="0" w:space="0" w:color="auto"/>
        <w:bottom w:val="none" w:sz="0" w:space="0" w:color="auto"/>
        <w:right w:val="none" w:sz="0" w:space="0" w:color="auto"/>
      </w:divBdr>
    </w:div>
    <w:div w:id="1409376464">
      <w:bodyDiv w:val="1"/>
      <w:marLeft w:val="0"/>
      <w:marRight w:val="0"/>
      <w:marTop w:val="0"/>
      <w:marBottom w:val="0"/>
      <w:divBdr>
        <w:top w:val="none" w:sz="0" w:space="0" w:color="auto"/>
        <w:left w:val="none" w:sz="0" w:space="0" w:color="auto"/>
        <w:bottom w:val="none" w:sz="0" w:space="0" w:color="auto"/>
        <w:right w:val="none" w:sz="0" w:space="0" w:color="auto"/>
      </w:divBdr>
    </w:div>
    <w:div w:id="1410227513">
      <w:bodyDiv w:val="1"/>
      <w:marLeft w:val="0"/>
      <w:marRight w:val="0"/>
      <w:marTop w:val="0"/>
      <w:marBottom w:val="0"/>
      <w:divBdr>
        <w:top w:val="none" w:sz="0" w:space="0" w:color="auto"/>
        <w:left w:val="none" w:sz="0" w:space="0" w:color="auto"/>
        <w:bottom w:val="none" w:sz="0" w:space="0" w:color="auto"/>
        <w:right w:val="none" w:sz="0" w:space="0" w:color="auto"/>
      </w:divBdr>
      <w:divsChild>
        <w:div w:id="1634169943">
          <w:marLeft w:val="0"/>
          <w:marRight w:val="0"/>
          <w:marTop w:val="0"/>
          <w:marBottom w:val="0"/>
          <w:divBdr>
            <w:top w:val="none" w:sz="0" w:space="0" w:color="auto"/>
            <w:left w:val="none" w:sz="0" w:space="0" w:color="auto"/>
            <w:bottom w:val="none" w:sz="0" w:space="0" w:color="auto"/>
            <w:right w:val="none" w:sz="0" w:space="0" w:color="auto"/>
          </w:divBdr>
        </w:div>
      </w:divsChild>
    </w:div>
    <w:div w:id="1410497682">
      <w:bodyDiv w:val="1"/>
      <w:marLeft w:val="0"/>
      <w:marRight w:val="0"/>
      <w:marTop w:val="0"/>
      <w:marBottom w:val="0"/>
      <w:divBdr>
        <w:top w:val="none" w:sz="0" w:space="0" w:color="auto"/>
        <w:left w:val="none" w:sz="0" w:space="0" w:color="auto"/>
        <w:bottom w:val="none" w:sz="0" w:space="0" w:color="auto"/>
        <w:right w:val="none" w:sz="0" w:space="0" w:color="auto"/>
      </w:divBdr>
    </w:div>
    <w:div w:id="1415975387">
      <w:bodyDiv w:val="1"/>
      <w:marLeft w:val="0"/>
      <w:marRight w:val="0"/>
      <w:marTop w:val="0"/>
      <w:marBottom w:val="0"/>
      <w:divBdr>
        <w:top w:val="none" w:sz="0" w:space="0" w:color="auto"/>
        <w:left w:val="none" w:sz="0" w:space="0" w:color="auto"/>
        <w:bottom w:val="none" w:sz="0" w:space="0" w:color="auto"/>
        <w:right w:val="none" w:sz="0" w:space="0" w:color="auto"/>
      </w:divBdr>
    </w:div>
    <w:div w:id="1420758296">
      <w:bodyDiv w:val="1"/>
      <w:marLeft w:val="0"/>
      <w:marRight w:val="0"/>
      <w:marTop w:val="0"/>
      <w:marBottom w:val="0"/>
      <w:divBdr>
        <w:top w:val="none" w:sz="0" w:space="0" w:color="auto"/>
        <w:left w:val="none" w:sz="0" w:space="0" w:color="auto"/>
        <w:bottom w:val="none" w:sz="0" w:space="0" w:color="auto"/>
        <w:right w:val="none" w:sz="0" w:space="0" w:color="auto"/>
      </w:divBdr>
    </w:div>
    <w:div w:id="1421681957">
      <w:bodyDiv w:val="1"/>
      <w:marLeft w:val="0"/>
      <w:marRight w:val="0"/>
      <w:marTop w:val="0"/>
      <w:marBottom w:val="0"/>
      <w:divBdr>
        <w:top w:val="none" w:sz="0" w:space="0" w:color="auto"/>
        <w:left w:val="none" w:sz="0" w:space="0" w:color="auto"/>
        <w:bottom w:val="none" w:sz="0" w:space="0" w:color="auto"/>
        <w:right w:val="none" w:sz="0" w:space="0" w:color="auto"/>
      </w:divBdr>
    </w:div>
    <w:div w:id="1424765716">
      <w:bodyDiv w:val="1"/>
      <w:marLeft w:val="0"/>
      <w:marRight w:val="0"/>
      <w:marTop w:val="0"/>
      <w:marBottom w:val="0"/>
      <w:divBdr>
        <w:top w:val="none" w:sz="0" w:space="0" w:color="auto"/>
        <w:left w:val="none" w:sz="0" w:space="0" w:color="auto"/>
        <w:bottom w:val="none" w:sz="0" w:space="0" w:color="auto"/>
        <w:right w:val="none" w:sz="0" w:space="0" w:color="auto"/>
      </w:divBdr>
    </w:div>
    <w:div w:id="1426850629">
      <w:bodyDiv w:val="1"/>
      <w:marLeft w:val="0"/>
      <w:marRight w:val="0"/>
      <w:marTop w:val="0"/>
      <w:marBottom w:val="0"/>
      <w:divBdr>
        <w:top w:val="none" w:sz="0" w:space="0" w:color="auto"/>
        <w:left w:val="none" w:sz="0" w:space="0" w:color="auto"/>
        <w:bottom w:val="none" w:sz="0" w:space="0" w:color="auto"/>
        <w:right w:val="none" w:sz="0" w:space="0" w:color="auto"/>
      </w:divBdr>
    </w:div>
    <w:div w:id="1427920632">
      <w:bodyDiv w:val="1"/>
      <w:marLeft w:val="0"/>
      <w:marRight w:val="0"/>
      <w:marTop w:val="0"/>
      <w:marBottom w:val="0"/>
      <w:divBdr>
        <w:top w:val="none" w:sz="0" w:space="0" w:color="auto"/>
        <w:left w:val="none" w:sz="0" w:space="0" w:color="auto"/>
        <w:bottom w:val="none" w:sz="0" w:space="0" w:color="auto"/>
        <w:right w:val="none" w:sz="0" w:space="0" w:color="auto"/>
      </w:divBdr>
      <w:divsChild>
        <w:div w:id="359405045">
          <w:marLeft w:val="0"/>
          <w:marRight w:val="0"/>
          <w:marTop w:val="0"/>
          <w:marBottom w:val="0"/>
          <w:divBdr>
            <w:top w:val="none" w:sz="0" w:space="0" w:color="auto"/>
            <w:left w:val="none" w:sz="0" w:space="0" w:color="auto"/>
            <w:bottom w:val="none" w:sz="0" w:space="0" w:color="auto"/>
            <w:right w:val="none" w:sz="0" w:space="0" w:color="auto"/>
          </w:divBdr>
        </w:div>
      </w:divsChild>
    </w:div>
    <w:div w:id="1432966491">
      <w:bodyDiv w:val="1"/>
      <w:marLeft w:val="0"/>
      <w:marRight w:val="0"/>
      <w:marTop w:val="0"/>
      <w:marBottom w:val="0"/>
      <w:divBdr>
        <w:top w:val="none" w:sz="0" w:space="0" w:color="auto"/>
        <w:left w:val="none" w:sz="0" w:space="0" w:color="auto"/>
        <w:bottom w:val="none" w:sz="0" w:space="0" w:color="auto"/>
        <w:right w:val="none" w:sz="0" w:space="0" w:color="auto"/>
      </w:divBdr>
    </w:div>
    <w:div w:id="1439988971">
      <w:bodyDiv w:val="1"/>
      <w:marLeft w:val="0"/>
      <w:marRight w:val="0"/>
      <w:marTop w:val="0"/>
      <w:marBottom w:val="0"/>
      <w:divBdr>
        <w:top w:val="none" w:sz="0" w:space="0" w:color="auto"/>
        <w:left w:val="none" w:sz="0" w:space="0" w:color="auto"/>
        <w:bottom w:val="none" w:sz="0" w:space="0" w:color="auto"/>
        <w:right w:val="none" w:sz="0" w:space="0" w:color="auto"/>
      </w:divBdr>
    </w:div>
    <w:div w:id="1440296083">
      <w:bodyDiv w:val="1"/>
      <w:marLeft w:val="0"/>
      <w:marRight w:val="0"/>
      <w:marTop w:val="0"/>
      <w:marBottom w:val="0"/>
      <w:divBdr>
        <w:top w:val="none" w:sz="0" w:space="0" w:color="auto"/>
        <w:left w:val="none" w:sz="0" w:space="0" w:color="auto"/>
        <w:bottom w:val="none" w:sz="0" w:space="0" w:color="auto"/>
        <w:right w:val="none" w:sz="0" w:space="0" w:color="auto"/>
      </w:divBdr>
    </w:div>
    <w:div w:id="1441946042">
      <w:bodyDiv w:val="1"/>
      <w:marLeft w:val="0"/>
      <w:marRight w:val="0"/>
      <w:marTop w:val="0"/>
      <w:marBottom w:val="0"/>
      <w:divBdr>
        <w:top w:val="none" w:sz="0" w:space="0" w:color="auto"/>
        <w:left w:val="none" w:sz="0" w:space="0" w:color="auto"/>
        <w:bottom w:val="none" w:sz="0" w:space="0" w:color="auto"/>
        <w:right w:val="none" w:sz="0" w:space="0" w:color="auto"/>
      </w:divBdr>
    </w:div>
    <w:div w:id="1443382929">
      <w:bodyDiv w:val="1"/>
      <w:marLeft w:val="0"/>
      <w:marRight w:val="0"/>
      <w:marTop w:val="0"/>
      <w:marBottom w:val="0"/>
      <w:divBdr>
        <w:top w:val="none" w:sz="0" w:space="0" w:color="auto"/>
        <w:left w:val="none" w:sz="0" w:space="0" w:color="auto"/>
        <w:bottom w:val="none" w:sz="0" w:space="0" w:color="auto"/>
        <w:right w:val="none" w:sz="0" w:space="0" w:color="auto"/>
      </w:divBdr>
    </w:div>
    <w:div w:id="1443838755">
      <w:bodyDiv w:val="1"/>
      <w:marLeft w:val="0"/>
      <w:marRight w:val="0"/>
      <w:marTop w:val="0"/>
      <w:marBottom w:val="0"/>
      <w:divBdr>
        <w:top w:val="none" w:sz="0" w:space="0" w:color="auto"/>
        <w:left w:val="none" w:sz="0" w:space="0" w:color="auto"/>
        <w:bottom w:val="none" w:sz="0" w:space="0" w:color="auto"/>
        <w:right w:val="none" w:sz="0" w:space="0" w:color="auto"/>
      </w:divBdr>
    </w:div>
    <w:div w:id="1447846646">
      <w:bodyDiv w:val="1"/>
      <w:marLeft w:val="0"/>
      <w:marRight w:val="0"/>
      <w:marTop w:val="0"/>
      <w:marBottom w:val="0"/>
      <w:divBdr>
        <w:top w:val="none" w:sz="0" w:space="0" w:color="auto"/>
        <w:left w:val="none" w:sz="0" w:space="0" w:color="auto"/>
        <w:bottom w:val="none" w:sz="0" w:space="0" w:color="auto"/>
        <w:right w:val="none" w:sz="0" w:space="0" w:color="auto"/>
      </w:divBdr>
      <w:divsChild>
        <w:div w:id="801774199">
          <w:marLeft w:val="0"/>
          <w:marRight w:val="0"/>
          <w:marTop w:val="0"/>
          <w:marBottom w:val="0"/>
          <w:divBdr>
            <w:top w:val="none" w:sz="0" w:space="0" w:color="auto"/>
            <w:left w:val="none" w:sz="0" w:space="0" w:color="auto"/>
            <w:bottom w:val="none" w:sz="0" w:space="0" w:color="auto"/>
            <w:right w:val="none" w:sz="0" w:space="0" w:color="auto"/>
          </w:divBdr>
        </w:div>
        <w:div w:id="961617655">
          <w:marLeft w:val="0"/>
          <w:marRight w:val="0"/>
          <w:marTop w:val="0"/>
          <w:marBottom w:val="0"/>
          <w:divBdr>
            <w:top w:val="none" w:sz="0" w:space="0" w:color="auto"/>
            <w:left w:val="none" w:sz="0" w:space="0" w:color="auto"/>
            <w:bottom w:val="none" w:sz="0" w:space="0" w:color="auto"/>
            <w:right w:val="none" w:sz="0" w:space="0" w:color="auto"/>
          </w:divBdr>
        </w:div>
        <w:div w:id="1122771179">
          <w:marLeft w:val="0"/>
          <w:marRight w:val="0"/>
          <w:marTop w:val="0"/>
          <w:marBottom w:val="0"/>
          <w:divBdr>
            <w:top w:val="none" w:sz="0" w:space="0" w:color="auto"/>
            <w:left w:val="none" w:sz="0" w:space="0" w:color="auto"/>
            <w:bottom w:val="none" w:sz="0" w:space="0" w:color="auto"/>
            <w:right w:val="none" w:sz="0" w:space="0" w:color="auto"/>
          </w:divBdr>
        </w:div>
        <w:div w:id="1372074986">
          <w:marLeft w:val="0"/>
          <w:marRight w:val="0"/>
          <w:marTop w:val="0"/>
          <w:marBottom w:val="0"/>
          <w:divBdr>
            <w:top w:val="none" w:sz="0" w:space="0" w:color="auto"/>
            <w:left w:val="none" w:sz="0" w:space="0" w:color="auto"/>
            <w:bottom w:val="none" w:sz="0" w:space="0" w:color="auto"/>
            <w:right w:val="none" w:sz="0" w:space="0" w:color="auto"/>
          </w:divBdr>
        </w:div>
        <w:div w:id="1977833036">
          <w:marLeft w:val="0"/>
          <w:marRight w:val="0"/>
          <w:marTop w:val="0"/>
          <w:marBottom w:val="0"/>
          <w:divBdr>
            <w:top w:val="none" w:sz="0" w:space="0" w:color="auto"/>
            <w:left w:val="none" w:sz="0" w:space="0" w:color="auto"/>
            <w:bottom w:val="none" w:sz="0" w:space="0" w:color="auto"/>
            <w:right w:val="none" w:sz="0" w:space="0" w:color="auto"/>
          </w:divBdr>
        </w:div>
      </w:divsChild>
    </w:div>
    <w:div w:id="1449809351">
      <w:bodyDiv w:val="1"/>
      <w:marLeft w:val="0"/>
      <w:marRight w:val="0"/>
      <w:marTop w:val="0"/>
      <w:marBottom w:val="0"/>
      <w:divBdr>
        <w:top w:val="none" w:sz="0" w:space="0" w:color="auto"/>
        <w:left w:val="none" w:sz="0" w:space="0" w:color="auto"/>
        <w:bottom w:val="none" w:sz="0" w:space="0" w:color="auto"/>
        <w:right w:val="none" w:sz="0" w:space="0" w:color="auto"/>
      </w:divBdr>
    </w:div>
    <w:div w:id="1452166498">
      <w:bodyDiv w:val="1"/>
      <w:marLeft w:val="0"/>
      <w:marRight w:val="0"/>
      <w:marTop w:val="0"/>
      <w:marBottom w:val="0"/>
      <w:divBdr>
        <w:top w:val="none" w:sz="0" w:space="0" w:color="auto"/>
        <w:left w:val="none" w:sz="0" w:space="0" w:color="auto"/>
        <w:bottom w:val="none" w:sz="0" w:space="0" w:color="auto"/>
        <w:right w:val="none" w:sz="0" w:space="0" w:color="auto"/>
      </w:divBdr>
      <w:divsChild>
        <w:div w:id="1349602462">
          <w:marLeft w:val="0"/>
          <w:marRight w:val="0"/>
          <w:marTop w:val="0"/>
          <w:marBottom w:val="0"/>
          <w:divBdr>
            <w:top w:val="none" w:sz="0" w:space="0" w:color="auto"/>
            <w:left w:val="none" w:sz="0" w:space="0" w:color="auto"/>
            <w:bottom w:val="none" w:sz="0" w:space="0" w:color="auto"/>
            <w:right w:val="none" w:sz="0" w:space="0" w:color="auto"/>
          </w:divBdr>
        </w:div>
      </w:divsChild>
    </w:div>
    <w:div w:id="1452624547">
      <w:bodyDiv w:val="1"/>
      <w:marLeft w:val="0"/>
      <w:marRight w:val="0"/>
      <w:marTop w:val="0"/>
      <w:marBottom w:val="0"/>
      <w:divBdr>
        <w:top w:val="none" w:sz="0" w:space="0" w:color="auto"/>
        <w:left w:val="none" w:sz="0" w:space="0" w:color="auto"/>
        <w:bottom w:val="none" w:sz="0" w:space="0" w:color="auto"/>
        <w:right w:val="none" w:sz="0" w:space="0" w:color="auto"/>
      </w:divBdr>
    </w:div>
    <w:div w:id="1453280942">
      <w:bodyDiv w:val="1"/>
      <w:marLeft w:val="0"/>
      <w:marRight w:val="0"/>
      <w:marTop w:val="0"/>
      <w:marBottom w:val="0"/>
      <w:divBdr>
        <w:top w:val="none" w:sz="0" w:space="0" w:color="auto"/>
        <w:left w:val="none" w:sz="0" w:space="0" w:color="auto"/>
        <w:bottom w:val="none" w:sz="0" w:space="0" w:color="auto"/>
        <w:right w:val="none" w:sz="0" w:space="0" w:color="auto"/>
      </w:divBdr>
    </w:div>
    <w:div w:id="1456093829">
      <w:bodyDiv w:val="1"/>
      <w:marLeft w:val="0"/>
      <w:marRight w:val="0"/>
      <w:marTop w:val="0"/>
      <w:marBottom w:val="0"/>
      <w:divBdr>
        <w:top w:val="none" w:sz="0" w:space="0" w:color="auto"/>
        <w:left w:val="none" w:sz="0" w:space="0" w:color="auto"/>
        <w:bottom w:val="none" w:sz="0" w:space="0" w:color="auto"/>
        <w:right w:val="none" w:sz="0" w:space="0" w:color="auto"/>
      </w:divBdr>
    </w:div>
    <w:div w:id="1460565610">
      <w:bodyDiv w:val="1"/>
      <w:marLeft w:val="0"/>
      <w:marRight w:val="0"/>
      <w:marTop w:val="0"/>
      <w:marBottom w:val="0"/>
      <w:divBdr>
        <w:top w:val="none" w:sz="0" w:space="0" w:color="auto"/>
        <w:left w:val="none" w:sz="0" w:space="0" w:color="auto"/>
        <w:bottom w:val="none" w:sz="0" w:space="0" w:color="auto"/>
        <w:right w:val="none" w:sz="0" w:space="0" w:color="auto"/>
      </w:divBdr>
      <w:divsChild>
        <w:div w:id="855197119">
          <w:marLeft w:val="0"/>
          <w:marRight w:val="0"/>
          <w:marTop w:val="0"/>
          <w:marBottom w:val="0"/>
          <w:divBdr>
            <w:top w:val="none" w:sz="0" w:space="0" w:color="auto"/>
            <w:left w:val="none" w:sz="0" w:space="0" w:color="auto"/>
            <w:bottom w:val="none" w:sz="0" w:space="0" w:color="auto"/>
            <w:right w:val="none" w:sz="0" w:space="0" w:color="auto"/>
          </w:divBdr>
        </w:div>
      </w:divsChild>
    </w:div>
    <w:div w:id="1461849712">
      <w:bodyDiv w:val="1"/>
      <w:marLeft w:val="0"/>
      <w:marRight w:val="0"/>
      <w:marTop w:val="0"/>
      <w:marBottom w:val="0"/>
      <w:divBdr>
        <w:top w:val="none" w:sz="0" w:space="0" w:color="auto"/>
        <w:left w:val="none" w:sz="0" w:space="0" w:color="auto"/>
        <w:bottom w:val="none" w:sz="0" w:space="0" w:color="auto"/>
        <w:right w:val="none" w:sz="0" w:space="0" w:color="auto"/>
      </w:divBdr>
    </w:div>
    <w:div w:id="1465195129">
      <w:bodyDiv w:val="1"/>
      <w:marLeft w:val="0"/>
      <w:marRight w:val="0"/>
      <w:marTop w:val="0"/>
      <w:marBottom w:val="0"/>
      <w:divBdr>
        <w:top w:val="none" w:sz="0" w:space="0" w:color="auto"/>
        <w:left w:val="none" w:sz="0" w:space="0" w:color="auto"/>
        <w:bottom w:val="none" w:sz="0" w:space="0" w:color="auto"/>
        <w:right w:val="none" w:sz="0" w:space="0" w:color="auto"/>
      </w:divBdr>
    </w:div>
    <w:div w:id="1465348899">
      <w:bodyDiv w:val="1"/>
      <w:marLeft w:val="0"/>
      <w:marRight w:val="0"/>
      <w:marTop w:val="0"/>
      <w:marBottom w:val="0"/>
      <w:divBdr>
        <w:top w:val="none" w:sz="0" w:space="0" w:color="auto"/>
        <w:left w:val="none" w:sz="0" w:space="0" w:color="auto"/>
        <w:bottom w:val="none" w:sz="0" w:space="0" w:color="auto"/>
        <w:right w:val="none" w:sz="0" w:space="0" w:color="auto"/>
      </w:divBdr>
    </w:div>
    <w:div w:id="1466388712">
      <w:bodyDiv w:val="1"/>
      <w:marLeft w:val="0"/>
      <w:marRight w:val="0"/>
      <w:marTop w:val="0"/>
      <w:marBottom w:val="0"/>
      <w:divBdr>
        <w:top w:val="none" w:sz="0" w:space="0" w:color="auto"/>
        <w:left w:val="none" w:sz="0" w:space="0" w:color="auto"/>
        <w:bottom w:val="none" w:sz="0" w:space="0" w:color="auto"/>
        <w:right w:val="none" w:sz="0" w:space="0" w:color="auto"/>
      </w:divBdr>
      <w:divsChild>
        <w:div w:id="474681734">
          <w:marLeft w:val="0"/>
          <w:marRight w:val="0"/>
          <w:marTop w:val="0"/>
          <w:marBottom w:val="0"/>
          <w:divBdr>
            <w:top w:val="none" w:sz="0" w:space="0" w:color="auto"/>
            <w:left w:val="none" w:sz="0" w:space="0" w:color="auto"/>
            <w:bottom w:val="none" w:sz="0" w:space="0" w:color="auto"/>
            <w:right w:val="none" w:sz="0" w:space="0" w:color="auto"/>
          </w:divBdr>
        </w:div>
      </w:divsChild>
    </w:div>
    <w:div w:id="1467044353">
      <w:bodyDiv w:val="1"/>
      <w:marLeft w:val="0"/>
      <w:marRight w:val="0"/>
      <w:marTop w:val="0"/>
      <w:marBottom w:val="0"/>
      <w:divBdr>
        <w:top w:val="none" w:sz="0" w:space="0" w:color="auto"/>
        <w:left w:val="none" w:sz="0" w:space="0" w:color="auto"/>
        <w:bottom w:val="none" w:sz="0" w:space="0" w:color="auto"/>
        <w:right w:val="none" w:sz="0" w:space="0" w:color="auto"/>
      </w:divBdr>
    </w:div>
    <w:div w:id="1467429832">
      <w:bodyDiv w:val="1"/>
      <w:marLeft w:val="0"/>
      <w:marRight w:val="0"/>
      <w:marTop w:val="0"/>
      <w:marBottom w:val="0"/>
      <w:divBdr>
        <w:top w:val="none" w:sz="0" w:space="0" w:color="auto"/>
        <w:left w:val="none" w:sz="0" w:space="0" w:color="auto"/>
        <w:bottom w:val="none" w:sz="0" w:space="0" w:color="auto"/>
        <w:right w:val="none" w:sz="0" w:space="0" w:color="auto"/>
      </w:divBdr>
    </w:div>
    <w:div w:id="1468546105">
      <w:bodyDiv w:val="1"/>
      <w:marLeft w:val="0"/>
      <w:marRight w:val="0"/>
      <w:marTop w:val="0"/>
      <w:marBottom w:val="0"/>
      <w:divBdr>
        <w:top w:val="none" w:sz="0" w:space="0" w:color="auto"/>
        <w:left w:val="none" w:sz="0" w:space="0" w:color="auto"/>
        <w:bottom w:val="none" w:sz="0" w:space="0" w:color="auto"/>
        <w:right w:val="none" w:sz="0" w:space="0" w:color="auto"/>
      </w:divBdr>
    </w:div>
    <w:div w:id="1471315808">
      <w:bodyDiv w:val="1"/>
      <w:marLeft w:val="0"/>
      <w:marRight w:val="0"/>
      <w:marTop w:val="0"/>
      <w:marBottom w:val="0"/>
      <w:divBdr>
        <w:top w:val="none" w:sz="0" w:space="0" w:color="auto"/>
        <w:left w:val="none" w:sz="0" w:space="0" w:color="auto"/>
        <w:bottom w:val="none" w:sz="0" w:space="0" w:color="auto"/>
        <w:right w:val="none" w:sz="0" w:space="0" w:color="auto"/>
      </w:divBdr>
    </w:div>
    <w:div w:id="1474906055">
      <w:bodyDiv w:val="1"/>
      <w:marLeft w:val="0"/>
      <w:marRight w:val="0"/>
      <w:marTop w:val="0"/>
      <w:marBottom w:val="0"/>
      <w:divBdr>
        <w:top w:val="none" w:sz="0" w:space="0" w:color="auto"/>
        <w:left w:val="none" w:sz="0" w:space="0" w:color="auto"/>
        <w:bottom w:val="none" w:sz="0" w:space="0" w:color="auto"/>
        <w:right w:val="none" w:sz="0" w:space="0" w:color="auto"/>
      </w:divBdr>
    </w:div>
    <w:div w:id="1481774541">
      <w:bodyDiv w:val="1"/>
      <w:marLeft w:val="0"/>
      <w:marRight w:val="0"/>
      <w:marTop w:val="0"/>
      <w:marBottom w:val="0"/>
      <w:divBdr>
        <w:top w:val="none" w:sz="0" w:space="0" w:color="auto"/>
        <w:left w:val="none" w:sz="0" w:space="0" w:color="auto"/>
        <w:bottom w:val="none" w:sz="0" w:space="0" w:color="auto"/>
        <w:right w:val="none" w:sz="0" w:space="0" w:color="auto"/>
      </w:divBdr>
    </w:div>
    <w:div w:id="1486702798">
      <w:bodyDiv w:val="1"/>
      <w:marLeft w:val="0"/>
      <w:marRight w:val="0"/>
      <w:marTop w:val="0"/>
      <w:marBottom w:val="0"/>
      <w:divBdr>
        <w:top w:val="none" w:sz="0" w:space="0" w:color="auto"/>
        <w:left w:val="none" w:sz="0" w:space="0" w:color="auto"/>
        <w:bottom w:val="none" w:sz="0" w:space="0" w:color="auto"/>
        <w:right w:val="none" w:sz="0" w:space="0" w:color="auto"/>
      </w:divBdr>
    </w:div>
    <w:div w:id="1494032511">
      <w:bodyDiv w:val="1"/>
      <w:marLeft w:val="0"/>
      <w:marRight w:val="0"/>
      <w:marTop w:val="0"/>
      <w:marBottom w:val="0"/>
      <w:divBdr>
        <w:top w:val="none" w:sz="0" w:space="0" w:color="auto"/>
        <w:left w:val="none" w:sz="0" w:space="0" w:color="auto"/>
        <w:bottom w:val="none" w:sz="0" w:space="0" w:color="auto"/>
        <w:right w:val="none" w:sz="0" w:space="0" w:color="auto"/>
      </w:divBdr>
    </w:div>
    <w:div w:id="1494878810">
      <w:bodyDiv w:val="1"/>
      <w:marLeft w:val="0"/>
      <w:marRight w:val="0"/>
      <w:marTop w:val="0"/>
      <w:marBottom w:val="0"/>
      <w:divBdr>
        <w:top w:val="none" w:sz="0" w:space="0" w:color="auto"/>
        <w:left w:val="none" w:sz="0" w:space="0" w:color="auto"/>
        <w:bottom w:val="none" w:sz="0" w:space="0" w:color="auto"/>
        <w:right w:val="none" w:sz="0" w:space="0" w:color="auto"/>
      </w:divBdr>
    </w:div>
    <w:div w:id="1497454750">
      <w:bodyDiv w:val="1"/>
      <w:marLeft w:val="0"/>
      <w:marRight w:val="0"/>
      <w:marTop w:val="0"/>
      <w:marBottom w:val="0"/>
      <w:divBdr>
        <w:top w:val="none" w:sz="0" w:space="0" w:color="auto"/>
        <w:left w:val="none" w:sz="0" w:space="0" w:color="auto"/>
        <w:bottom w:val="none" w:sz="0" w:space="0" w:color="auto"/>
        <w:right w:val="none" w:sz="0" w:space="0" w:color="auto"/>
      </w:divBdr>
    </w:div>
    <w:div w:id="1502771748">
      <w:bodyDiv w:val="1"/>
      <w:marLeft w:val="0"/>
      <w:marRight w:val="0"/>
      <w:marTop w:val="0"/>
      <w:marBottom w:val="0"/>
      <w:divBdr>
        <w:top w:val="none" w:sz="0" w:space="0" w:color="auto"/>
        <w:left w:val="none" w:sz="0" w:space="0" w:color="auto"/>
        <w:bottom w:val="none" w:sz="0" w:space="0" w:color="auto"/>
        <w:right w:val="none" w:sz="0" w:space="0" w:color="auto"/>
      </w:divBdr>
    </w:div>
    <w:div w:id="1503545512">
      <w:bodyDiv w:val="1"/>
      <w:marLeft w:val="0"/>
      <w:marRight w:val="0"/>
      <w:marTop w:val="0"/>
      <w:marBottom w:val="0"/>
      <w:divBdr>
        <w:top w:val="none" w:sz="0" w:space="0" w:color="auto"/>
        <w:left w:val="none" w:sz="0" w:space="0" w:color="auto"/>
        <w:bottom w:val="none" w:sz="0" w:space="0" w:color="auto"/>
        <w:right w:val="none" w:sz="0" w:space="0" w:color="auto"/>
      </w:divBdr>
    </w:div>
    <w:div w:id="1507938146">
      <w:bodyDiv w:val="1"/>
      <w:marLeft w:val="0"/>
      <w:marRight w:val="0"/>
      <w:marTop w:val="0"/>
      <w:marBottom w:val="0"/>
      <w:divBdr>
        <w:top w:val="none" w:sz="0" w:space="0" w:color="auto"/>
        <w:left w:val="none" w:sz="0" w:space="0" w:color="auto"/>
        <w:bottom w:val="none" w:sz="0" w:space="0" w:color="auto"/>
        <w:right w:val="none" w:sz="0" w:space="0" w:color="auto"/>
      </w:divBdr>
    </w:div>
    <w:div w:id="1510944811">
      <w:bodyDiv w:val="1"/>
      <w:marLeft w:val="0"/>
      <w:marRight w:val="0"/>
      <w:marTop w:val="0"/>
      <w:marBottom w:val="0"/>
      <w:divBdr>
        <w:top w:val="none" w:sz="0" w:space="0" w:color="auto"/>
        <w:left w:val="none" w:sz="0" w:space="0" w:color="auto"/>
        <w:bottom w:val="none" w:sz="0" w:space="0" w:color="auto"/>
        <w:right w:val="none" w:sz="0" w:space="0" w:color="auto"/>
      </w:divBdr>
    </w:div>
    <w:div w:id="1511409034">
      <w:bodyDiv w:val="1"/>
      <w:marLeft w:val="0"/>
      <w:marRight w:val="0"/>
      <w:marTop w:val="0"/>
      <w:marBottom w:val="0"/>
      <w:divBdr>
        <w:top w:val="none" w:sz="0" w:space="0" w:color="auto"/>
        <w:left w:val="none" w:sz="0" w:space="0" w:color="auto"/>
        <w:bottom w:val="none" w:sz="0" w:space="0" w:color="auto"/>
        <w:right w:val="none" w:sz="0" w:space="0" w:color="auto"/>
      </w:divBdr>
    </w:div>
    <w:div w:id="1511991599">
      <w:bodyDiv w:val="1"/>
      <w:marLeft w:val="0"/>
      <w:marRight w:val="0"/>
      <w:marTop w:val="0"/>
      <w:marBottom w:val="0"/>
      <w:divBdr>
        <w:top w:val="none" w:sz="0" w:space="0" w:color="auto"/>
        <w:left w:val="none" w:sz="0" w:space="0" w:color="auto"/>
        <w:bottom w:val="none" w:sz="0" w:space="0" w:color="auto"/>
        <w:right w:val="none" w:sz="0" w:space="0" w:color="auto"/>
      </w:divBdr>
    </w:div>
    <w:div w:id="1515270091">
      <w:bodyDiv w:val="1"/>
      <w:marLeft w:val="0"/>
      <w:marRight w:val="0"/>
      <w:marTop w:val="0"/>
      <w:marBottom w:val="0"/>
      <w:divBdr>
        <w:top w:val="none" w:sz="0" w:space="0" w:color="auto"/>
        <w:left w:val="none" w:sz="0" w:space="0" w:color="auto"/>
        <w:bottom w:val="none" w:sz="0" w:space="0" w:color="auto"/>
        <w:right w:val="none" w:sz="0" w:space="0" w:color="auto"/>
      </w:divBdr>
    </w:div>
    <w:div w:id="1518694215">
      <w:bodyDiv w:val="1"/>
      <w:marLeft w:val="0"/>
      <w:marRight w:val="0"/>
      <w:marTop w:val="0"/>
      <w:marBottom w:val="0"/>
      <w:divBdr>
        <w:top w:val="none" w:sz="0" w:space="0" w:color="auto"/>
        <w:left w:val="none" w:sz="0" w:space="0" w:color="auto"/>
        <w:bottom w:val="none" w:sz="0" w:space="0" w:color="auto"/>
        <w:right w:val="none" w:sz="0" w:space="0" w:color="auto"/>
      </w:divBdr>
    </w:div>
    <w:div w:id="1519352426">
      <w:bodyDiv w:val="1"/>
      <w:marLeft w:val="0"/>
      <w:marRight w:val="0"/>
      <w:marTop w:val="0"/>
      <w:marBottom w:val="0"/>
      <w:divBdr>
        <w:top w:val="none" w:sz="0" w:space="0" w:color="auto"/>
        <w:left w:val="none" w:sz="0" w:space="0" w:color="auto"/>
        <w:bottom w:val="none" w:sz="0" w:space="0" w:color="auto"/>
        <w:right w:val="none" w:sz="0" w:space="0" w:color="auto"/>
      </w:divBdr>
    </w:div>
    <w:div w:id="1519395384">
      <w:bodyDiv w:val="1"/>
      <w:marLeft w:val="0"/>
      <w:marRight w:val="0"/>
      <w:marTop w:val="0"/>
      <w:marBottom w:val="0"/>
      <w:divBdr>
        <w:top w:val="none" w:sz="0" w:space="0" w:color="auto"/>
        <w:left w:val="none" w:sz="0" w:space="0" w:color="auto"/>
        <w:bottom w:val="none" w:sz="0" w:space="0" w:color="auto"/>
        <w:right w:val="none" w:sz="0" w:space="0" w:color="auto"/>
      </w:divBdr>
    </w:div>
    <w:div w:id="1520969628">
      <w:bodyDiv w:val="1"/>
      <w:marLeft w:val="0"/>
      <w:marRight w:val="0"/>
      <w:marTop w:val="0"/>
      <w:marBottom w:val="0"/>
      <w:divBdr>
        <w:top w:val="none" w:sz="0" w:space="0" w:color="auto"/>
        <w:left w:val="none" w:sz="0" w:space="0" w:color="auto"/>
        <w:bottom w:val="none" w:sz="0" w:space="0" w:color="auto"/>
        <w:right w:val="none" w:sz="0" w:space="0" w:color="auto"/>
      </w:divBdr>
    </w:div>
    <w:div w:id="1522668380">
      <w:bodyDiv w:val="1"/>
      <w:marLeft w:val="0"/>
      <w:marRight w:val="0"/>
      <w:marTop w:val="0"/>
      <w:marBottom w:val="0"/>
      <w:divBdr>
        <w:top w:val="none" w:sz="0" w:space="0" w:color="auto"/>
        <w:left w:val="none" w:sz="0" w:space="0" w:color="auto"/>
        <w:bottom w:val="none" w:sz="0" w:space="0" w:color="auto"/>
        <w:right w:val="none" w:sz="0" w:space="0" w:color="auto"/>
      </w:divBdr>
    </w:div>
    <w:div w:id="1529029543">
      <w:bodyDiv w:val="1"/>
      <w:marLeft w:val="0"/>
      <w:marRight w:val="0"/>
      <w:marTop w:val="0"/>
      <w:marBottom w:val="0"/>
      <w:divBdr>
        <w:top w:val="none" w:sz="0" w:space="0" w:color="auto"/>
        <w:left w:val="none" w:sz="0" w:space="0" w:color="auto"/>
        <w:bottom w:val="none" w:sz="0" w:space="0" w:color="auto"/>
        <w:right w:val="none" w:sz="0" w:space="0" w:color="auto"/>
      </w:divBdr>
    </w:div>
    <w:div w:id="1530294414">
      <w:bodyDiv w:val="1"/>
      <w:marLeft w:val="0"/>
      <w:marRight w:val="0"/>
      <w:marTop w:val="0"/>
      <w:marBottom w:val="0"/>
      <w:divBdr>
        <w:top w:val="none" w:sz="0" w:space="0" w:color="auto"/>
        <w:left w:val="none" w:sz="0" w:space="0" w:color="auto"/>
        <w:bottom w:val="none" w:sz="0" w:space="0" w:color="auto"/>
        <w:right w:val="none" w:sz="0" w:space="0" w:color="auto"/>
      </w:divBdr>
    </w:div>
    <w:div w:id="1536428185">
      <w:bodyDiv w:val="1"/>
      <w:marLeft w:val="0"/>
      <w:marRight w:val="0"/>
      <w:marTop w:val="0"/>
      <w:marBottom w:val="0"/>
      <w:divBdr>
        <w:top w:val="none" w:sz="0" w:space="0" w:color="auto"/>
        <w:left w:val="none" w:sz="0" w:space="0" w:color="auto"/>
        <w:bottom w:val="none" w:sz="0" w:space="0" w:color="auto"/>
        <w:right w:val="none" w:sz="0" w:space="0" w:color="auto"/>
      </w:divBdr>
      <w:divsChild>
        <w:div w:id="79303558">
          <w:marLeft w:val="0"/>
          <w:marRight w:val="0"/>
          <w:marTop w:val="0"/>
          <w:marBottom w:val="0"/>
          <w:divBdr>
            <w:top w:val="none" w:sz="0" w:space="0" w:color="auto"/>
            <w:left w:val="none" w:sz="0" w:space="0" w:color="auto"/>
            <w:bottom w:val="none" w:sz="0" w:space="0" w:color="auto"/>
            <w:right w:val="none" w:sz="0" w:space="0" w:color="auto"/>
          </w:divBdr>
        </w:div>
        <w:div w:id="176232709">
          <w:marLeft w:val="0"/>
          <w:marRight w:val="0"/>
          <w:marTop w:val="0"/>
          <w:marBottom w:val="0"/>
          <w:divBdr>
            <w:top w:val="none" w:sz="0" w:space="0" w:color="auto"/>
            <w:left w:val="none" w:sz="0" w:space="0" w:color="auto"/>
            <w:bottom w:val="none" w:sz="0" w:space="0" w:color="auto"/>
            <w:right w:val="none" w:sz="0" w:space="0" w:color="auto"/>
          </w:divBdr>
        </w:div>
        <w:div w:id="579144414">
          <w:marLeft w:val="0"/>
          <w:marRight w:val="0"/>
          <w:marTop w:val="0"/>
          <w:marBottom w:val="0"/>
          <w:divBdr>
            <w:top w:val="none" w:sz="0" w:space="0" w:color="auto"/>
            <w:left w:val="none" w:sz="0" w:space="0" w:color="auto"/>
            <w:bottom w:val="none" w:sz="0" w:space="0" w:color="auto"/>
            <w:right w:val="none" w:sz="0" w:space="0" w:color="auto"/>
          </w:divBdr>
        </w:div>
        <w:div w:id="580871608">
          <w:marLeft w:val="0"/>
          <w:marRight w:val="0"/>
          <w:marTop w:val="0"/>
          <w:marBottom w:val="0"/>
          <w:divBdr>
            <w:top w:val="none" w:sz="0" w:space="0" w:color="auto"/>
            <w:left w:val="none" w:sz="0" w:space="0" w:color="auto"/>
            <w:bottom w:val="none" w:sz="0" w:space="0" w:color="auto"/>
            <w:right w:val="none" w:sz="0" w:space="0" w:color="auto"/>
          </w:divBdr>
        </w:div>
        <w:div w:id="1414551516">
          <w:marLeft w:val="0"/>
          <w:marRight w:val="0"/>
          <w:marTop w:val="0"/>
          <w:marBottom w:val="0"/>
          <w:divBdr>
            <w:top w:val="none" w:sz="0" w:space="0" w:color="auto"/>
            <w:left w:val="none" w:sz="0" w:space="0" w:color="auto"/>
            <w:bottom w:val="none" w:sz="0" w:space="0" w:color="auto"/>
            <w:right w:val="none" w:sz="0" w:space="0" w:color="auto"/>
          </w:divBdr>
        </w:div>
        <w:div w:id="1475297243">
          <w:marLeft w:val="0"/>
          <w:marRight w:val="0"/>
          <w:marTop w:val="0"/>
          <w:marBottom w:val="0"/>
          <w:divBdr>
            <w:top w:val="none" w:sz="0" w:space="0" w:color="auto"/>
            <w:left w:val="none" w:sz="0" w:space="0" w:color="auto"/>
            <w:bottom w:val="none" w:sz="0" w:space="0" w:color="auto"/>
            <w:right w:val="none" w:sz="0" w:space="0" w:color="auto"/>
          </w:divBdr>
        </w:div>
        <w:div w:id="1737438038">
          <w:marLeft w:val="0"/>
          <w:marRight w:val="0"/>
          <w:marTop w:val="0"/>
          <w:marBottom w:val="0"/>
          <w:divBdr>
            <w:top w:val="none" w:sz="0" w:space="0" w:color="auto"/>
            <w:left w:val="none" w:sz="0" w:space="0" w:color="auto"/>
            <w:bottom w:val="none" w:sz="0" w:space="0" w:color="auto"/>
            <w:right w:val="none" w:sz="0" w:space="0" w:color="auto"/>
          </w:divBdr>
        </w:div>
        <w:div w:id="2127042499">
          <w:marLeft w:val="0"/>
          <w:marRight w:val="0"/>
          <w:marTop w:val="0"/>
          <w:marBottom w:val="0"/>
          <w:divBdr>
            <w:top w:val="none" w:sz="0" w:space="0" w:color="auto"/>
            <w:left w:val="none" w:sz="0" w:space="0" w:color="auto"/>
            <w:bottom w:val="none" w:sz="0" w:space="0" w:color="auto"/>
            <w:right w:val="none" w:sz="0" w:space="0" w:color="auto"/>
          </w:divBdr>
        </w:div>
      </w:divsChild>
    </w:div>
    <w:div w:id="1537698034">
      <w:bodyDiv w:val="1"/>
      <w:marLeft w:val="0"/>
      <w:marRight w:val="0"/>
      <w:marTop w:val="0"/>
      <w:marBottom w:val="0"/>
      <w:divBdr>
        <w:top w:val="none" w:sz="0" w:space="0" w:color="auto"/>
        <w:left w:val="none" w:sz="0" w:space="0" w:color="auto"/>
        <w:bottom w:val="none" w:sz="0" w:space="0" w:color="auto"/>
        <w:right w:val="none" w:sz="0" w:space="0" w:color="auto"/>
      </w:divBdr>
    </w:div>
    <w:div w:id="1546982670">
      <w:bodyDiv w:val="1"/>
      <w:marLeft w:val="0"/>
      <w:marRight w:val="0"/>
      <w:marTop w:val="0"/>
      <w:marBottom w:val="0"/>
      <w:divBdr>
        <w:top w:val="none" w:sz="0" w:space="0" w:color="auto"/>
        <w:left w:val="none" w:sz="0" w:space="0" w:color="auto"/>
        <w:bottom w:val="none" w:sz="0" w:space="0" w:color="auto"/>
        <w:right w:val="none" w:sz="0" w:space="0" w:color="auto"/>
      </w:divBdr>
    </w:div>
    <w:div w:id="1557007249">
      <w:bodyDiv w:val="1"/>
      <w:marLeft w:val="0"/>
      <w:marRight w:val="0"/>
      <w:marTop w:val="0"/>
      <w:marBottom w:val="0"/>
      <w:divBdr>
        <w:top w:val="none" w:sz="0" w:space="0" w:color="auto"/>
        <w:left w:val="none" w:sz="0" w:space="0" w:color="auto"/>
        <w:bottom w:val="none" w:sz="0" w:space="0" w:color="auto"/>
        <w:right w:val="none" w:sz="0" w:space="0" w:color="auto"/>
      </w:divBdr>
    </w:div>
    <w:div w:id="1557819560">
      <w:bodyDiv w:val="1"/>
      <w:marLeft w:val="0"/>
      <w:marRight w:val="0"/>
      <w:marTop w:val="0"/>
      <w:marBottom w:val="0"/>
      <w:divBdr>
        <w:top w:val="none" w:sz="0" w:space="0" w:color="auto"/>
        <w:left w:val="none" w:sz="0" w:space="0" w:color="auto"/>
        <w:bottom w:val="none" w:sz="0" w:space="0" w:color="auto"/>
        <w:right w:val="none" w:sz="0" w:space="0" w:color="auto"/>
      </w:divBdr>
    </w:div>
    <w:div w:id="1560901250">
      <w:bodyDiv w:val="1"/>
      <w:marLeft w:val="0"/>
      <w:marRight w:val="0"/>
      <w:marTop w:val="0"/>
      <w:marBottom w:val="0"/>
      <w:divBdr>
        <w:top w:val="none" w:sz="0" w:space="0" w:color="auto"/>
        <w:left w:val="none" w:sz="0" w:space="0" w:color="auto"/>
        <w:bottom w:val="none" w:sz="0" w:space="0" w:color="auto"/>
        <w:right w:val="none" w:sz="0" w:space="0" w:color="auto"/>
      </w:divBdr>
    </w:div>
    <w:div w:id="1561751874">
      <w:bodyDiv w:val="1"/>
      <w:marLeft w:val="0"/>
      <w:marRight w:val="0"/>
      <w:marTop w:val="0"/>
      <w:marBottom w:val="0"/>
      <w:divBdr>
        <w:top w:val="none" w:sz="0" w:space="0" w:color="auto"/>
        <w:left w:val="none" w:sz="0" w:space="0" w:color="auto"/>
        <w:bottom w:val="none" w:sz="0" w:space="0" w:color="auto"/>
        <w:right w:val="none" w:sz="0" w:space="0" w:color="auto"/>
      </w:divBdr>
    </w:div>
    <w:div w:id="1563057826">
      <w:bodyDiv w:val="1"/>
      <w:marLeft w:val="0"/>
      <w:marRight w:val="0"/>
      <w:marTop w:val="0"/>
      <w:marBottom w:val="0"/>
      <w:divBdr>
        <w:top w:val="none" w:sz="0" w:space="0" w:color="auto"/>
        <w:left w:val="none" w:sz="0" w:space="0" w:color="auto"/>
        <w:bottom w:val="none" w:sz="0" w:space="0" w:color="auto"/>
        <w:right w:val="none" w:sz="0" w:space="0" w:color="auto"/>
      </w:divBdr>
    </w:div>
    <w:div w:id="1568303302">
      <w:bodyDiv w:val="1"/>
      <w:marLeft w:val="0"/>
      <w:marRight w:val="0"/>
      <w:marTop w:val="0"/>
      <w:marBottom w:val="0"/>
      <w:divBdr>
        <w:top w:val="none" w:sz="0" w:space="0" w:color="auto"/>
        <w:left w:val="none" w:sz="0" w:space="0" w:color="auto"/>
        <w:bottom w:val="none" w:sz="0" w:space="0" w:color="auto"/>
        <w:right w:val="none" w:sz="0" w:space="0" w:color="auto"/>
      </w:divBdr>
    </w:div>
    <w:div w:id="1568765576">
      <w:bodyDiv w:val="1"/>
      <w:marLeft w:val="0"/>
      <w:marRight w:val="0"/>
      <w:marTop w:val="0"/>
      <w:marBottom w:val="0"/>
      <w:divBdr>
        <w:top w:val="none" w:sz="0" w:space="0" w:color="auto"/>
        <w:left w:val="none" w:sz="0" w:space="0" w:color="auto"/>
        <w:bottom w:val="none" w:sz="0" w:space="0" w:color="auto"/>
        <w:right w:val="none" w:sz="0" w:space="0" w:color="auto"/>
      </w:divBdr>
    </w:div>
    <w:div w:id="1568959355">
      <w:bodyDiv w:val="1"/>
      <w:marLeft w:val="0"/>
      <w:marRight w:val="0"/>
      <w:marTop w:val="0"/>
      <w:marBottom w:val="0"/>
      <w:divBdr>
        <w:top w:val="none" w:sz="0" w:space="0" w:color="auto"/>
        <w:left w:val="none" w:sz="0" w:space="0" w:color="auto"/>
        <w:bottom w:val="none" w:sz="0" w:space="0" w:color="auto"/>
        <w:right w:val="none" w:sz="0" w:space="0" w:color="auto"/>
      </w:divBdr>
    </w:div>
    <w:div w:id="1570772866">
      <w:bodyDiv w:val="1"/>
      <w:marLeft w:val="0"/>
      <w:marRight w:val="0"/>
      <w:marTop w:val="0"/>
      <w:marBottom w:val="0"/>
      <w:divBdr>
        <w:top w:val="none" w:sz="0" w:space="0" w:color="auto"/>
        <w:left w:val="none" w:sz="0" w:space="0" w:color="auto"/>
        <w:bottom w:val="none" w:sz="0" w:space="0" w:color="auto"/>
        <w:right w:val="none" w:sz="0" w:space="0" w:color="auto"/>
      </w:divBdr>
    </w:div>
    <w:div w:id="1574699388">
      <w:bodyDiv w:val="1"/>
      <w:marLeft w:val="0"/>
      <w:marRight w:val="0"/>
      <w:marTop w:val="0"/>
      <w:marBottom w:val="0"/>
      <w:divBdr>
        <w:top w:val="none" w:sz="0" w:space="0" w:color="auto"/>
        <w:left w:val="none" w:sz="0" w:space="0" w:color="auto"/>
        <w:bottom w:val="none" w:sz="0" w:space="0" w:color="auto"/>
        <w:right w:val="none" w:sz="0" w:space="0" w:color="auto"/>
      </w:divBdr>
    </w:div>
    <w:div w:id="1577321818">
      <w:bodyDiv w:val="1"/>
      <w:marLeft w:val="0"/>
      <w:marRight w:val="0"/>
      <w:marTop w:val="0"/>
      <w:marBottom w:val="0"/>
      <w:divBdr>
        <w:top w:val="none" w:sz="0" w:space="0" w:color="auto"/>
        <w:left w:val="none" w:sz="0" w:space="0" w:color="auto"/>
        <w:bottom w:val="none" w:sz="0" w:space="0" w:color="auto"/>
        <w:right w:val="none" w:sz="0" w:space="0" w:color="auto"/>
      </w:divBdr>
    </w:div>
    <w:div w:id="1585798951">
      <w:bodyDiv w:val="1"/>
      <w:marLeft w:val="0"/>
      <w:marRight w:val="0"/>
      <w:marTop w:val="0"/>
      <w:marBottom w:val="0"/>
      <w:divBdr>
        <w:top w:val="none" w:sz="0" w:space="0" w:color="auto"/>
        <w:left w:val="none" w:sz="0" w:space="0" w:color="auto"/>
        <w:bottom w:val="none" w:sz="0" w:space="0" w:color="auto"/>
        <w:right w:val="none" w:sz="0" w:space="0" w:color="auto"/>
      </w:divBdr>
    </w:div>
    <w:div w:id="1590918560">
      <w:bodyDiv w:val="1"/>
      <w:marLeft w:val="0"/>
      <w:marRight w:val="0"/>
      <w:marTop w:val="0"/>
      <w:marBottom w:val="0"/>
      <w:divBdr>
        <w:top w:val="none" w:sz="0" w:space="0" w:color="auto"/>
        <w:left w:val="none" w:sz="0" w:space="0" w:color="auto"/>
        <w:bottom w:val="none" w:sz="0" w:space="0" w:color="auto"/>
        <w:right w:val="none" w:sz="0" w:space="0" w:color="auto"/>
      </w:divBdr>
    </w:div>
    <w:div w:id="1591501140">
      <w:bodyDiv w:val="1"/>
      <w:marLeft w:val="0"/>
      <w:marRight w:val="0"/>
      <w:marTop w:val="0"/>
      <w:marBottom w:val="0"/>
      <w:divBdr>
        <w:top w:val="none" w:sz="0" w:space="0" w:color="auto"/>
        <w:left w:val="none" w:sz="0" w:space="0" w:color="auto"/>
        <w:bottom w:val="none" w:sz="0" w:space="0" w:color="auto"/>
        <w:right w:val="none" w:sz="0" w:space="0" w:color="auto"/>
      </w:divBdr>
      <w:divsChild>
        <w:div w:id="613682677">
          <w:marLeft w:val="0"/>
          <w:marRight w:val="0"/>
          <w:marTop w:val="0"/>
          <w:marBottom w:val="0"/>
          <w:divBdr>
            <w:top w:val="none" w:sz="0" w:space="0" w:color="auto"/>
            <w:left w:val="none" w:sz="0" w:space="0" w:color="auto"/>
            <w:bottom w:val="none" w:sz="0" w:space="0" w:color="auto"/>
            <w:right w:val="none" w:sz="0" w:space="0" w:color="auto"/>
          </w:divBdr>
        </w:div>
        <w:div w:id="1920141001">
          <w:marLeft w:val="0"/>
          <w:marRight w:val="0"/>
          <w:marTop w:val="0"/>
          <w:marBottom w:val="0"/>
          <w:divBdr>
            <w:top w:val="none" w:sz="0" w:space="0" w:color="auto"/>
            <w:left w:val="none" w:sz="0" w:space="0" w:color="auto"/>
            <w:bottom w:val="none" w:sz="0" w:space="0" w:color="auto"/>
            <w:right w:val="none" w:sz="0" w:space="0" w:color="auto"/>
          </w:divBdr>
        </w:div>
      </w:divsChild>
    </w:div>
    <w:div w:id="1593053362">
      <w:bodyDiv w:val="1"/>
      <w:marLeft w:val="0"/>
      <w:marRight w:val="0"/>
      <w:marTop w:val="0"/>
      <w:marBottom w:val="0"/>
      <w:divBdr>
        <w:top w:val="none" w:sz="0" w:space="0" w:color="auto"/>
        <w:left w:val="none" w:sz="0" w:space="0" w:color="auto"/>
        <w:bottom w:val="none" w:sz="0" w:space="0" w:color="auto"/>
        <w:right w:val="none" w:sz="0" w:space="0" w:color="auto"/>
      </w:divBdr>
    </w:div>
    <w:div w:id="1596019297">
      <w:bodyDiv w:val="1"/>
      <w:marLeft w:val="0"/>
      <w:marRight w:val="0"/>
      <w:marTop w:val="0"/>
      <w:marBottom w:val="0"/>
      <w:divBdr>
        <w:top w:val="none" w:sz="0" w:space="0" w:color="auto"/>
        <w:left w:val="none" w:sz="0" w:space="0" w:color="auto"/>
        <w:bottom w:val="none" w:sz="0" w:space="0" w:color="auto"/>
        <w:right w:val="none" w:sz="0" w:space="0" w:color="auto"/>
      </w:divBdr>
    </w:div>
    <w:div w:id="1600724064">
      <w:bodyDiv w:val="1"/>
      <w:marLeft w:val="0"/>
      <w:marRight w:val="0"/>
      <w:marTop w:val="0"/>
      <w:marBottom w:val="0"/>
      <w:divBdr>
        <w:top w:val="none" w:sz="0" w:space="0" w:color="auto"/>
        <w:left w:val="none" w:sz="0" w:space="0" w:color="auto"/>
        <w:bottom w:val="none" w:sz="0" w:space="0" w:color="auto"/>
        <w:right w:val="none" w:sz="0" w:space="0" w:color="auto"/>
      </w:divBdr>
    </w:div>
    <w:div w:id="1602495830">
      <w:bodyDiv w:val="1"/>
      <w:marLeft w:val="0"/>
      <w:marRight w:val="0"/>
      <w:marTop w:val="0"/>
      <w:marBottom w:val="0"/>
      <w:divBdr>
        <w:top w:val="none" w:sz="0" w:space="0" w:color="auto"/>
        <w:left w:val="none" w:sz="0" w:space="0" w:color="auto"/>
        <w:bottom w:val="none" w:sz="0" w:space="0" w:color="auto"/>
        <w:right w:val="none" w:sz="0" w:space="0" w:color="auto"/>
      </w:divBdr>
      <w:divsChild>
        <w:div w:id="1034506011">
          <w:marLeft w:val="0"/>
          <w:marRight w:val="0"/>
          <w:marTop w:val="0"/>
          <w:marBottom w:val="0"/>
          <w:divBdr>
            <w:top w:val="none" w:sz="0" w:space="0" w:color="auto"/>
            <w:left w:val="none" w:sz="0" w:space="0" w:color="auto"/>
            <w:bottom w:val="none" w:sz="0" w:space="0" w:color="auto"/>
            <w:right w:val="none" w:sz="0" w:space="0" w:color="auto"/>
          </w:divBdr>
        </w:div>
      </w:divsChild>
    </w:div>
    <w:div w:id="1603877796">
      <w:bodyDiv w:val="1"/>
      <w:marLeft w:val="0"/>
      <w:marRight w:val="0"/>
      <w:marTop w:val="0"/>
      <w:marBottom w:val="0"/>
      <w:divBdr>
        <w:top w:val="none" w:sz="0" w:space="0" w:color="auto"/>
        <w:left w:val="none" w:sz="0" w:space="0" w:color="auto"/>
        <w:bottom w:val="none" w:sz="0" w:space="0" w:color="auto"/>
        <w:right w:val="none" w:sz="0" w:space="0" w:color="auto"/>
      </w:divBdr>
    </w:div>
    <w:div w:id="1607421350">
      <w:bodyDiv w:val="1"/>
      <w:marLeft w:val="0"/>
      <w:marRight w:val="0"/>
      <w:marTop w:val="0"/>
      <w:marBottom w:val="0"/>
      <w:divBdr>
        <w:top w:val="none" w:sz="0" w:space="0" w:color="auto"/>
        <w:left w:val="none" w:sz="0" w:space="0" w:color="auto"/>
        <w:bottom w:val="none" w:sz="0" w:space="0" w:color="auto"/>
        <w:right w:val="none" w:sz="0" w:space="0" w:color="auto"/>
      </w:divBdr>
    </w:div>
    <w:div w:id="1610159794">
      <w:bodyDiv w:val="1"/>
      <w:marLeft w:val="0"/>
      <w:marRight w:val="0"/>
      <w:marTop w:val="0"/>
      <w:marBottom w:val="0"/>
      <w:divBdr>
        <w:top w:val="none" w:sz="0" w:space="0" w:color="auto"/>
        <w:left w:val="none" w:sz="0" w:space="0" w:color="auto"/>
        <w:bottom w:val="none" w:sz="0" w:space="0" w:color="auto"/>
        <w:right w:val="none" w:sz="0" w:space="0" w:color="auto"/>
      </w:divBdr>
    </w:div>
    <w:div w:id="1610433351">
      <w:bodyDiv w:val="1"/>
      <w:marLeft w:val="0"/>
      <w:marRight w:val="0"/>
      <w:marTop w:val="0"/>
      <w:marBottom w:val="0"/>
      <w:divBdr>
        <w:top w:val="none" w:sz="0" w:space="0" w:color="auto"/>
        <w:left w:val="none" w:sz="0" w:space="0" w:color="auto"/>
        <w:bottom w:val="none" w:sz="0" w:space="0" w:color="auto"/>
        <w:right w:val="none" w:sz="0" w:space="0" w:color="auto"/>
      </w:divBdr>
    </w:div>
    <w:div w:id="1611742854">
      <w:bodyDiv w:val="1"/>
      <w:marLeft w:val="0"/>
      <w:marRight w:val="0"/>
      <w:marTop w:val="0"/>
      <w:marBottom w:val="0"/>
      <w:divBdr>
        <w:top w:val="none" w:sz="0" w:space="0" w:color="auto"/>
        <w:left w:val="none" w:sz="0" w:space="0" w:color="auto"/>
        <w:bottom w:val="none" w:sz="0" w:space="0" w:color="auto"/>
        <w:right w:val="none" w:sz="0" w:space="0" w:color="auto"/>
      </w:divBdr>
    </w:div>
    <w:div w:id="1612056405">
      <w:bodyDiv w:val="1"/>
      <w:marLeft w:val="0"/>
      <w:marRight w:val="0"/>
      <w:marTop w:val="0"/>
      <w:marBottom w:val="0"/>
      <w:divBdr>
        <w:top w:val="none" w:sz="0" w:space="0" w:color="auto"/>
        <w:left w:val="none" w:sz="0" w:space="0" w:color="auto"/>
        <w:bottom w:val="none" w:sz="0" w:space="0" w:color="auto"/>
        <w:right w:val="none" w:sz="0" w:space="0" w:color="auto"/>
      </w:divBdr>
    </w:div>
    <w:div w:id="1619263732">
      <w:bodyDiv w:val="1"/>
      <w:marLeft w:val="0"/>
      <w:marRight w:val="0"/>
      <w:marTop w:val="0"/>
      <w:marBottom w:val="0"/>
      <w:divBdr>
        <w:top w:val="none" w:sz="0" w:space="0" w:color="auto"/>
        <w:left w:val="none" w:sz="0" w:space="0" w:color="auto"/>
        <w:bottom w:val="none" w:sz="0" w:space="0" w:color="auto"/>
        <w:right w:val="none" w:sz="0" w:space="0" w:color="auto"/>
      </w:divBdr>
    </w:div>
    <w:div w:id="1620644854">
      <w:bodyDiv w:val="1"/>
      <w:marLeft w:val="0"/>
      <w:marRight w:val="0"/>
      <w:marTop w:val="0"/>
      <w:marBottom w:val="0"/>
      <w:divBdr>
        <w:top w:val="none" w:sz="0" w:space="0" w:color="auto"/>
        <w:left w:val="none" w:sz="0" w:space="0" w:color="auto"/>
        <w:bottom w:val="none" w:sz="0" w:space="0" w:color="auto"/>
        <w:right w:val="none" w:sz="0" w:space="0" w:color="auto"/>
      </w:divBdr>
    </w:div>
    <w:div w:id="1622684358">
      <w:bodyDiv w:val="1"/>
      <w:marLeft w:val="0"/>
      <w:marRight w:val="0"/>
      <w:marTop w:val="0"/>
      <w:marBottom w:val="0"/>
      <w:divBdr>
        <w:top w:val="none" w:sz="0" w:space="0" w:color="auto"/>
        <w:left w:val="none" w:sz="0" w:space="0" w:color="auto"/>
        <w:bottom w:val="none" w:sz="0" w:space="0" w:color="auto"/>
        <w:right w:val="none" w:sz="0" w:space="0" w:color="auto"/>
      </w:divBdr>
    </w:div>
    <w:div w:id="1625232505">
      <w:bodyDiv w:val="1"/>
      <w:marLeft w:val="0"/>
      <w:marRight w:val="0"/>
      <w:marTop w:val="0"/>
      <w:marBottom w:val="0"/>
      <w:divBdr>
        <w:top w:val="none" w:sz="0" w:space="0" w:color="auto"/>
        <w:left w:val="none" w:sz="0" w:space="0" w:color="auto"/>
        <w:bottom w:val="none" w:sz="0" w:space="0" w:color="auto"/>
        <w:right w:val="none" w:sz="0" w:space="0" w:color="auto"/>
      </w:divBdr>
    </w:div>
    <w:div w:id="1628732054">
      <w:bodyDiv w:val="1"/>
      <w:marLeft w:val="0"/>
      <w:marRight w:val="0"/>
      <w:marTop w:val="0"/>
      <w:marBottom w:val="0"/>
      <w:divBdr>
        <w:top w:val="none" w:sz="0" w:space="0" w:color="auto"/>
        <w:left w:val="none" w:sz="0" w:space="0" w:color="auto"/>
        <w:bottom w:val="none" w:sz="0" w:space="0" w:color="auto"/>
        <w:right w:val="none" w:sz="0" w:space="0" w:color="auto"/>
      </w:divBdr>
    </w:div>
    <w:div w:id="1630939962">
      <w:bodyDiv w:val="1"/>
      <w:marLeft w:val="0"/>
      <w:marRight w:val="0"/>
      <w:marTop w:val="0"/>
      <w:marBottom w:val="0"/>
      <w:divBdr>
        <w:top w:val="none" w:sz="0" w:space="0" w:color="auto"/>
        <w:left w:val="none" w:sz="0" w:space="0" w:color="auto"/>
        <w:bottom w:val="none" w:sz="0" w:space="0" w:color="auto"/>
        <w:right w:val="none" w:sz="0" w:space="0" w:color="auto"/>
      </w:divBdr>
    </w:div>
    <w:div w:id="1631940858">
      <w:bodyDiv w:val="1"/>
      <w:marLeft w:val="0"/>
      <w:marRight w:val="0"/>
      <w:marTop w:val="0"/>
      <w:marBottom w:val="0"/>
      <w:divBdr>
        <w:top w:val="none" w:sz="0" w:space="0" w:color="auto"/>
        <w:left w:val="none" w:sz="0" w:space="0" w:color="auto"/>
        <w:bottom w:val="none" w:sz="0" w:space="0" w:color="auto"/>
        <w:right w:val="none" w:sz="0" w:space="0" w:color="auto"/>
      </w:divBdr>
      <w:divsChild>
        <w:div w:id="1524633120">
          <w:marLeft w:val="0"/>
          <w:marRight w:val="0"/>
          <w:marTop w:val="0"/>
          <w:marBottom w:val="0"/>
          <w:divBdr>
            <w:top w:val="none" w:sz="0" w:space="0" w:color="auto"/>
            <w:left w:val="none" w:sz="0" w:space="0" w:color="auto"/>
            <w:bottom w:val="none" w:sz="0" w:space="0" w:color="auto"/>
            <w:right w:val="none" w:sz="0" w:space="0" w:color="auto"/>
          </w:divBdr>
        </w:div>
      </w:divsChild>
    </w:div>
    <w:div w:id="1635402974">
      <w:bodyDiv w:val="1"/>
      <w:marLeft w:val="0"/>
      <w:marRight w:val="0"/>
      <w:marTop w:val="0"/>
      <w:marBottom w:val="0"/>
      <w:divBdr>
        <w:top w:val="none" w:sz="0" w:space="0" w:color="auto"/>
        <w:left w:val="none" w:sz="0" w:space="0" w:color="auto"/>
        <w:bottom w:val="none" w:sz="0" w:space="0" w:color="auto"/>
        <w:right w:val="none" w:sz="0" w:space="0" w:color="auto"/>
      </w:divBdr>
    </w:div>
    <w:div w:id="1638727866">
      <w:bodyDiv w:val="1"/>
      <w:marLeft w:val="0"/>
      <w:marRight w:val="0"/>
      <w:marTop w:val="0"/>
      <w:marBottom w:val="0"/>
      <w:divBdr>
        <w:top w:val="none" w:sz="0" w:space="0" w:color="auto"/>
        <w:left w:val="none" w:sz="0" w:space="0" w:color="auto"/>
        <w:bottom w:val="none" w:sz="0" w:space="0" w:color="auto"/>
        <w:right w:val="none" w:sz="0" w:space="0" w:color="auto"/>
      </w:divBdr>
    </w:div>
    <w:div w:id="1638995194">
      <w:bodyDiv w:val="1"/>
      <w:marLeft w:val="0"/>
      <w:marRight w:val="0"/>
      <w:marTop w:val="0"/>
      <w:marBottom w:val="0"/>
      <w:divBdr>
        <w:top w:val="none" w:sz="0" w:space="0" w:color="auto"/>
        <w:left w:val="none" w:sz="0" w:space="0" w:color="auto"/>
        <w:bottom w:val="none" w:sz="0" w:space="0" w:color="auto"/>
        <w:right w:val="none" w:sz="0" w:space="0" w:color="auto"/>
      </w:divBdr>
    </w:div>
    <w:div w:id="1644775282">
      <w:bodyDiv w:val="1"/>
      <w:marLeft w:val="0"/>
      <w:marRight w:val="0"/>
      <w:marTop w:val="0"/>
      <w:marBottom w:val="0"/>
      <w:divBdr>
        <w:top w:val="none" w:sz="0" w:space="0" w:color="auto"/>
        <w:left w:val="none" w:sz="0" w:space="0" w:color="auto"/>
        <w:bottom w:val="none" w:sz="0" w:space="0" w:color="auto"/>
        <w:right w:val="none" w:sz="0" w:space="0" w:color="auto"/>
      </w:divBdr>
    </w:div>
    <w:div w:id="1660379872">
      <w:bodyDiv w:val="1"/>
      <w:marLeft w:val="0"/>
      <w:marRight w:val="0"/>
      <w:marTop w:val="0"/>
      <w:marBottom w:val="0"/>
      <w:divBdr>
        <w:top w:val="none" w:sz="0" w:space="0" w:color="auto"/>
        <w:left w:val="none" w:sz="0" w:space="0" w:color="auto"/>
        <w:bottom w:val="none" w:sz="0" w:space="0" w:color="auto"/>
        <w:right w:val="none" w:sz="0" w:space="0" w:color="auto"/>
      </w:divBdr>
    </w:div>
    <w:div w:id="1661731757">
      <w:bodyDiv w:val="1"/>
      <w:marLeft w:val="0"/>
      <w:marRight w:val="0"/>
      <w:marTop w:val="0"/>
      <w:marBottom w:val="0"/>
      <w:divBdr>
        <w:top w:val="none" w:sz="0" w:space="0" w:color="auto"/>
        <w:left w:val="none" w:sz="0" w:space="0" w:color="auto"/>
        <w:bottom w:val="none" w:sz="0" w:space="0" w:color="auto"/>
        <w:right w:val="none" w:sz="0" w:space="0" w:color="auto"/>
      </w:divBdr>
    </w:div>
    <w:div w:id="1662587165">
      <w:bodyDiv w:val="1"/>
      <w:marLeft w:val="0"/>
      <w:marRight w:val="0"/>
      <w:marTop w:val="0"/>
      <w:marBottom w:val="0"/>
      <w:divBdr>
        <w:top w:val="none" w:sz="0" w:space="0" w:color="auto"/>
        <w:left w:val="none" w:sz="0" w:space="0" w:color="auto"/>
        <w:bottom w:val="none" w:sz="0" w:space="0" w:color="auto"/>
        <w:right w:val="none" w:sz="0" w:space="0" w:color="auto"/>
      </w:divBdr>
    </w:div>
    <w:div w:id="1663966221">
      <w:bodyDiv w:val="1"/>
      <w:marLeft w:val="0"/>
      <w:marRight w:val="0"/>
      <w:marTop w:val="0"/>
      <w:marBottom w:val="0"/>
      <w:divBdr>
        <w:top w:val="none" w:sz="0" w:space="0" w:color="auto"/>
        <w:left w:val="none" w:sz="0" w:space="0" w:color="auto"/>
        <w:bottom w:val="none" w:sz="0" w:space="0" w:color="auto"/>
        <w:right w:val="none" w:sz="0" w:space="0" w:color="auto"/>
      </w:divBdr>
    </w:div>
    <w:div w:id="1666543757">
      <w:bodyDiv w:val="1"/>
      <w:marLeft w:val="0"/>
      <w:marRight w:val="0"/>
      <w:marTop w:val="0"/>
      <w:marBottom w:val="0"/>
      <w:divBdr>
        <w:top w:val="none" w:sz="0" w:space="0" w:color="auto"/>
        <w:left w:val="none" w:sz="0" w:space="0" w:color="auto"/>
        <w:bottom w:val="none" w:sz="0" w:space="0" w:color="auto"/>
        <w:right w:val="none" w:sz="0" w:space="0" w:color="auto"/>
      </w:divBdr>
    </w:div>
    <w:div w:id="1668050503">
      <w:bodyDiv w:val="1"/>
      <w:marLeft w:val="0"/>
      <w:marRight w:val="0"/>
      <w:marTop w:val="0"/>
      <w:marBottom w:val="0"/>
      <w:divBdr>
        <w:top w:val="none" w:sz="0" w:space="0" w:color="auto"/>
        <w:left w:val="none" w:sz="0" w:space="0" w:color="auto"/>
        <w:bottom w:val="none" w:sz="0" w:space="0" w:color="auto"/>
        <w:right w:val="none" w:sz="0" w:space="0" w:color="auto"/>
      </w:divBdr>
      <w:divsChild>
        <w:div w:id="1831865811">
          <w:marLeft w:val="0"/>
          <w:marRight w:val="0"/>
          <w:marTop w:val="0"/>
          <w:marBottom w:val="0"/>
          <w:divBdr>
            <w:top w:val="none" w:sz="0" w:space="0" w:color="auto"/>
            <w:left w:val="none" w:sz="0" w:space="0" w:color="auto"/>
            <w:bottom w:val="none" w:sz="0" w:space="0" w:color="auto"/>
            <w:right w:val="none" w:sz="0" w:space="0" w:color="auto"/>
          </w:divBdr>
        </w:div>
      </w:divsChild>
    </w:div>
    <w:div w:id="1668943760">
      <w:bodyDiv w:val="1"/>
      <w:marLeft w:val="0"/>
      <w:marRight w:val="0"/>
      <w:marTop w:val="0"/>
      <w:marBottom w:val="0"/>
      <w:divBdr>
        <w:top w:val="none" w:sz="0" w:space="0" w:color="auto"/>
        <w:left w:val="none" w:sz="0" w:space="0" w:color="auto"/>
        <w:bottom w:val="none" w:sz="0" w:space="0" w:color="auto"/>
        <w:right w:val="none" w:sz="0" w:space="0" w:color="auto"/>
      </w:divBdr>
    </w:div>
    <w:div w:id="1676807693">
      <w:bodyDiv w:val="1"/>
      <w:marLeft w:val="0"/>
      <w:marRight w:val="0"/>
      <w:marTop w:val="0"/>
      <w:marBottom w:val="0"/>
      <w:divBdr>
        <w:top w:val="none" w:sz="0" w:space="0" w:color="auto"/>
        <w:left w:val="none" w:sz="0" w:space="0" w:color="auto"/>
        <w:bottom w:val="none" w:sz="0" w:space="0" w:color="auto"/>
        <w:right w:val="none" w:sz="0" w:space="0" w:color="auto"/>
      </w:divBdr>
      <w:divsChild>
        <w:div w:id="814489181">
          <w:marLeft w:val="0"/>
          <w:marRight w:val="0"/>
          <w:marTop w:val="0"/>
          <w:marBottom w:val="0"/>
          <w:divBdr>
            <w:top w:val="none" w:sz="0" w:space="0" w:color="auto"/>
            <w:left w:val="none" w:sz="0" w:space="0" w:color="auto"/>
            <w:bottom w:val="none" w:sz="0" w:space="0" w:color="auto"/>
            <w:right w:val="none" w:sz="0" w:space="0" w:color="auto"/>
          </w:divBdr>
        </w:div>
      </w:divsChild>
    </w:div>
    <w:div w:id="1677612828">
      <w:bodyDiv w:val="1"/>
      <w:marLeft w:val="0"/>
      <w:marRight w:val="0"/>
      <w:marTop w:val="0"/>
      <w:marBottom w:val="0"/>
      <w:divBdr>
        <w:top w:val="none" w:sz="0" w:space="0" w:color="auto"/>
        <w:left w:val="none" w:sz="0" w:space="0" w:color="auto"/>
        <w:bottom w:val="none" w:sz="0" w:space="0" w:color="auto"/>
        <w:right w:val="none" w:sz="0" w:space="0" w:color="auto"/>
      </w:divBdr>
    </w:div>
    <w:div w:id="1678069873">
      <w:bodyDiv w:val="1"/>
      <w:marLeft w:val="0"/>
      <w:marRight w:val="0"/>
      <w:marTop w:val="0"/>
      <w:marBottom w:val="0"/>
      <w:divBdr>
        <w:top w:val="none" w:sz="0" w:space="0" w:color="auto"/>
        <w:left w:val="none" w:sz="0" w:space="0" w:color="auto"/>
        <w:bottom w:val="none" w:sz="0" w:space="0" w:color="auto"/>
        <w:right w:val="none" w:sz="0" w:space="0" w:color="auto"/>
      </w:divBdr>
    </w:div>
    <w:div w:id="1678850386">
      <w:bodyDiv w:val="1"/>
      <w:marLeft w:val="0"/>
      <w:marRight w:val="0"/>
      <w:marTop w:val="0"/>
      <w:marBottom w:val="0"/>
      <w:divBdr>
        <w:top w:val="none" w:sz="0" w:space="0" w:color="auto"/>
        <w:left w:val="none" w:sz="0" w:space="0" w:color="auto"/>
        <w:bottom w:val="none" w:sz="0" w:space="0" w:color="auto"/>
        <w:right w:val="none" w:sz="0" w:space="0" w:color="auto"/>
      </w:divBdr>
    </w:div>
    <w:div w:id="1679040369">
      <w:bodyDiv w:val="1"/>
      <w:marLeft w:val="0"/>
      <w:marRight w:val="0"/>
      <w:marTop w:val="0"/>
      <w:marBottom w:val="0"/>
      <w:divBdr>
        <w:top w:val="none" w:sz="0" w:space="0" w:color="auto"/>
        <w:left w:val="none" w:sz="0" w:space="0" w:color="auto"/>
        <w:bottom w:val="none" w:sz="0" w:space="0" w:color="auto"/>
        <w:right w:val="none" w:sz="0" w:space="0" w:color="auto"/>
      </w:divBdr>
    </w:div>
    <w:div w:id="1681271953">
      <w:bodyDiv w:val="1"/>
      <w:marLeft w:val="0"/>
      <w:marRight w:val="0"/>
      <w:marTop w:val="0"/>
      <w:marBottom w:val="0"/>
      <w:divBdr>
        <w:top w:val="none" w:sz="0" w:space="0" w:color="auto"/>
        <w:left w:val="none" w:sz="0" w:space="0" w:color="auto"/>
        <w:bottom w:val="none" w:sz="0" w:space="0" w:color="auto"/>
        <w:right w:val="none" w:sz="0" w:space="0" w:color="auto"/>
      </w:divBdr>
    </w:div>
    <w:div w:id="1685085702">
      <w:bodyDiv w:val="1"/>
      <w:marLeft w:val="0"/>
      <w:marRight w:val="0"/>
      <w:marTop w:val="0"/>
      <w:marBottom w:val="0"/>
      <w:divBdr>
        <w:top w:val="none" w:sz="0" w:space="0" w:color="auto"/>
        <w:left w:val="none" w:sz="0" w:space="0" w:color="auto"/>
        <w:bottom w:val="none" w:sz="0" w:space="0" w:color="auto"/>
        <w:right w:val="none" w:sz="0" w:space="0" w:color="auto"/>
      </w:divBdr>
    </w:div>
    <w:div w:id="1685783781">
      <w:bodyDiv w:val="1"/>
      <w:marLeft w:val="0"/>
      <w:marRight w:val="0"/>
      <w:marTop w:val="0"/>
      <w:marBottom w:val="0"/>
      <w:divBdr>
        <w:top w:val="none" w:sz="0" w:space="0" w:color="auto"/>
        <w:left w:val="none" w:sz="0" w:space="0" w:color="auto"/>
        <w:bottom w:val="none" w:sz="0" w:space="0" w:color="auto"/>
        <w:right w:val="none" w:sz="0" w:space="0" w:color="auto"/>
      </w:divBdr>
    </w:div>
    <w:div w:id="1686856601">
      <w:bodyDiv w:val="1"/>
      <w:marLeft w:val="0"/>
      <w:marRight w:val="0"/>
      <w:marTop w:val="0"/>
      <w:marBottom w:val="0"/>
      <w:divBdr>
        <w:top w:val="none" w:sz="0" w:space="0" w:color="auto"/>
        <w:left w:val="none" w:sz="0" w:space="0" w:color="auto"/>
        <w:bottom w:val="none" w:sz="0" w:space="0" w:color="auto"/>
        <w:right w:val="none" w:sz="0" w:space="0" w:color="auto"/>
      </w:divBdr>
    </w:div>
    <w:div w:id="1689677903">
      <w:bodyDiv w:val="1"/>
      <w:marLeft w:val="0"/>
      <w:marRight w:val="0"/>
      <w:marTop w:val="0"/>
      <w:marBottom w:val="0"/>
      <w:divBdr>
        <w:top w:val="none" w:sz="0" w:space="0" w:color="auto"/>
        <w:left w:val="none" w:sz="0" w:space="0" w:color="auto"/>
        <w:bottom w:val="none" w:sz="0" w:space="0" w:color="auto"/>
        <w:right w:val="none" w:sz="0" w:space="0" w:color="auto"/>
      </w:divBdr>
    </w:div>
    <w:div w:id="1698046239">
      <w:bodyDiv w:val="1"/>
      <w:marLeft w:val="0"/>
      <w:marRight w:val="0"/>
      <w:marTop w:val="0"/>
      <w:marBottom w:val="0"/>
      <w:divBdr>
        <w:top w:val="none" w:sz="0" w:space="0" w:color="auto"/>
        <w:left w:val="none" w:sz="0" w:space="0" w:color="auto"/>
        <w:bottom w:val="none" w:sz="0" w:space="0" w:color="auto"/>
        <w:right w:val="none" w:sz="0" w:space="0" w:color="auto"/>
      </w:divBdr>
    </w:div>
    <w:div w:id="1698389441">
      <w:bodyDiv w:val="1"/>
      <w:marLeft w:val="0"/>
      <w:marRight w:val="0"/>
      <w:marTop w:val="0"/>
      <w:marBottom w:val="0"/>
      <w:divBdr>
        <w:top w:val="none" w:sz="0" w:space="0" w:color="auto"/>
        <w:left w:val="none" w:sz="0" w:space="0" w:color="auto"/>
        <w:bottom w:val="none" w:sz="0" w:space="0" w:color="auto"/>
        <w:right w:val="none" w:sz="0" w:space="0" w:color="auto"/>
      </w:divBdr>
      <w:divsChild>
        <w:div w:id="245000939">
          <w:marLeft w:val="0"/>
          <w:marRight w:val="0"/>
          <w:marTop w:val="0"/>
          <w:marBottom w:val="0"/>
          <w:divBdr>
            <w:top w:val="none" w:sz="0" w:space="0" w:color="auto"/>
            <w:left w:val="none" w:sz="0" w:space="0" w:color="auto"/>
            <w:bottom w:val="none" w:sz="0" w:space="0" w:color="auto"/>
            <w:right w:val="none" w:sz="0" w:space="0" w:color="auto"/>
          </w:divBdr>
        </w:div>
      </w:divsChild>
    </w:div>
    <w:div w:id="1700280766">
      <w:bodyDiv w:val="1"/>
      <w:marLeft w:val="0"/>
      <w:marRight w:val="0"/>
      <w:marTop w:val="0"/>
      <w:marBottom w:val="0"/>
      <w:divBdr>
        <w:top w:val="none" w:sz="0" w:space="0" w:color="auto"/>
        <w:left w:val="none" w:sz="0" w:space="0" w:color="auto"/>
        <w:bottom w:val="none" w:sz="0" w:space="0" w:color="auto"/>
        <w:right w:val="none" w:sz="0" w:space="0" w:color="auto"/>
      </w:divBdr>
    </w:div>
    <w:div w:id="1701009525">
      <w:bodyDiv w:val="1"/>
      <w:marLeft w:val="0"/>
      <w:marRight w:val="0"/>
      <w:marTop w:val="0"/>
      <w:marBottom w:val="0"/>
      <w:divBdr>
        <w:top w:val="none" w:sz="0" w:space="0" w:color="auto"/>
        <w:left w:val="none" w:sz="0" w:space="0" w:color="auto"/>
        <w:bottom w:val="none" w:sz="0" w:space="0" w:color="auto"/>
        <w:right w:val="none" w:sz="0" w:space="0" w:color="auto"/>
      </w:divBdr>
    </w:div>
    <w:div w:id="1704287680">
      <w:bodyDiv w:val="1"/>
      <w:marLeft w:val="0"/>
      <w:marRight w:val="0"/>
      <w:marTop w:val="0"/>
      <w:marBottom w:val="0"/>
      <w:divBdr>
        <w:top w:val="none" w:sz="0" w:space="0" w:color="auto"/>
        <w:left w:val="none" w:sz="0" w:space="0" w:color="auto"/>
        <w:bottom w:val="none" w:sz="0" w:space="0" w:color="auto"/>
        <w:right w:val="none" w:sz="0" w:space="0" w:color="auto"/>
      </w:divBdr>
    </w:div>
    <w:div w:id="1704860524">
      <w:bodyDiv w:val="1"/>
      <w:marLeft w:val="0"/>
      <w:marRight w:val="0"/>
      <w:marTop w:val="0"/>
      <w:marBottom w:val="0"/>
      <w:divBdr>
        <w:top w:val="none" w:sz="0" w:space="0" w:color="auto"/>
        <w:left w:val="none" w:sz="0" w:space="0" w:color="auto"/>
        <w:bottom w:val="none" w:sz="0" w:space="0" w:color="auto"/>
        <w:right w:val="none" w:sz="0" w:space="0" w:color="auto"/>
      </w:divBdr>
    </w:div>
    <w:div w:id="1705330849">
      <w:bodyDiv w:val="1"/>
      <w:marLeft w:val="0"/>
      <w:marRight w:val="0"/>
      <w:marTop w:val="0"/>
      <w:marBottom w:val="0"/>
      <w:divBdr>
        <w:top w:val="none" w:sz="0" w:space="0" w:color="auto"/>
        <w:left w:val="none" w:sz="0" w:space="0" w:color="auto"/>
        <w:bottom w:val="none" w:sz="0" w:space="0" w:color="auto"/>
        <w:right w:val="none" w:sz="0" w:space="0" w:color="auto"/>
      </w:divBdr>
    </w:div>
    <w:div w:id="1709987656">
      <w:bodyDiv w:val="1"/>
      <w:marLeft w:val="0"/>
      <w:marRight w:val="0"/>
      <w:marTop w:val="0"/>
      <w:marBottom w:val="0"/>
      <w:divBdr>
        <w:top w:val="none" w:sz="0" w:space="0" w:color="auto"/>
        <w:left w:val="none" w:sz="0" w:space="0" w:color="auto"/>
        <w:bottom w:val="none" w:sz="0" w:space="0" w:color="auto"/>
        <w:right w:val="none" w:sz="0" w:space="0" w:color="auto"/>
      </w:divBdr>
    </w:div>
    <w:div w:id="1710182382">
      <w:bodyDiv w:val="1"/>
      <w:marLeft w:val="0"/>
      <w:marRight w:val="0"/>
      <w:marTop w:val="0"/>
      <w:marBottom w:val="0"/>
      <w:divBdr>
        <w:top w:val="none" w:sz="0" w:space="0" w:color="auto"/>
        <w:left w:val="none" w:sz="0" w:space="0" w:color="auto"/>
        <w:bottom w:val="none" w:sz="0" w:space="0" w:color="auto"/>
        <w:right w:val="none" w:sz="0" w:space="0" w:color="auto"/>
      </w:divBdr>
    </w:div>
    <w:div w:id="1712723249">
      <w:bodyDiv w:val="1"/>
      <w:marLeft w:val="0"/>
      <w:marRight w:val="0"/>
      <w:marTop w:val="0"/>
      <w:marBottom w:val="0"/>
      <w:divBdr>
        <w:top w:val="none" w:sz="0" w:space="0" w:color="auto"/>
        <w:left w:val="none" w:sz="0" w:space="0" w:color="auto"/>
        <w:bottom w:val="none" w:sz="0" w:space="0" w:color="auto"/>
        <w:right w:val="none" w:sz="0" w:space="0" w:color="auto"/>
      </w:divBdr>
    </w:div>
    <w:div w:id="1713116745">
      <w:bodyDiv w:val="1"/>
      <w:marLeft w:val="0"/>
      <w:marRight w:val="0"/>
      <w:marTop w:val="0"/>
      <w:marBottom w:val="0"/>
      <w:divBdr>
        <w:top w:val="none" w:sz="0" w:space="0" w:color="auto"/>
        <w:left w:val="none" w:sz="0" w:space="0" w:color="auto"/>
        <w:bottom w:val="none" w:sz="0" w:space="0" w:color="auto"/>
        <w:right w:val="none" w:sz="0" w:space="0" w:color="auto"/>
      </w:divBdr>
    </w:div>
    <w:div w:id="1714766116">
      <w:bodyDiv w:val="1"/>
      <w:marLeft w:val="0"/>
      <w:marRight w:val="0"/>
      <w:marTop w:val="0"/>
      <w:marBottom w:val="0"/>
      <w:divBdr>
        <w:top w:val="none" w:sz="0" w:space="0" w:color="auto"/>
        <w:left w:val="none" w:sz="0" w:space="0" w:color="auto"/>
        <w:bottom w:val="none" w:sz="0" w:space="0" w:color="auto"/>
        <w:right w:val="none" w:sz="0" w:space="0" w:color="auto"/>
      </w:divBdr>
    </w:div>
    <w:div w:id="1714815990">
      <w:bodyDiv w:val="1"/>
      <w:marLeft w:val="0"/>
      <w:marRight w:val="0"/>
      <w:marTop w:val="0"/>
      <w:marBottom w:val="0"/>
      <w:divBdr>
        <w:top w:val="none" w:sz="0" w:space="0" w:color="auto"/>
        <w:left w:val="none" w:sz="0" w:space="0" w:color="auto"/>
        <w:bottom w:val="none" w:sz="0" w:space="0" w:color="auto"/>
        <w:right w:val="none" w:sz="0" w:space="0" w:color="auto"/>
      </w:divBdr>
    </w:div>
    <w:div w:id="1716662420">
      <w:bodyDiv w:val="1"/>
      <w:marLeft w:val="0"/>
      <w:marRight w:val="0"/>
      <w:marTop w:val="0"/>
      <w:marBottom w:val="0"/>
      <w:divBdr>
        <w:top w:val="none" w:sz="0" w:space="0" w:color="auto"/>
        <w:left w:val="none" w:sz="0" w:space="0" w:color="auto"/>
        <w:bottom w:val="none" w:sz="0" w:space="0" w:color="auto"/>
        <w:right w:val="none" w:sz="0" w:space="0" w:color="auto"/>
      </w:divBdr>
    </w:div>
    <w:div w:id="1719083249">
      <w:bodyDiv w:val="1"/>
      <w:marLeft w:val="0"/>
      <w:marRight w:val="0"/>
      <w:marTop w:val="0"/>
      <w:marBottom w:val="0"/>
      <w:divBdr>
        <w:top w:val="none" w:sz="0" w:space="0" w:color="auto"/>
        <w:left w:val="none" w:sz="0" w:space="0" w:color="auto"/>
        <w:bottom w:val="none" w:sz="0" w:space="0" w:color="auto"/>
        <w:right w:val="none" w:sz="0" w:space="0" w:color="auto"/>
      </w:divBdr>
    </w:div>
    <w:div w:id="1722172613">
      <w:bodyDiv w:val="1"/>
      <w:marLeft w:val="0"/>
      <w:marRight w:val="0"/>
      <w:marTop w:val="0"/>
      <w:marBottom w:val="0"/>
      <w:divBdr>
        <w:top w:val="none" w:sz="0" w:space="0" w:color="auto"/>
        <w:left w:val="none" w:sz="0" w:space="0" w:color="auto"/>
        <w:bottom w:val="none" w:sz="0" w:space="0" w:color="auto"/>
        <w:right w:val="none" w:sz="0" w:space="0" w:color="auto"/>
      </w:divBdr>
    </w:div>
    <w:div w:id="1724795797">
      <w:bodyDiv w:val="1"/>
      <w:marLeft w:val="0"/>
      <w:marRight w:val="0"/>
      <w:marTop w:val="0"/>
      <w:marBottom w:val="0"/>
      <w:divBdr>
        <w:top w:val="none" w:sz="0" w:space="0" w:color="auto"/>
        <w:left w:val="none" w:sz="0" w:space="0" w:color="auto"/>
        <w:bottom w:val="none" w:sz="0" w:space="0" w:color="auto"/>
        <w:right w:val="none" w:sz="0" w:space="0" w:color="auto"/>
      </w:divBdr>
    </w:div>
    <w:div w:id="1726292052">
      <w:bodyDiv w:val="1"/>
      <w:marLeft w:val="0"/>
      <w:marRight w:val="0"/>
      <w:marTop w:val="0"/>
      <w:marBottom w:val="0"/>
      <w:divBdr>
        <w:top w:val="none" w:sz="0" w:space="0" w:color="auto"/>
        <w:left w:val="none" w:sz="0" w:space="0" w:color="auto"/>
        <w:bottom w:val="none" w:sz="0" w:space="0" w:color="auto"/>
        <w:right w:val="none" w:sz="0" w:space="0" w:color="auto"/>
      </w:divBdr>
      <w:divsChild>
        <w:div w:id="709694214">
          <w:marLeft w:val="0"/>
          <w:marRight w:val="0"/>
          <w:marTop w:val="0"/>
          <w:marBottom w:val="0"/>
          <w:divBdr>
            <w:top w:val="none" w:sz="0" w:space="0" w:color="auto"/>
            <w:left w:val="none" w:sz="0" w:space="0" w:color="auto"/>
            <w:bottom w:val="none" w:sz="0" w:space="0" w:color="auto"/>
            <w:right w:val="none" w:sz="0" w:space="0" w:color="auto"/>
          </w:divBdr>
        </w:div>
      </w:divsChild>
    </w:div>
    <w:div w:id="1728257664">
      <w:bodyDiv w:val="1"/>
      <w:marLeft w:val="0"/>
      <w:marRight w:val="0"/>
      <w:marTop w:val="0"/>
      <w:marBottom w:val="0"/>
      <w:divBdr>
        <w:top w:val="none" w:sz="0" w:space="0" w:color="auto"/>
        <w:left w:val="none" w:sz="0" w:space="0" w:color="auto"/>
        <w:bottom w:val="none" w:sz="0" w:space="0" w:color="auto"/>
        <w:right w:val="none" w:sz="0" w:space="0" w:color="auto"/>
      </w:divBdr>
    </w:div>
    <w:div w:id="1731150060">
      <w:bodyDiv w:val="1"/>
      <w:marLeft w:val="0"/>
      <w:marRight w:val="0"/>
      <w:marTop w:val="0"/>
      <w:marBottom w:val="0"/>
      <w:divBdr>
        <w:top w:val="none" w:sz="0" w:space="0" w:color="auto"/>
        <w:left w:val="none" w:sz="0" w:space="0" w:color="auto"/>
        <w:bottom w:val="none" w:sz="0" w:space="0" w:color="auto"/>
        <w:right w:val="none" w:sz="0" w:space="0" w:color="auto"/>
      </w:divBdr>
    </w:div>
    <w:div w:id="1736510342">
      <w:bodyDiv w:val="1"/>
      <w:marLeft w:val="0"/>
      <w:marRight w:val="0"/>
      <w:marTop w:val="0"/>
      <w:marBottom w:val="0"/>
      <w:divBdr>
        <w:top w:val="none" w:sz="0" w:space="0" w:color="auto"/>
        <w:left w:val="none" w:sz="0" w:space="0" w:color="auto"/>
        <w:bottom w:val="none" w:sz="0" w:space="0" w:color="auto"/>
        <w:right w:val="none" w:sz="0" w:space="0" w:color="auto"/>
      </w:divBdr>
    </w:div>
    <w:div w:id="1737507546">
      <w:bodyDiv w:val="1"/>
      <w:marLeft w:val="0"/>
      <w:marRight w:val="0"/>
      <w:marTop w:val="0"/>
      <w:marBottom w:val="0"/>
      <w:divBdr>
        <w:top w:val="none" w:sz="0" w:space="0" w:color="auto"/>
        <w:left w:val="none" w:sz="0" w:space="0" w:color="auto"/>
        <w:bottom w:val="none" w:sz="0" w:space="0" w:color="auto"/>
        <w:right w:val="none" w:sz="0" w:space="0" w:color="auto"/>
      </w:divBdr>
    </w:div>
    <w:div w:id="1739859700">
      <w:bodyDiv w:val="1"/>
      <w:marLeft w:val="0"/>
      <w:marRight w:val="0"/>
      <w:marTop w:val="0"/>
      <w:marBottom w:val="0"/>
      <w:divBdr>
        <w:top w:val="none" w:sz="0" w:space="0" w:color="auto"/>
        <w:left w:val="none" w:sz="0" w:space="0" w:color="auto"/>
        <w:bottom w:val="none" w:sz="0" w:space="0" w:color="auto"/>
        <w:right w:val="none" w:sz="0" w:space="0" w:color="auto"/>
      </w:divBdr>
    </w:div>
    <w:div w:id="1740518576">
      <w:bodyDiv w:val="1"/>
      <w:marLeft w:val="0"/>
      <w:marRight w:val="0"/>
      <w:marTop w:val="0"/>
      <w:marBottom w:val="0"/>
      <w:divBdr>
        <w:top w:val="none" w:sz="0" w:space="0" w:color="auto"/>
        <w:left w:val="none" w:sz="0" w:space="0" w:color="auto"/>
        <w:bottom w:val="none" w:sz="0" w:space="0" w:color="auto"/>
        <w:right w:val="none" w:sz="0" w:space="0" w:color="auto"/>
      </w:divBdr>
    </w:div>
    <w:div w:id="1740979864">
      <w:bodyDiv w:val="1"/>
      <w:marLeft w:val="0"/>
      <w:marRight w:val="0"/>
      <w:marTop w:val="0"/>
      <w:marBottom w:val="0"/>
      <w:divBdr>
        <w:top w:val="none" w:sz="0" w:space="0" w:color="auto"/>
        <w:left w:val="none" w:sz="0" w:space="0" w:color="auto"/>
        <w:bottom w:val="none" w:sz="0" w:space="0" w:color="auto"/>
        <w:right w:val="none" w:sz="0" w:space="0" w:color="auto"/>
      </w:divBdr>
    </w:div>
    <w:div w:id="1742867015">
      <w:bodyDiv w:val="1"/>
      <w:marLeft w:val="0"/>
      <w:marRight w:val="0"/>
      <w:marTop w:val="0"/>
      <w:marBottom w:val="0"/>
      <w:divBdr>
        <w:top w:val="none" w:sz="0" w:space="0" w:color="auto"/>
        <w:left w:val="none" w:sz="0" w:space="0" w:color="auto"/>
        <w:bottom w:val="none" w:sz="0" w:space="0" w:color="auto"/>
        <w:right w:val="none" w:sz="0" w:space="0" w:color="auto"/>
      </w:divBdr>
    </w:div>
    <w:div w:id="1743486306">
      <w:bodyDiv w:val="1"/>
      <w:marLeft w:val="0"/>
      <w:marRight w:val="0"/>
      <w:marTop w:val="0"/>
      <w:marBottom w:val="0"/>
      <w:divBdr>
        <w:top w:val="none" w:sz="0" w:space="0" w:color="auto"/>
        <w:left w:val="none" w:sz="0" w:space="0" w:color="auto"/>
        <w:bottom w:val="none" w:sz="0" w:space="0" w:color="auto"/>
        <w:right w:val="none" w:sz="0" w:space="0" w:color="auto"/>
      </w:divBdr>
    </w:div>
    <w:div w:id="1751733734">
      <w:bodyDiv w:val="1"/>
      <w:marLeft w:val="0"/>
      <w:marRight w:val="0"/>
      <w:marTop w:val="0"/>
      <w:marBottom w:val="0"/>
      <w:divBdr>
        <w:top w:val="none" w:sz="0" w:space="0" w:color="auto"/>
        <w:left w:val="none" w:sz="0" w:space="0" w:color="auto"/>
        <w:bottom w:val="none" w:sz="0" w:space="0" w:color="auto"/>
        <w:right w:val="none" w:sz="0" w:space="0" w:color="auto"/>
      </w:divBdr>
      <w:divsChild>
        <w:div w:id="91553805">
          <w:marLeft w:val="0"/>
          <w:marRight w:val="0"/>
          <w:marTop w:val="0"/>
          <w:marBottom w:val="0"/>
          <w:divBdr>
            <w:top w:val="none" w:sz="0" w:space="0" w:color="auto"/>
            <w:left w:val="none" w:sz="0" w:space="0" w:color="auto"/>
            <w:bottom w:val="none" w:sz="0" w:space="0" w:color="auto"/>
            <w:right w:val="none" w:sz="0" w:space="0" w:color="auto"/>
          </w:divBdr>
        </w:div>
        <w:div w:id="887454462">
          <w:marLeft w:val="0"/>
          <w:marRight w:val="0"/>
          <w:marTop w:val="0"/>
          <w:marBottom w:val="0"/>
          <w:divBdr>
            <w:top w:val="none" w:sz="0" w:space="0" w:color="auto"/>
            <w:left w:val="none" w:sz="0" w:space="0" w:color="auto"/>
            <w:bottom w:val="none" w:sz="0" w:space="0" w:color="auto"/>
            <w:right w:val="none" w:sz="0" w:space="0" w:color="auto"/>
          </w:divBdr>
        </w:div>
        <w:div w:id="1300458189">
          <w:marLeft w:val="0"/>
          <w:marRight w:val="0"/>
          <w:marTop w:val="0"/>
          <w:marBottom w:val="0"/>
          <w:divBdr>
            <w:top w:val="none" w:sz="0" w:space="0" w:color="auto"/>
            <w:left w:val="none" w:sz="0" w:space="0" w:color="auto"/>
            <w:bottom w:val="none" w:sz="0" w:space="0" w:color="auto"/>
            <w:right w:val="none" w:sz="0" w:space="0" w:color="auto"/>
          </w:divBdr>
        </w:div>
        <w:div w:id="1707097946">
          <w:marLeft w:val="0"/>
          <w:marRight w:val="0"/>
          <w:marTop w:val="0"/>
          <w:marBottom w:val="0"/>
          <w:divBdr>
            <w:top w:val="none" w:sz="0" w:space="0" w:color="auto"/>
            <w:left w:val="none" w:sz="0" w:space="0" w:color="auto"/>
            <w:bottom w:val="none" w:sz="0" w:space="0" w:color="auto"/>
            <w:right w:val="none" w:sz="0" w:space="0" w:color="auto"/>
          </w:divBdr>
        </w:div>
        <w:div w:id="1761680541">
          <w:marLeft w:val="0"/>
          <w:marRight w:val="0"/>
          <w:marTop w:val="0"/>
          <w:marBottom w:val="0"/>
          <w:divBdr>
            <w:top w:val="none" w:sz="0" w:space="0" w:color="auto"/>
            <w:left w:val="none" w:sz="0" w:space="0" w:color="auto"/>
            <w:bottom w:val="none" w:sz="0" w:space="0" w:color="auto"/>
            <w:right w:val="none" w:sz="0" w:space="0" w:color="auto"/>
          </w:divBdr>
        </w:div>
        <w:div w:id="2079941248">
          <w:marLeft w:val="0"/>
          <w:marRight w:val="0"/>
          <w:marTop w:val="0"/>
          <w:marBottom w:val="0"/>
          <w:divBdr>
            <w:top w:val="none" w:sz="0" w:space="0" w:color="auto"/>
            <w:left w:val="none" w:sz="0" w:space="0" w:color="auto"/>
            <w:bottom w:val="none" w:sz="0" w:space="0" w:color="auto"/>
            <w:right w:val="none" w:sz="0" w:space="0" w:color="auto"/>
          </w:divBdr>
        </w:div>
        <w:div w:id="2107848331">
          <w:marLeft w:val="0"/>
          <w:marRight w:val="0"/>
          <w:marTop w:val="0"/>
          <w:marBottom w:val="0"/>
          <w:divBdr>
            <w:top w:val="none" w:sz="0" w:space="0" w:color="auto"/>
            <w:left w:val="none" w:sz="0" w:space="0" w:color="auto"/>
            <w:bottom w:val="none" w:sz="0" w:space="0" w:color="auto"/>
            <w:right w:val="none" w:sz="0" w:space="0" w:color="auto"/>
          </w:divBdr>
        </w:div>
      </w:divsChild>
    </w:div>
    <w:div w:id="1757818718">
      <w:bodyDiv w:val="1"/>
      <w:marLeft w:val="0"/>
      <w:marRight w:val="0"/>
      <w:marTop w:val="0"/>
      <w:marBottom w:val="0"/>
      <w:divBdr>
        <w:top w:val="none" w:sz="0" w:space="0" w:color="auto"/>
        <w:left w:val="none" w:sz="0" w:space="0" w:color="auto"/>
        <w:bottom w:val="none" w:sz="0" w:space="0" w:color="auto"/>
        <w:right w:val="none" w:sz="0" w:space="0" w:color="auto"/>
      </w:divBdr>
      <w:divsChild>
        <w:div w:id="1715157799">
          <w:marLeft w:val="0"/>
          <w:marRight w:val="0"/>
          <w:marTop w:val="0"/>
          <w:marBottom w:val="0"/>
          <w:divBdr>
            <w:top w:val="none" w:sz="0" w:space="0" w:color="auto"/>
            <w:left w:val="none" w:sz="0" w:space="0" w:color="auto"/>
            <w:bottom w:val="none" w:sz="0" w:space="0" w:color="auto"/>
            <w:right w:val="none" w:sz="0" w:space="0" w:color="auto"/>
          </w:divBdr>
        </w:div>
      </w:divsChild>
    </w:div>
    <w:div w:id="1767068870">
      <w:bodyDiv w:val="1"/>
      <w:marLeft w:val="0"/>
      <w:marRight w:val="0"/>
      <w:marTop w:val="0"/>
      <w:marBottom w:val="0"/>
      <w:divBdr>
        <w:top w:val="none" w:sz="0" w:space="0" w:color="auto"/>
        <w:left w:val="none" w:sz="0" w:space="0" w:color="auto"/>
        <w:bottom w:val="none" w:sz="0" w:space="0" w:color="auto"/>
        <w:right w:val="none" w:sz="0" w:space="0" w:color="auto"/>
      </w:divBdr>
    </w:div>
    <w:div w:id="1775131297">
      <w:bodyDiv w:val="1"/>
      <w:marLeft w:val="0"/>
      <w:marRight w:val="0"/>
      <w:marTop w:val="0"/>
      <w:marBottom w:val="0"/>
      <w:divBdr>
        <w:top w:val="none" w:sz="0" w:space="0" w:color="auto"/>
        <w:left w:val="none" w:sz="0" w:space="0" w:color="auto"/>
        <w:bottom w:val="none" w:sz="0" w:space="0" w:color="auto"/>
        <w:right w:val="none" w:sz="0" w:space="0" w:color="auto"/>
      </w:divBdr>
    </w:div>
    <w:div w:id="1776242063">
      <w:bodyDiv w:val="1"/>
      <w:marLeft w:val="0"/>
      <w:marRight w:val="0"/>
      <w:marTop w:val="0"/>
      <w:marBottom w:val="0"/>
      <w:divBdr>
        <w:top w:val="none" w:sz="0" w:space="0" w:color="auto"/>
        <w:left w:val="none" w:sz="0" w:space="0" w:color="auto"/>
        <w:bottom w:val="none" w:sz="0" w:space="0" w:color="auto"/>
        <w:right w:val="none" w:sz="0" w:space="0" w:color="auto"/>
      </w:divBdr>
    </w:div>
    <w:div w:id="1779787481">
      <w:bodyDiv w:val="1"/>
      <w:marLeft w:val="0"/>
      <w:marRight w:val="0"/>
      <w:marTop w:val="0"/>
      <w:marBottom w:val="0"/>
      <w:divBdr>
        <w:top w:val="none" w:sz="0" w:space="0" w:color="auto"/>
        <w:left w:val="none" w:sz="0" w:space="0" w:color="auto"/>
        <w:bottom w:val="none" w:sz="0" w:space="0" w:color="auto"/>
        <w:right w:val="none" w:sz="0" w:space="0" w:color="auto"/>
      </w:divBdr>
    </w:div>
    <w:div w:id="1779911709">
      <w:bodyDiv w:val="1"/>
      <w:marLeft w:val="0"/>
      <w:marRight w:val="0"/>
      <w:marTop w:val="0"/>
      <w:marBottom w:val="0"/>
      <w:divBdr>
        <w:top w:val="none" w:sz="0" w:space="0" w:color="auto"/>
        <w:left w:val="none" w:sz="0" w:space="0" w:color="auto"/>
        <w:bottom w:val="none" w:sz="0" w:space="0" w:color="auto"/>
        <w:right w:val="none" w:sz="0" w:space="0" w:color="auto"/>
      </w:divBdr>
    </w:div>
    <w:div w:id="1785149698">
      <w:bodyDiv w:val="1"/>
      <w:marLeft w:val="0"/>
      <w:marRight w:val="0"/>
      <w:marTop w:val="0"/>
      <w:marBottom w:val="0"/>
      <w:divBdr>
        <w:top w:val="none" w:sz="0" w:space="0" w:color="auto"/>
        <w:left w:val="none" w:sz="0" w:space="0" w:color="auto"/>
        <w:bottom w:val="none" w:sz="0" w:space="0" w:color="auto"/>
        <w:right w:val="none" w:sz="0" w:space="0" w:color="auto"/>
      </w:divBdr>
    </w:div>
    <w:div w:id="1785269125">
      <w:bodyDiv w:val="1"/>
      <w:marLeft w:val="0"/>
      <w:marRight w:val="0"/>
      <w:marTop w:val="0"/>
      <w:marBottom w:val="0"/>
      <w:divBdr>
        <w:top w:val="none" w:sz="0" w:space="0" w:color="auto"/>
        <w:left w:val="none" w:sz="0" w:space="0" w:color="auto"/>
        <w:bottom w:val="none" w:sz="0" w:space="0" w:color="auto"/>
        <w:right w:val="none" w:sz="0" w:space="0" w:color="auto"/>
      </w:divBdr>
    </w:div>
    <w:div w:id="1785540183">
      <w:bodyDiv w:val="1"/>
      <w:marLeft w:val="0"/>
      <w:marRight w:val="0"/>
      <w:marTop w:val="0"/>
      <w:marBottom w:val="0"/>
      <w:divBdr>
        <w:top w:val="none" w:sz="0" w:space="0" w:color="auto"/>
        <w:left w:val="none" w:sz="0" w:space="0" w:color="auto"/>
        <w:bottom w:val="none" w:sz="0" w:space="0" w:color="auto"/>
        <w:right w:val="none" w:sz="0" w:space="0" w:color="auto"/>
      </w:divBdr>
    </w:div>
    <w:div w:id="1788154872">
      <w:bodyDiv w:val="1"/>
      <w:marLeft w:val="0"/>
      <w:marRight w:val="0"/>
      <w:marTop w:val="0"/>
      <w:marBottom w:val="0"/>
      <w:divBdr>
        <w:top w:val="none" w:sz="0" w:space="0" w:color="auto"/>
        <w:left w:val="none" w:sz="0" w:space="0" w:color="auto"/>
        <w:bottom w:val="none" w:sz="0" w:space="0" w:color="auto"/>
        <w:right w:val="none" w:sz="0" w:space="0" w:color="auto"/>
      </w:divBdr>
    </w:div>
    <w:div w:id="1792624505">
      <w:bodyDiv w:val="1"/>
      <w:marLeft w:val="0"/>
      <w:marRight w:val="0"/>
      <w:marTop w:val="0"/>
      <w:marBottom w:val="0"/>
      <w:divBdr>
        <w:top w:val="none" w:sz="0" w:space="0" w:color="auto"/>
        <w:left w:val="none" w:sz="0" w:space="0" w:color="auto"/>
        <w:bottom w:val="none" w:sz="0" w:space="0" w:color="auto"/>
        <w:right w:val="none" w:sz="0" w:space="0" w:color="auto"/>
      </w:divBdr>
      <w:divsChild>
        <w:div w:id="1127235634">
          <w:marLeft w:val="0"/>
          <w:marRight w:val="0"/>
          <w:marTop w:val="0"/>
          <w:marBottom w:val="0"/>
          <w:divBdr>
            <w:top w:val="none" w:sz="0" w:space="0" w:color="auto"/>
            <w:left w:val="none" w:sz="0" w:space="0" w:color="auto"/>
            <w:bottom w:val="none" w:sz="0" w:space="0" w:color="auto"/>
            <w:right w:val="none" w:sz="0" w:space="0" w:color="auto"/>
          </w:divBdr>
        </w:div>
      </w:divsChild>
    </w:div>
    <w:div w:id="1793207969">
      <w:bodyDiv w:val="1"/>
      <w:marLeft w:val="0"/>
      <w:marRight w:val="0"/>
      <w:marTop w:val="0"/>
      <w:marBottom w:val="0"/>
      <w:divBdr>
        <w:top w:val="none" w:sz="0" w:space="0" w:color="auto"/>
        <w:left w:val="none" w:sz="0" w:space="0" w:color="auto"/>
        <w:bottom w:val="none" w:sz="0" w:space="0" w:color="auto"/>
        <w:right w:val="none" w:sz="0" w:space="0" w:color="auto"/>
      </w:divBdr>
      <w:divsChild>
        <w:div w:id="225921545">
          <w:marLeft w:val="0"/>
          <w:marRight w:val="0"/>
          <w:marTop w:val="0"/>
          <w:marBottom w:val="0"/>
          <w:divBdr>
            <w:top w:val="none" w:sz="0" w:space="0" w:color="auto"/>
            <w:left w:val="none" w:sz="0" w:space="0" w:color="auto"/>
            <w:bottom w:val="none" w:sz="0" w:space="0" w:color="auto"/>
            <w:right w:val="none" w:sz="0" w:space="0" w:color="auto"/>
          </w:divBdr>
        </w:div>
      </w:divsChild>
    </w:div>
    <w:div w:id="1794858291">
      <w:bodyDiv w:val="1"/>
      <w:marLeft w:val="0"/>
      <w:marRight w:val="0"/>
      <w:marTop w:val="0"/>
      <w:marBottom w:val="0"/>
      <w:divBdr>
        <w:top w:val="none" w:sz="0" w:space="0" w:color="auto"/>
        <w:left w:val="none" w:sz="0" w:space="0" w:color="auto"/>
        <w:bottom w:val="none" w:sz="0" w:space="0" w:color="auto"/>
        <w:right w:val="none" w:sz="0" w:space="0" w:color="auto"/>
      </w:divBdr>
    </w:div>
    <w:div w:id="1795638491">
      <w:bodyDiv w:val="1"/>
      <w:marLeft w:val="0"/>
      <w:marRight w:val="0"/>
      <w:marTop w:val="0"/>
      <w:marBottom w:val="0"/>
      <w:divBdr>
        <w:top w:val="none" w:sz="0" w:space="0" w:color="auto"/>
        <w:left w:val="none" w:sz="0" w:space="0" w:color="auto"/>
        <w:bottom w:val="none" w:sz="0" w:space="0" w:color="auto"/>
        <w:right w:val="none" w:sz="0" w:space="0" w:color="auto"/>
      </w:divBdr>
    </w:div>
    <w:div w:id="1807695244">
      <w:bodyDiv w:val="1"/>
      <w:marLeft w:val="0"/>
      <w:marRight w:val="0"/>
      <w:marTop w:val="0"/>
      <w:marBottom w:val="0"/>
      <w:divBdr>
        <w:top w:val="none" w:sz="0" w:space="0" w:color="auto"/>
        <w:left w:val="none" w:sz="0" w:space="0" w:color="auto"/>
        <w:bottom w:val="none" w:sz="0" w:space="0" w:color="auto"/>
        <w:right w:val="none" w:sz="0" w:space="0" w:color="auto"/>
      </w:divBdr>
    </w:div>
    <w:div w:id="1810049959">
      <w:bodyDiv w:val="1"/>
      <w:marLeft w:val="0"/>
      <w:marRight w:val="0"/>
      <w:marTop w:val="0"/>
      <w:marBottom w:val="0"/>
      <w:divBdr>
        <w:top w:val="none" w:sz="0" w:space="0" w:color="auto"/>
        <w:left w:val="none" w:sz="0" w:space="0" w:color="auto"/>
        <w:bottom w:val="none" w:sz="0" w:space="0" w:color="auto"/>
        <w:right w:val="none" w:sz="0" w:space="0" w:color="auto"/>
      </w:divBdr>
    </w:div>
    <w:div w:id="1811745476">
      <w:bodyDiv w:val="1"/>
      <w:marLeft w:val="0"/>
      <w:marRight w:val="0"/>
      <w:marTop w:val="0"/>
      <w:marBottom w:val="0"/>
      <w:divBdr>
        <w:top w:val="none" w:sz="0" w:space="0" w:color="auto"/>
        <w:left w:val="none" w:sz="0" w:space="0" w:color="auto"/>
        <w:bottom w:val="none" w:sz="0" w:space="0" w:color="auto"/>
        <w:right w:val="none" w:sz="0" w:space="0" w:color="auto"/>
      </w:divBdr>
      <w:divsChild>
        <w:div w:id="902987167">
          <w:marLeft w:val="0"/>
          <w:marRight w:val="0"/>
          <w:marTop w:val="0"/>
          <w:marBottom w:val="0"/>
          <w:divBdr>
            <w:top w:val="none" w:sz="0" w:space="0" w:color="auto"/>
            <w:left w:val="none" w:sz="0" w:space="0" w:color="auto"/>
            <w:bottom w:val="none" w:sz="0" w:space="0" w:color="auto"/>
            <w:right w:val="none" w:sz="0" w:space="0" w:color="auto"/>
          </w:divBdr>
        </w:div>
      </w:divsChild>
    </w:div>
    <w:div w:id="1811821997">
      <w:bodyDiv w:val="1"/>
      <w:marLeft w:val="0"/>
      <w:marRight w:val="0"/>
      <w:marTop w:val="0"/>
      <w:marBottom w:val="0"/>
      <w:divBdr>
        <w:top w:val="none" w:sz="0" w:space="0" w:color="auto"/>
        <w:left w:val="none" w:sz="0" w:space="0" w:color="auto"/>
        <w:bottom w:val="none" w:sz="0" w:space="0" w:color="auto"/>
        <w:right w:val="none" w:sz="0" w:space="0" w:color="auto"/>
      </w:divBdr>
    </w:div>
    <w:div w:id="1812088116">
      <w:bodyDiv w:val="1"/>
      <w:marLeft w:val="0"/>
      <w:marRight w:val="0"/>
      <w:marTop w:val="0"/>
      <w:marBottom w:val="0"/>
      <w:divBdr>
        <w:top w:val="none" w:sz="0" w:space="0" w:color="auto"/>
        <w:left w:val="none" w:sz="0" w:space="0" w:color="auto"/>
        <w:bottom w:val="none" w:sz="0" w:space="0" w:color="auto"/>
        <w:right w:val="none" w:sz="0" w:space="0" w:color="auto"/>
      </w:divBdr>
    </w:div>
    <w:div w:id="1812285609">
      <w:bodyDiv w:val="1"/>
      <w:marLeft w:val="0"/>
      <w:marRight w:val="0"/>
      <w:marTop w:val="0"/>
      <w:marBottom w:val="0"/>
      <w:divBdr>
        <w:top w:val="none" w:sz="0" w:space="0" w:color="auto"/>
        <w:left w:val="none" w:sz="0" w:space="0" w:color="auto"/>
        <w:bottom w:val="none" w:sz="0" w:space="0" w:color="auto"/>
        <w:right w:val="none" w:sz="0" w:space="0" w:color="auto"/>
      </w:divBdr>
    </w:div>
    <w:div w:id="1813132456">
      <w:bodyDiv w:val="1"/>
      <w:marLeft w:val="0"/>
      <w:marRight w:val="0"/>
      <w:marTop w:val="0"/>
      <w:marBottom w:val="0"/>
      <w:divBdr>
        <w:top w:val="none" w:sz="0" w:space="0" w:color="auto"/>
        <w:left w:val="none" w:sz="0" w:space="0" w:color="auto"/>
        <w:bottom w:val="none" w:sz="0" w:space="0" w:color="auto"/>
        <w:right w:val="none" w:sz="0" w:space="0" w:color="auto"/>
      </w:divBdr>
    </w:div>
    <w:div w:id="1813868491">
      <w:bodyDiv w:val="1"/>
      <w:marLeft w:val="0"/>
      <w:marRight w:val="0"/>
      <w:marTop w:val="0"/>
      <w:marBottom w:val="0"/>
      <w:divBdr>
        <w:top w:val="none" w:sz="0" w:space="0" w:color="auto"/>
        <w:left w:val="none" w:sz="0" w:space="0" w:color="auto"/>
        <w:bottom w:val="none" w:sz="0" w:space="0" w:color="auto"/>
        <w:right w:val="none" w:sz="0" w:space="0" w:color="auto"/>
      </w:divBdr>
    </w:div>
    <w:div w:id="1817990906">
      <w:bodyDiv w:val="1"/>
      <w:marLeft w:val="0"/>
      <w:marRight w:val="0"/>
      <w:marTop w:val="0"/>
      <w:marBottom w:val="0"/>
      <w:divBdr>
        <w:top w:val="none" w:sz="0" w:space="0" w:color="auto"/>
        <w:left w:val="none" w:sz="0" w:space="0" w:color="auto"/>
        <w:bottom w:val="none" w:sz="0" w:space="0" w:color="auto"/>
        <w:right w:val="none" w:sz="0" w:space="0" w:color="auto"/>
      </w:divBdr>
    </w:div>
    <w:div w:id="1821000030">
      <w:bodyDiv w:val="1"/>
      <w:marLeft w:val="0"/>
      <w:marRight w:val="0"/>
      <w:marTop w:val="0"/>
      <w:marBottom w:val="0"/>
      <w:divBdr>
        <w:top w:val="none" w:sz="0" w:space="0" w:color="auto"/>
        <w:left w:val="none" w:sz="0" w:space="0" w:color="auto"/>
        <w:bottom w:val="none" w:sz="0" w:space="0" w:color="auto"/>
        <w:right w:val="none" w:sz="0" w:space="0" w:color="auto"/>
      </w:divBdr>
    </w:div>
    <w:div w:id="1824812907">
      <w:bodyDiv w:val="1"/>
      <w:marLeft w:val="0"/>
      <w:marRight w:val="0"/>
      <w:marTop w:val="0"/>
      <w:marBottom w:val="0"/>
      <w:divBdr>
        <w:top w:val="none" w:sz="0" w:space="0" w:color="auto"/>
        <w:left w:val="none" w:sz="0" w:space="0" w:color="auto"/>
        <w:bottom w:val="none" w:sz="0" w:space="0" w:color="auto"/>
        <w:right w:val="none" w:sz="0" w:space="0" w:color="auto"/>
      </w:divBdr>
    </w:div>
    <w:div w:id="1826049155">
      <w:bodyDiv w:val="1"/>
      <w:marLeft w:val="0"/>
      <w:marRight w:val="0"/>
      <w:marTop w:val="0"/>
      <w:marBottom w:val="0"/>
      <w:divBdr>
        <w:top w:val="none" w:sz="0" w:space="0" w:color="auto"/>
        <w:left w:val="none" w:sz="0" w:space="0" w:color="auto"/>
        <w:bottom w:val="none" w:sz="0" w:space="0" w:color="auto"/>
        <w:right w:val="none" w:sz="0" w:space="0" w:color="auto"/>
      </w:divBdr>
    </w:div>
    <w:div w:id="1827278512">
      <w:bodyDiv w:val="1"/>
      <w:marLeft w:val="0"/>
      <w:marRight w:val="0"/>
      <w:marTop w:val="0"/>
      <w:marBottom w:val="0"/>
      <w:divBdr>
        <w:top w:val="none" w:sz="0" w:space="0" w:color="auto"/>
        <w:left w:val="none" w:sz="0" w:space="0" w:color="auto"/>
        <w:bottom w:val="none" w:sz="0" w:space="0" w:color="auto"/>
        <w:right w:val="none" w:sz="0" w:space="0" w:color="auto"/>
      </w:divBdr>
    </w:div>
    <w:div w:id="1827553149">
      <w:bodyDiv w:val="1"/>
      <w:marLeft w:val="0"/>
      <w:marRight w:val="0"/>
      <w:marTop w:val="0"/>
      <w:marBottom w:val="0"/>
      <w:divBdr>
        <w:top w:val="none" w:sz="0" w:space="0" w:color="auto"/>
        <w:left w:val="none" w:sz="0" w:space="0" w:color="auto"/>
        <w:bottom w:val="none" w:sz="0" w:space="0" w:color="auto"/>
        <w:right w:val="none" w:sz="0" w:space="0" w:color="auto"/>
      </w:divBdr>
    </w:div>
    <w:div w:id="1829134405">
      <w:bodyDiv w:val="1"/>
      <w:marLeft w:val="0"/>
      <w:marRight w:val="0"/>
      <w:marTop w:val="0"/>
      <w:marBottom w:val="0"/>
      <w:divBdr>
        <w:top w:val="none" w:sz="0" w:space="0" w:color="auto"/>
        <w:left w:val="none" w:sz="0" w:space="0" w:color="auto"/>
        <w:bottom w:val="none" w:sz="0" w:space="0" w:color="auto"/>
        <w:right w:val="none" w:sz="0" w:space="0" w:color="auto"/>
      </w:divBdr>
    </w:div>
    <w:div w:id="1829899230">
      <w:bodyDiv w:val="1"/>
      <w:marLeft w:val="0"/>
      <w:marRight w:val="0"/>
      <w:marTop w:val="0"/>
      <w:marBottom w:val="0"/>
      <w:divBdr>
        <w:top w:val="none" w:sz="0" w:space="0" w:color="auto"/>
        <w:left w:val="none" w:sz="0" w:space="0" w:color="auto"/>
        <w:bottom w:val="none" w:sz="0" w:space="0" w:color="auto"/>
        <w:right w:val="none" w:sz="0" w:space="0" w:color="auto"/>
      </w:divBdr>
    </w:div>
    <w:div w:id="1832719312">
      <w:bodyDiv w:val="1"/>
      <w:marLeft w:val="0"/>
      <w:marRight w:val="0"/>
      <w:marTop w:val="0"/>
      <w:marBottom w:val="0"/>
      <w:divBdr>
        <w:top w:val="none" w:sz="0" w:space="0" w:color="auto"/>
        <w:left w:val="none" w:sz="0" w:space="0" w:color="auto"/>
        <w:bottom w:val="none" w:sz="0" w:space="0" w:color="auto"/>
        <w:right w:val="none" w:sz="0" w:space="0" w:color="auto"/>
      </w:divBdr>
      <w:divsChild>
        <w:div w:id="211238345">
          <w:marLeft w:val="0"/>
          <w:marRight w:val="0"/>
          <w:marTop w:val="0"/>
          <w:marBottom w:val="0"/>
          <w:divBdr>
            <w:top w:val="none" w:sz="0" w:space="0" w:color="auto"/>
            <w:left w:val="none" w:sz="0" w:space="0" w:color="auto"/>
            <w:bottom w:val="none" w:sz="0" w:space="0" w:color="auto"/>
            <w:right w:val="none" w:sz="0" w:space="0" w:color="auto"/>
          </w:divBdr>
          <w:divsChild>
            <w:div w:id="894588374">
              <w:marLeft w:val="2735"/>
              <w:marRight w:val="175"/>
              <w:marTop w:val="0"/>
              <w:marBottom w:val="0"/>
              <w:divBdr>
                <w:top w:val="none" w:sz="0" w:space="0" w:color="auto"/>
                <w:left w:val="none" w:sz="0" w:space="0" w:color="auto"/>
                <w:bottom w:val="none" w:sz="0" w:space="0" w:color="auto"/>
                <w:right w:val="none" w:sz="0" w:space="0" w:color="auto"/>
              </w:divBdr>
              <w:divsChild>
                <w:div w:id="888225210">
                  <w:marLeft w:val="0"/>
                  <w:marRight w:val="0"/>
                  <w:marTop w:val="0"/>
                  <w:marBottom w:val="0"/>
                  <w:divBdr>
                    <w:top w:val="none" w:sz="0" w:space="0" w:color="auto"/>
                    <w:left w:val="none" w:sz="0" w:space="0" w:color="auto"/>
                    <w:bottom w:val="none" w:sz="0" w:space="0" w:color="auto"/>
                    <w:right w:val="none" w:sz="0" w:space="0" w:color="auto"/>
                  </w:divBdr>
                  <w:divsChild>
                    <w:div w:id="736057201">
                      <w:marLeft w:val="0"/>
                      <w:marRight w:val="0"/>
                      <w:marTop w:val="0"/>
                      <w:marBottom w:val="0"/>
                      <w:divBdr>
                        <w:top w:val="none" w:sz="0" w:space="0" w:color="auto"/>
                        <w:left w:val="none" w:sz="0" w:space="0" w:color="auto"/>
                        <w:bottom w:val="none" w:sz="0" w:space="0" w:color="auto"/>
                        <w:right w:val="none" w:sz="0" w:space="0" w:color="auto"/>
                      </w:divBdr>
                      <w:divsChild>
                        <w:div w:id="2209423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74595081">
          <w:marLeft w:val="0"/>
          <w:marRight w:val="0"/>
          <w:marTop w:val="0"/>
          <w:marBottom w:val="0"/>
          <w:divBdr>
            <w:top w:val="none" w:sz="0" w:space="0" w:color="auto"/>
            <w:left w:val="none" w:sz="0" w:space="0" w:color="auto"/>
            <w:bottom w:val="none" w:sz="0" w:space="0" w:color="auto"/>
            <w:right w:val="none" w:sz="0" w:space="0" w:color="auto"/>
          </w:divBdr>
          <w:divsChild>
            <w:div w:id="594020697">
              <w:marLeft w:val="0"/>
              <w:marRight w:val="0"/>
              <w:marTop w:val="0"/>
              <w:marBottom w:val="0"/>
              <w:divBdr>
                <w:top w:val="none" w:sz="0" w:space="0" w:color="auto"/>
                <w:left w:val="none" w:sz="0" w:space="0" w:color="auto"/>
                <w:bottom w:val="none" w:sz="0" w:space="0" w:color="auto"/>
                <w:right w:val="none" w:sz="0" w:space="0" w:color="auto"/>
              </w:divBdr>
              <w:divsChild>
                <w:div w:id="1416052544">
                  <w:marLeft w:val="2735"/>
                  <w:marRight w:val="175"/>
                  <w:marTop w:val="0"/>
                  <w:marBottom w:val="0"/>
                  <w:divBdr>
                    <w:top w:val="none" w:sz="0" w:space="0" w:color="auto"/>
                    <w:left w:val="none" w:sz="0" w:space="0" w:color="auto"/>
                    <w:bottom w:val="none" w:sz="0" w:space="0" w:color="auto"/>
                    <w:right w:val="none" w:sz="0" w:space="0" w:color="auto"/>
                  </w:divBdr>
                </w:div>
              </w:divsChild>
            </w:div>
          </w:divsChild>
        </w:div>
      </w:divsChild>
    </w:div>
    <w:div w:id="1841189932">
      <w:bodyDiv w:val="1"/>
      <w:marLeft w:val="0"/>
      <w:marRight w:val="0"/>
      <w:marTop w:val="0"/>
      <w:marBottom w:val="0"/>
      <w:divBdr>
        <w:top w:val="none" w:sz="0" w:space="0" w:color="auto"/>
        <w:left w:val="none" w:sz="0" w:space="0" w:color="auto"/>
        <w:bottom w:val="none" w:sz="0" w:space="0" w:color="auto"/>
        <w:right w:val="none" w:sz="0" w:space="0" w:color="auto"/>
      </w:divBdr>
    </w:div>
    <w:div w:id="1842892259">
      <w:bodyDiv w:val="1"/>
      <w:marLeft w:val="0"/>
      <w:marRight w:val="0"/>
      <w:marTop w:val="0"/>
      <w:marBottom w:val="0"/>
      <w:divBdr>
        <w:top w:val="none" w:sz="0" w:space="0" w:color="auto"/>
        <w:left w:val="none" w:sz="0" w:space="0" w:color="auto"/>
        <w:bottom w:val="none" w:sz="0" w:space="0" w:color="auto"/>
        <w:right w:val="none" w:sz="0" w:space="0" w:color="auto"/>
      </w:divBdr>
    </w:div>
    <w:div w:id="1845776792">
      <w:bodyDiv w:val="1"/>
      <w:marLeft w:val="0"/>
      <w:marRight w:val="0"/>
      <w:marTop w:val="0"/>
      <w:marBottom w:val="0"/>
      <w:divBdr>
        <w:top w:val="none" w:sz="0" w:space="0" w:color="auto"/>
        <w:left w:val="none" w:sz="0" w:space="0" w:color="auto"/>
        <w:bottom w:val="none" w:sz="0" w:space="0" w:color="auto"/>
        <w:right w:val="none" w:sz="0" w:space="0" w:color="auto"/>
      </w:divBdr>
    </w:div>
    <w:div w:id="1850945620">
      <w:bodyDiv w:val="1"/>
      <w:marLeft w:val="0"/>
      <w:marRight w:val="0"/>
      <w:marTop w:val="0"/>
      <w:marBottom w:val="0"/>
      <w:divBdr>
        <w:top w:val="none" w:sz="0" w:space="0" w:color="auto"/>
        <w:left w:val="none" w:sz="0" w:space="0" w:color="auto"/>
        <w:bottom w:val="none" w:sz="0" w:space="0" w:color="auto"/>
        <w:right w:val="none" w:sz="0" w:space="0" w:color="auto"/>
      </w:divBdr>
      <w:divsChild>
        <w:div w:id="1373459905">
          <w:marLeft w:val="0"/>
          <w:marRight w:val="0"/>
          <w:marTop w:val="0"/>
          <w:marBottom w:val="0"/>
          <w:divBdr>
            <w:top w:val="none" w:sz="0" w:space="0" w:color="auto"/>
            <w:left w:val="none" w:sz="0" w:space="0" w:color="auto"/>
            <w:bottom w:val="none" w:sz="0" w:space="0" w:color="auto"/>
            <w:right w:val="none" w:sz="0" w:space="0" w:color="auto"/>
          </w:divBdr>
        </w:div>
      </w:divsChild>
    </w:div>
    <w:div w:id="1853452967">
      <w:bodyDiv w:val="1"/>
      <w:marLeft w:val="0"/>
      <w:marRight w:val="0"/>
      <w:marTop w:val="0"/>
      <w:marBottom w:val="0"/>
      <w:divBdr>
        <w:top w:val="none" w:sz="0" w:space="0" w:color="auto"/>
        <w:left w:val="none" w:sz="0" w:space="0" w:color="auto"/>
        <w:bottom w:val="none" w:sz="0" w:space="0" w:color="auto"/>
        <w:right w:val="none" w:sz="0" w:space="0" w:color="auto"/>
      </w:divBdr>
    </w:div>
    <w:div w:id="1855151823">
      <w:bodyDiv w:val="1"/>
      <w:marLeft w:val="0"/>
      <w:marRight w:val="0"/>
      <w:marTop w:val="0"/>
      <w:marBottom w:val="0"/>
      <w:divBdr>
        <w:top w:val="none" w:sz="0" w:space="0" w:color="auto"/>
        <w:left w:val="none" w:sz="0" w:space="0" w:color="auto"/>
        <w:bottom w:val="none" w:sz="0" w:space="0" w:color="auto"/>
        <w:right w:val="none" w:sz="0" w:space="0" w:color="auto"/>
      </w:divBdr>
    </w:div>
    <w:div w:id="1859156222">
      <w:bodyDiv w:val="1"/>
      <w:marLeft w:val="0"/>
      <w:marRight w:val="0"/>
      <w:marTop w:val="0"/>
      <w:marBottom w:val="0"/>
      <w:divBdr>
        <w:top w:val="none" w:sz="0" w:space="0" w:color="auto"/>
        <w:left w:val="none" w:sz="0" w:space="0" w:color="auto"/>
        <w:bottom w:val="none" w:sz="0" w:space="0" w:color="auto"/>
        <w:right w:val="none" w:sz="0" w:space="0" w:color="auto"/>
      </w:divBdr>
    </w:div>
    <w:div w:id="1860315679">
      <w:bodyDiv w:val="1"/>
      <w:marLeft w:val="0"/>
      <w:marRight w:val="0"/>
      <w:marTop w:val="0"/>
      <w:marBottom w:val="0"/>
      <w:divBdr>
        <w:top w:val="none" w:sz="0" w:space="0" w:color="auto"/>
        <w:left w:val="none" w:sz="0" w:space="0" w:color="auto"/>
        <w:bottom w:val="none" w:sz="0" w:space="0" w:color="auto"/>
        <w:right w:val="none" w:sz="0" w:space="0" w:color="auto"/>
      </w:divBdr>
    </w:div>
    <w:div w:id="1867474517">
      <w:bodyDiv w:val="1"/>
      <w:marLeft w:val="0"/>
      <w:marRight w:val="0"/>
      <w:marTop w:val="0"/>
      <w:marBottom w:val="0"/>
      <w:divBdr>
        <w:top w:val="none" w:sz="0" w:space="0" w:color="auto"/>
        <w:left w:val="none" w:sz="0" w:space="0" w:color="auto"/>
        <w:bottom w:val="none" w:sz="0" w:space="0" w:color="auto"/>
        <w:right w:val="none" w:sz="0" w:space="0" w:color="auto"/>
      </w:divBdr>
    </w:div>
    <w:div w:id="1867718969">
      <w:bodyDiv w:val="1"/>
      <w:marLeft w:val="0"/>
      <w:marRight w:val="0"/>
      <w:marTop w:val="0"/>
      <w:marBottom w:val="0"/>
      <w:divBdr>
        <w:top w:val="none" w:sz="0" w:space="0" w:color="auto"/>
        <w:left w:val="none" w:sz="0" w:space="0" w:color="auto"/>
        <w:bottom w:val="none" w:sz="0" w:space="0" w:color="auto"/>
        <w:right w:val="none" w:sz="0" w:space="0" w:color="auto"/>
      </w:divBdr>
    </w:div>
    <w:div w:id="1867861366">
      <w:bodyDiv w:val="1"/>
      <w:marLeft w:val="0"/>
      <w:marRight w:val="0"/>
      <w:marTop w:val="0"/>
      <w:marBottom w:val="0"/>
      <w:divBdr>
        <w:top w:val="none" w:sz="0" w:space="0" w:color="auto"/>
        <w:left w:val="none" w:sz="0" w:space="0" w:color="auto"/>
        <w:bottom w:val="none" w:sz="0" w:space="0" w:color="auto"/>
        <w:right w:val="none" w:sz="0" w:space="0" w:color="auto"/>
      </w:divBdr>
      <w:divsChild>
        <w:div w:id="1042947063">
          <w:marLeft w:val="0"/>
          <w:marRight w:val="0"/>
          <w:marTop w:val="0"/>
          <w:marBottom w:val="0"/>
          <w:divBdr>
            <w:top w:val="none" w:sz="0" w:space="0" w:color="auto"/>
            <w:left w:val="none" w:sz="0" w:space="0" w:color="auto"/>
            <w:bottom w:val="none" w:sz="0" w:space="0" w:color="auto"/>
            <w:right w:val="none" w:sz="0" w:space="0" w:color="auto"/>
          </w:divBdr>
        </w:div>
      </w:divsChild>
    </w:div>
    <w:div w:id="1868254460">
      <w:bodyDiv w:val="1"/>
      <w:marLeft w:val="0"/>
      <w:marRight w:val="0"/>
      <w:marTop w:val="0"/>
      <w:marBottom w:val="0"/>
      <w:divBdr>
        <w:top w:val="none" w:sz="0" w:space="0" w:color="auto"/>
        <w:left w:val="none" w:sz="0" w:space="0" w:color="auto"/>
        <w:bottom w:val="none" w:sz="0" w:space="0" w:color="auto"/>
        <w:right w:val="none" w:sz="0" w:space="0" w:color="auto"/>
      </w:divBdr>
    </w:div>
    <w:div w:id="1873876808">
      <w:bodyDiv w:val="1"/>
      <w:marLeft w:val="0"/>
      <w:marRight w:val="0"/>
      <w:marTop w:val="0"/>
      <w:marBottom w:val="0"/>
      <w:divBdr>
        <w:top w:val="none" w:sz="0" w:space="0" w:color="auto"/>
        <w:left w:val="none" w:sz="0" w:space="0" w:color="auto"/>
        <w:bottom w:val="none" w:sz="0" w:space="0" w:color="auto"/>
        <w:right w:val="none" w:sz="0" w:space="0" w:color="auto"/>
      </w:divBdr>
      <w:divsChild>
        <w:div w:id="1893729820">
          <w:marLeft w:val="0"/>
          <w:marRight w:val="0"/>
          <w:marTop w:val="0"/>
          <w:marBottom w:val="0"/>
          <w:divBdr>
            <w:top w:val="none" w:sz="0" w:space="0" w:color="auto"/>
            <w:left w:val="none" w:sz="0" w:space="0" w:color="auto"/>
            <w:bottom w:val="none" w:sz="0" w:space="0" w:color="auto"/>
            <w:right w:val="none" w:sz="0" w:space="0" w:color="auto"/>
          </w:divBdr>
        </w:div>
      </w:divsChild>
    </w:div>
    <w:div w:id="1875270340">
      <w:bodyDiv w:val="1"/>
      <w:marLeft w:val="0"/>
      <w:marRight w:val="0"/>
      <w:marTop w:val="0"/>
      <w:marBottom w:val="0"/>
      <w:divBdr>
        <w:top w:val="none" w:sz="0" w:space="0" w:color="auto"/>
        <w:left w:val="none" w:sz="0" w:space="0" w:color="auto"/>
        <w:bottom w:val="none" w:sz="0" w:space="0" w:color="auto"/>
        <w:right w:val="none" w:sz="0" w:space="0" w:color="auto"/>
      </w:divBdr>
    </w:div>
    <w:div w:id="1876654798">
      <w:bodyDiv w:val="1"/>
      <w:marLeft w:val="0"/>
      <w:marRight w:val="0"/>
      <w:marTop w:val="0"/>
      <w:marBottom w:val="0"/>
      <w:divBdr>
        <w:top w:val="none" w:sz="0" w:space="0" w:color="auto"/>
        <w:left w:val="none" w:sz="0" w:space="0" w:color="auto"/>
        <w:bottom w:val="none" w:sz="0" w:space="0" w:color="auto"/>
        <w:right w:val="none" w:sz="0" w:space="0" w:color="auto"/>
      </w:divBdr>
    </w:div>
    <w:div w:id="1876886625">
      <w:bodyDiv w:val="1"/>
      <w:marLeft w:val="0"/>
      <w:marRight w:val="0"/>
      <w:marTop w:val="0"/>
      <w:marBottom w:val="0"/>
      <w:divBdr>
        <w:top w:val="none" w:sz="0" w:space="0" w:color="auto"/>
        <w:left w:val="none" w:sz="0" w:space="0" w:color="auto"/>
        <w:bottom w:val="none" w:sz="0" w:space="0" w:color="auto"/>
        <w:right w:val="none" w:sz="0" w:space="0" w:color="auto"/>
      </w:divBdr>
    </w:div>
    <w:div w:id="1878077708">
      <w:bodyDiv w:val="1"/>
      <w:marLeft w:val="0"/>
      <w:marRight w:val="0"/>
      <w:marTop w:val="0"/>
      <w:marBottom w:val="0"/>
      <w:divBdr>
        <w:top w:val="none" w:sz="0" w:space="0" w:color="auto"/>
        <w:left w:val="none" w:sz="0" w:space="0" w:color="auto"/>
        <w:bottom w:val="none" w:sz="0" w:space="0" w:color="auto"/>
        <w:right w:val="none" w:sz="0" w:space="0" w:color="auto"/>
      </w:divBdr>
    </w:div>
    <w:div w:id="1881549435">
      <w:bodyDiv w:val="1"/>
      <w:marLeft w:val="0"/>
      <w:marRight w:val="0"/>
      <w:marTop w:val="0"/>
      <w:marBottom w:val="0"/>
      <w:divBdr>
        <w:top w:val="none" w:sz="0" w:space="0" w:color="auto"/>
        <w:left w:val="none" w:sz="0" w:space="0" w:color="auto"/>
        <w:bottom w:val="none" w:sz="0" w:space="0" w:color="auto"/>
        <w:right w:val="none" w:sz="0" w:space="0" w:color="auto"/>
      </w:divBdr>
    </w:div>
    <w:div w:id="1883906784">
      <w:bodyDiv w:val="1"/>
      <w:marLeft w:val="0"/>
      <w:marRight w:val="0"/>
      <w:marTop w:val="0"/>
      <w:marBottom w:val="0"/>
      <w:divBdr>
        <w:top w:val="none" w:sz="0" w:space="0" w:color="auto"/>
        <w:left w:val="none" w:sz="0" w:space="0" w:color="auto"/>
        <w:bottom w:val="none" w:sz="0" w:space="0" w:color="auto"/>
        <w:right w:val="none" w:sz="0" w:space="0" w:color="auto"/>
      </w:divBdr>
    </w:div>
    <w:div w:id="1884125277">
      <w:bodyDiv w:val="1"/>
      <w:marLeft w:val="0"/>
      <w:marRight w:val="0"/>
      <w:marTop w:val="0"/>
      <w:marBottom w:val="0"/>
      <w:divBdr>
        <w:top w:val="none" w:sz="0" w:space="0" w:color="auto"/>
        <w:left w:val="none" w:sz="0" w:space="0" w:color="auto"/>
        <w:bottom w:val="none" w:sz="0" w:space="0" w:color="auto"/>
        <w:right w:val="none" w:sz="0" w:space="0" w:color="auto"/>
      </w:divBdr>
    </w:div>
    <w:div w:id="1891305645">
      <w:bodyDiv w:val="1"/>
      <w:marLeft w:val="0"/>
      <w:marRight w:val="0"/>
      <w:marTop w:val="0"/>
      <w:marBottom w:val="0"/>
      <w:divBdr>
        <w:top w:val="none" w:sz="0" w:space="0" w:color="auto"/>
        <w:left w:val="none" w:sz="0" w:space="0" w:color="auto"/>
        <w:bottom w:val="none" w:sz="0" w:space="0" w:color="auto"/>
        <w:right w:val="none" w:sz="0" w:space="0" w:color="auto"/>
      </w:divBdr>
    </w:div>
    <w:div w:id="1896043595">
      <w:bodyDiv w:val="1"/>
      <w:marLeft w:val="0"/>
      <w:marRight w:val="0"/>
      <w:marTop w:val="0"/>
      <w:marBottom w:val="0"/>
      <w:divBdr>
        <w:top w:val="none" w:sz="0" w:space="0" w:color="auto"/>
        <w:left w:val="none" w:sz="0" w:space="0" w:color="auto"/>
        <w:bottom w:val="none" w:sz="0" w:space="0" w:color="auto"/>
        <w:right w:val="none" w:sz="0" w:space="0" w:color="auto"/>
      </w:divBdr>
    </w:div>
    <w:div w:id="1898978866">
      <w:bodyDiv w:val="1"/>
      <w:marLeft w:val="0"/>
      <w:marRight w:val="0"/>
      <w:marTop w:val="0"/>
      <w:marBottom w:val="0"/>
      <w:divBdr>
        <w:top w:val="none" w:sz="0" w:space="0" w:color="auto"/>
        <w:left w:val="none" w:sz="0" w:space="0" w:color="auto"/>
        <w:bottom w:val="none" w:sz="0" w:space="0" w:color="auto"/>
        <w:right w:val="none" w:sz="0" w:space="0" w:color="auto"/>
      </w:divBdr>
    </w:div>
    <w:div w:id="1907841873">
      <w:bodyDiv w:val="1"/>
      <w:marLeft w:val="0"/>
      <w:marRight w:val="0"/>
      <w:marTop w:val="0"/>
      <w:marBottom w:val="0"/>
      <w:divBdr>
        <w:top w:val="none" w:sz="0" w:space="0" w:color="auto"/>
        <w:left w:val="none" w:sz="0" w:space="0" w:color="auto"/>
        <w:bottom w:val="none" w:sz="0" w:space="0" w:color="auto"/>
        <w:right w:val="none" w:sz="0" w:space="0" w:color="auto"/>
      </w:divBdr>
    </w:div>
    <w:div w:id="1908876190">
      <w:bodyDiv w:val="1"/>
      <w:marLeft w:val="0"/>
      <w:marRight w:val="0"/>
      <w:marTop w:val="0"/>
      <w:marBottom w:val="0"/>
      <w:divBdr>
        <w:top w:val="none" w:sz="0" w:space="0" w:color="auto"/>
        <w:left w:val="none" w:sz="0" w:space="0" w:color="auto"/>
        <w:bottom w:val="none" w:sz="0" w:space="0" w:color="auto"/>
        <w:right w:val="none" w:sz="0" w:space="0" w:color="auto"/>
      </w:divBdr>
    </w:div>
    <w:div w:id="1913347506">
      <w:bodyDiv w:val="1"/>
      <w:marLeft w:val="0"/>
      <w:marRight w:val="0"/>
      <w:marTop w:val="0"/>
      <w:marBottom w:val="0"/>
      <w:divBdr>
        <w:top w:val="none" w:sz="0" w:space="0" w:color="auto"/>
        <w:left w:val="none" w:sz="0" w:space="0" w:color="auto"/>
        <w:bottom w:val="none" w:sz="0" w:space="0" w:color="auto"/>
        <w:right w:val="none" w:sz="0" w:space="0" w:color="auto"/>
      </w:divBdr>
    </w:div>
    <w:div w:id="1913851728">
      <w:bodyDiv w:val="1"/>
      <w:marLeft w:val="0"/>
      <w:marRight w:val="0"/>
      <w:marTop w:val="0"/>
      <w:marBottom w:val="0"/>
      <w:divBdr>
        <w:top w:val="none" w:sz="0" w:space="0" w:color="auto"/>
        <w:left w:val="none" w:sz="0" w:space="0" w:color="auto"/>
        <w:bottom w:val="none" w:sz="0" w:space="0" w:color="auto"/>
        <w:right w:val="none" w:sz="0" w:space="0" w:color="auto"/>
      </w:divBdr>
    </w:div>
    <w:div w:id="1914047041">
      <w:bodyDiv w:val="1"/>
      <w:marLeft w:val="0"/>
      <w:marRight w:val="0"/>
      <w:marTop w:val="0"/>
      <w:marBottom w:val="0"/>
      <w:divBdr>
        <w:top w:val="none" w:sz="0" w:space="0" w:color="auto"/>
        <w:left w:val="none" w:sz="0" w:space="0" w:color="auto"/>
        <w:bottom w:val="none" w:sz="0" w:space="0" w:color="auto"/>
        <w:right w:val="none" w:sz="0" w:space="0" w:color="auto"/>
      </w:divBdr>
    </w:div>
    <w:div w:id="1914701285">
      <w:bodyDiv w:val="1"/>
      <w:marLeft w:val="0"/>
      <w:marRight w:val="0"/>
      <w:marTop w:val="0"/>
      <w:marBottom w:val="0"/>
      <w:divBdr>
        <w:top w:val="none" w:sz="0" w:space="0" w:color="auto"/>
        <w:left w:val="none" w:sz="0" w:space="0" w:color="auto"/>
        <w:bottom w:val="none" w:sz="0" w:space="0" w:color="auto"/>
        <w:right w:val="none" w:sz="0" w:space="0" w:color="auto"/>
      </w:divBdr>
    </w:div>
    <w:div w:id="1915889737">
      <w:bodyDiv w:val="1"/>
      <w:marLeft w:val="0"/>
      <w:marRight w:val="0"/>
      <w:marTop w:val="0"/>
      <w:marBottom w:val="0"/>
      <w:divBdr>
        <w:top w:val="none" w:sz="0" w:space="0" w:color="auto"/>
        <w:left w:val="none" w:sz="0" w:space="0" w:color="auto"/>
        <w:bottom w:val="none" w:sz="0" w:space="0" w:color="auto"/>
        <w:right w:val="none" w:sz="0" w:space="0" w:color="auto"/>
      </w:divBdr>
    </w:div>
    <w:div w:id="1917470982">
      <w:bodyDiv w:val="1"/>
      <w:marLeft w:val="0"/>
      <w:marRight w:val="0"/>
      <w:marTop w:val="0"/>
      <w:marBottom w:val="0"/>
      <w:divBdr>
        <w:top w:val="none" w:sz="0" w:space="0" w:color="auto"/>
        <w:left w:val="none" w:sz="0" w:space="0" w:color="auto"/>
        <w:bottom w:val="none" w:sz="0" w:space="0" w:color="auto"/>
        <w:right w:val="none" w:sz="0" w:space="0" w:color="auto"/>
      </w:divBdr>
    </w:div>
    <w:div w:id="1918056260">
      <w:bodyDiv w:val="1"/>
      <w:marLeft w:val="0"/>
      <w:marRight w:val="0"/>
      <w:marTop w:val="0"/>
      <w:marBottom w:val="0"/>
      <w:divBdr>
        <w:top w:val="none" w:sz="0" w:space="0" w:color="auto"/>
        <w:left w:val="none" w:sz="0" w:space="0" w:color="auto"/>
        <w:bottom w:val="none" w:sz="0" w:space="0" w:color="auto"/>
        <w:right w:val="none" w:sz="0" w:space="0" w:color="auto"/>
      </w:divBdr>
      <w:divsChild>
        <w:div w:id="1953247405">
          <w:marLeft w:val="0"/>
          <w:marRight w:val="0"/>
          <w:marTop w:val="0"/>
          <w:marBottom w:val="0"/>
          <w:divBdr>
            <w:top w:val="none" w:sz="0" w:space="0" w:color="auto"/>
            <w:left w:val="none" w:sz="0" w:space="0" w:color="auto"/>
            <w:bottom w:val="none" w:sz="0" w:space="0" w:color="auto"/>
            <w:right w:val="none" w:sz="0" w:space="0" w:color="auto"/>
          </w:divBdr>
        </w:div>
      </w:divsChild>
    </w:div>
    <w:div w:id="1920942659">
      <w:bodyDiv w:val="1"/>
      <w:marLeft w:val="0"/>
      <w:marRight w:val="0"/>
      <w:marTop w:val="0"/>
      <w:marBottom w:val="0"/>
      <w:divBdr>
        <w:top w:val="none" w:sz="0" w:space="0" w:color="auto"/>
        <w:left w:val="none" w:sz="0" w:space="0" w:color="auto"/>
        <w:bottom w:val="none" w:sz="0" w:space="0" w:color="auto"/>
        <w:right w:val="none" w:sz="0" w:space="0" w:color="auto"/>
      </w:divBdr>
    </w:div>
    <w:div w:id="1924336751">
      <w:bodyDiv w:val="1"/>
      <w:marLeft w:val="0"/>
      <w:marRight w:val="0"/>
      <w:marTop w:val="0"/>
      <w:marBottom w:val="0"/>
      <w:divBdr>
        <w:top w:val="none" w:sz="0" w:space="0" w:color="auto"/>
        <w:left w:val="none" w:sz="0" w:space="0" w:color="auto"/>
        <w:bottom w:val="none" w:sz="0" w:space="0" w:color="auto"/>
        <w:right w:val="none" w:sz="0" w:space="0" w:color="auto"/>
      </w:divBdr>
    </w:div>
    <w:div w:id="1924952915">
      <w:bodyDiv w:val="1"/>
      <w:marLeft w:val="0"/>
      <w:marRight w:val="0"/>
      <w:marTop w:val="0"/>
      <w:marBottom w:val="0"/>
      <w:divBdr>
        <w:top w:val="none" w:sz="0" w:space="0" w:color="auto"/>
        <w:left w:val="none" w:sz="0" w:space="0" w:color="auto"/>
        <w:bottom w:val="none" w:sz="0" w:space="0" w:color="auto"/>
        <w:right w:val="none" w:sz="0" w:space="0" w:color="auto"/>
      </w:divBdr>
    </w:div>
    <w:div w:id="1924989298">
      <w:bodyDiv w:val="1"/>
      <w:marLeft w:val="0"/>
      <w:marRight w:val="0"/>
      <w:marTop w:val="0"/>
      <w:marBottom w:val="0"/>
      <w:divBdr>
        <w:top w:val="none" w:sz="0" w:space="0" w:color="auto"/>
        <w:left w:val="none" w:sz="0" w:space="0" w:color="auto"/>
        <w:bottom w:val="none" w:sz="0" w:space="0" w:color="auto"/>
        <w:right w:val="none" w:sz="0" w:space="0" w:color="auto"/>
      </w:divBdr>
    </w:div>
    <w:div w:id="1932277884">
      <w:bodyDiv w:val="1"/>
      <w:marLeft w:val="0"/>
      <w:marRight w:val="0"/>
      <w:marTop w:val="0"/>
      <w:marBottom w:val="0"/>
      <w:divBdr>
        <w:top w:val="none" w:sz="0" w:space="0" w:color="auto"/>
        <w:left w:val="none" w:sz="0" w:space="0" w:color="auto"/>
        <w:bottom w:val="none" w:sz="0" w:space="0" w:color="auto"/>
        <w:right w:val="none" w:sz="0" w:space="0" w:color="auto"/>
      </w:divBdr>
      <w:divsChild>
        <w:div w:id="1386489688">
          <w:marLeft w:val="0"/>
          <w:marRight w:val="0"/>
          <w:marTop w:val="0"/>
          <w:marBottom w:val="0"/>
          <w:divBdr>
            <w:top w:val="none" w:sz="0" w:space="0" w:color="auto"/>
            <w:left w:val="none" w:sz="0" w:space="0" w:color="auto"/>
            <w:bottom w:val="none" w:sz="0" w:space="0" w:color="auto"/>
            <w:right w:val="none" w:sz="0" w:space="0" w:color="auto"/>
          </w:divBdr>
        </w:div>
        <w:div w:id="1662002295">
          <w:marLeft w:val="0"/>
          <w:marRight w:val="0"/>
          <w:marTop w:val="0"/>
          <w:marBottom w:val="0"/>
          <w:divBdr>
            <w:top w:val="none" w:sz="0" w:space="0" w:color="auto"/>
            <w:left w:val="none" w:sz="0" w:space="0" w:color="auto"/>
            <w:bottom w:val="none" w:sz="0" w:space="0" w:color="auto"/>
            <w:right w:val="none" w:sz="0" w:space="0" w:color="auto"/>
          </w:divBdr>
        </w:div>
        <w:div w:id="2130120074">
          <w:marLeft w:val="0"/>
          <w:marRight w:val="0"/>
          <w:marTop w:val="0"/>
          <w:marBottom w:val="0"/>
          <w:divBdr>
            <w:top w:val="none" w:sz="0" w:space="0" w:color="auto"/>
            <w:left w:val="none" w:sz="0" w:space="0" w:color="auto"/>
            <w:bottom w:val="none" w:sz="0" w:space="0" w:color="auto"/>
            <w:right w:val="none" w:sz="0" w:space="0" w:color="auto"/>
          </w:divBdr>
        </w:div>
      </w:divsChild>
    </w:div>
    <w:div w:id="1932813713">
      <w:bodyDiv w:val="1"/>
      <w:marLeft w:val="0"/>
      <w:marRight w:val="0"/>
      <w:marTop w:val="0"/>
      <w:marBottom w:val="0"/>
      <w:divBdr>
        <w:top w:val="none" w:sz="0" w:space="0" w:color="auto"/>
        <w:left w:val="none" w:sz="0" w:space="0" w:color="auto"/>
        <w:bottom w:val="none" w:sz="0" w:space="0" w:color="auto"/>
        <w:right w:val="none" w:sz="0" w:space="0" w:color="auto"/>
      </w:divBdr>
    </w:div>
    <w:div w:id="1934780049">
      <w:bodyDiv w:val="1"/>
      <w:marLeft w:val="0"/>
      <w:marRight w:val="0"/>
      <w:marTop w:val="0"/>
      <w:marBottom w:val="0"/>
      <w:divBdr>
        <w:top w:val="none" w:sz="0" w:space="0" w:color="auto"/>
        <w:left w:val="none" w:sz="0" w:space="0" w:color="auto"/>
        <w:bottom w:val="none" w:sz="0" w:space="0" w:color="auto"/>
        <w:right w:val="none" w:sz="0" w:space="0" w:color="auto"/>
      </w:divBdr>
    </w:div>
    <w:div w:id="1938172950">
      <w:bodyDiv w:val="1"/>
      <w:marLeft w:val="0"/>
      <w:marRight w:val="0"/>
      <w:marTop w:val="0"/>
      <w:marBottom w:val="0"/>
      <w:divBdr>
        <w:top w:val="none" w:sz="0" w:space="0" w:color="auto"/>
        <w:left w:val="none" w:sz="0" w:space="0" w:color="auto"/>
        <w:bottom w:val="none" w:sz="0" w:space="0" w:color="auto"/>
        <w:right w:val="none" w:sz="0" w:space="0" w:color="auto"/>
      </w:divBdr>
    </w:div>
    <w:div w:id="1944456652">
      <w:bodyDiv w:val="1"/>
      <w:marLeft w:val="0"/>
      <w:marRight w:val="0"/>
      <w:marTop w:val="0"/>
      <w:marBottom w:val="0"/>
      <w:divBdr>
        <w:top w:val="none" w:sz="0" w:space="0" w:color="auto"/>
        <w:left w:val="none" w:sz="0" w:space="0" w:color="auto"/>
        <w:bottom w:val="none" w:sz="0" w:space="0" w:color="auto"/>
        <w:right w:val="none" w:sz="0" w:space="0" w:color="auto"/>
      </w:divBdr>
    </w:div>
    <w:div w:id="1953129774">
      <w:bodyDiv w:val="1"/>
      <w:marLeft w:val="0"/>
      <w:marRight w:val="0"/>
      <w:marTop w:val="0"/>
      <w:marBottom w:val="0"/>
      <w:divBdr>
        <w:top w:val="none" w:sz="0" w:space="0" w:color="auto"/>
        <w:left w:val="none" w:sz="0" w:space="0" w:color="auto"/>
        <w:bottom w:val="none" w:sz="0" w:space="0" w:color="auto"/>
        <w:right w:val="none" w:sz="0" w:space="0" w:color="auto"/>
      </w:divBdr>
    </w:div>
    <w:div w:id="1956213219">
      <w:bodyDiv w:val="1"/>
      <w:marLeft w:val="0"/>
      <w:marRight w:val="0"/>
      <w:marTop w:val="0"/>
      <w:marBottom w:val="0"/>
      <w:divBdr>
        <w:top w:val="none" w:sz="0" w:space="0" w:color="auto"/>
        <w:left w:val="none" w:sz="0" w:space="0" w:color="auto"/>
        <w:bottom w:val="none" w:sz="0" w:space="0" w:color="auto"/>
        <w:right w:val="none" w:sz="0" w:space="0" w:color="auto"/>
      </w:divBdr>
    </w:div>
    <w:div w:id="1956325752">
      <w:bodyDiv w:val="1"/>
      <w:marLeft w:val="0"/>
      <w:marRight w:val="0"/>
      <w:marTop w:val="0"/>
      <w:marBottom w:val="0"/>
      <w:divBdr>
        <w:top w:val="none" w:sz="0" w:space="0" w:color="auto"/>
        <w:left w:val="none" w:sz="0" w:space="0" w:color="auto"/>
        <w:bottom w:val="none" w:sz="0" w:space="0" w:color="auto"/>
        <w:right w:val="none" w:sz="0" w:space="0" w:color="auto"/>
      </w:divBdr>
    </w:div>
    <w:div w:id="1960716978">
      <w:bodyDiv w:val="1"/>
      <w:marLeft w:val="0"/>
      <w:marRight w:val="0"/>
      <w:marTop w:val="0"/>
      <w:marBottom w:val="0"/>
      <w:divBdr>
        <w:top w:val="none" w:sz="0" w:space="0" w:color="auto"/>
        <w:left w:val="none" w:sz="0" w:space="0" w:color="auto"/>
        <w:bottom w:val="none" w:sz="0" w:space="0" w:color="auto"/>
        <w:right w:val="none" w:sz="0" w:space="0" w:color="auto"/>
      </w:divBdr>
    </w:div>
    <w:div w:id="1961759596">
      <w:bodyDiv w:val="1"/>
      <w:marLeft w:val="0"/>
      <w:marRight w:val="0"/>
      <w:marTop w:val="0"/>
      <w:marBottom w:val="0"/>
      <w:divBdr>
        <w:top w:val="none" w:sz="0" w:space="0" w:color="auto"/>
        <w:left w:val="none" w:sz="0" w:space="0" w:color="auto"/>
        <w:bottom w:val="none" w:sz="0" w:space="0" w:color="auto"/>
        <w:right w:val="none" w:sz="0" w:space="0" w:color="auto"/>
      </w:divBdr>
    </w:div>
    <w:div w:id="1964924872">
      <w:bodyDiv w:val="1"/>
      <w:marLeft w:val="0"/>
      <w:marRight w:val="0"/>
      <w:marTop w:val="0"/>
      <w:marBottom w:val="0"/>
      <w:divBdr>
        <w:top w:val="none" w:sz="0" w:space="0" w:color="auto"/>
        <w:left w:val="none" w:sz="0" w:space="0" w:color="auto"/>
        <w:bottom w:val="none" w:sz="0" w:space="0" w:color="auto"/>
        <w:right w:val="none" w:sz="0" w:space="0" w:color="auto"/>
      </w:divBdr>
    </w:div>
    <w:div w:id="1976570073">
      <w:bodyDiv w:val="1"/>
      <w:marLeft w:val="0"/>
      <w:marRight w:val="0"/>
      <w:marTop w:val="0"/>
      <w:marBottom w:val="0"/>
      <w:divBdr>
        <w:top w:val="none" w:sz="0" w:space="0" w:color="auto"/>
        <w:left w:val="none" w:sz="0" w:space="0" w:color="auto"/>
        <w:bottom w:val="none" w:sz="0" w:space="0" w:color="auto"/>
        <w:right w:val="none" w:sz="0" w:space="0" w:color="auto"/>
      </w:divBdr>
    </w:div>
    <w:div w:id="1978803959">
      <w:bodyDiv w:val="1"/>
      <w:marLeft w:val="0"/>
      <w:marRight w:val="0"/>
      <w:marTop w:val="0"/>
      <w:marBottom w:val="0"/>
      <w:divBdr>
        <w:top w:val="none" w:sz="0" w:space="0" w:color="auto"/>
        <w:left w:val="none" w:sz="0" w:space="0" w:color="auto"/>
        <w:bottom w:val="none" w:sz="0" w:space="0" w:color="auto"/>
        <w:right w:val="none" w:sz="0" w:space="0" w:color="auto"/>
      </w:divBdr>
      <w:divsChild>
        <w:div w:id="897205156">
          <w:marLeft w:val="0"/>
          <w:marRight w:val="0"/>
          <w:marTop w:val="0"/>
          <w:marBottom w:val="0"/>
          <w:divBdr>
            <w:top w:val="none" w:sz="0" w:space="0" w:color="auto"/>
            <w:left w:val="none" w:sz="0" w:space="0" w:color="auto"/>
            <w:bottom w:val="none" w:sz="0" w:space="0" w:color="auto"/>
            <w:right w:val="none" w:sz="0" w:space="0" w:color="auto"/>
          </w:divBdr>
        </w:div>
        <w:div w:id="2008437609">
          <w:marLeft w:val="0"/>
          <w:marRight w:val="0"/>
          <w:marTop w:val="0"/>
          <w:marBottom w:val="0"/>
          <w:divBdr>
            <w:top w:val="none" w:sz="0" w:space="0" w:color="auto"/>
            <w:left w:val="none" w:sz="0" w:space="0" w:color="auto"/>
            <w:bottom w:val="none" w:sz="0" w:space="0" w:color="auto"/>
            <w:right w:val="none" w:sz="0" w:space="0" w:color="auto"/>
          </w:divBdr>
        </w:div>
        <w:div w:id="2131581186">
          <w:marLeft w:val="0"/>
          <w:marRight w:val="0"/>
          <w:marTop w:val="0"/>
          <w:marBottom w:val="0"/>
          <w:divBdr>
            <w:top w:val="none" w:sz="0" w:space="0" w:color="auto"/>
            <w:left w:val="none" w:sz="0" w:space="0" w:color="auto"/>
            <w:bottom w:val="none" w:sz="0" w:space="0" w:color="auto"/>
            <w:right w:val="none" w:sz="0" w:space="0" w:color="auto"/>
          </w:divBdr>
        </w:div>
      </w:divsChild>
    </w:div>
    <w:div w:id="1982418788">
      <w:bodyDiv w:val="1"/>
      <w:marLeft w:val="0"/>
      <w:marRight w:val="0"/>
      <w:marTop w:val="0"/>
      <w:marBottom w:val="0"/>
      <w:divBdr>
        <w:top w:val="none" w:sz="0" w:space="0" w:color="auto"/>
        <w:left w:val="none" w:sz="0" w:space="0" w:color="auto"/>
        <w:bottom w:val="none" w:sz="0" w:space="0" w:color="auto"/>
        <w:right w:val="none" w:sz="0" w:space="0" w:color="auto"/>
      </w:divBdr>
    </w:div>
    <w:div w:id="1982735038">
      <w:bodyDiv w:val="1"/>
      <w:marLeft w:val="0"/>
      <w:marRight w:val="0"/>
      <w:marTop w:val="0"/>
      <w:marBottom w:val="0"/>
      <w:divBdr>
        <w:top w:val="none" w:sz="0" w:space="0" w:color="auto"/>
        <w:left w:val="none" w:sz="0" w:space="0" w:color="auto"/>
        <w:bottom w:val="none" w:sz="0" w:space="0" w:color="auto"/>
        <w:right w:val="none" w:sz="0" w:space="0" w:color="auto"/>
      </w:divBdr>
    </w:div>
    <w:div w:id="1983078412">
      <w:bodyDiv w:val="1"/>
      <w:marLeft w:val="0"/>
      <w:marRight w:val="0"/>
      <w:marTop w:val="0"/>
      <w:marBottom w:val="0"/>
      <w:divBdr>
        <w:top w:val="none" w:sz="0" w:space="0" w:color="auto"/>
        <w:left w:val="none" w:sz="0" w:space="0" w:color="auto"/>
        <w:bottom w:val="none" w:sz="0" w:space="0" w:color="auto"/>
        <w:right w:val="none" w:sz="0" w:space="0" w:color="auto"/>
      </w:divBdr>
    </w:div>
    <w:div w:id="1986082951">
      <w:bodyDiv w:val="1"/>
      <w:marLeft w:val="0"/>
      <w:marRight w:val="0"/>
      <w:marTop w:val="0"/>
      <w:marBottom w:val="0"/>
      <w:divBdr>
        <w:top w:val="none" w:sz="0" w:space="0" w:color="auto"/>
        <w:left w:val="none" w:sz="0" w:space="0" w:color="auto"/>
        <w:bottom w:val="none" w:sz="0" w:space="0" w:color="auto"/>
        <w:right w:val="none" w:sz="0" w:space="0" w:color="auto"/>
      </w:divBdr>
    </w:div>
    <w:div w:id="1988586039">
      <w:bodyDiv w:val="1"/>
      <w:marLeft w:val="0"/>
      <w:marRight w:val="0"/>
      <w:marTop w:val="0"/>
      <w:marBottom w:val="0"/>
      <w:divBdr>
        <w:top w:val="none" w:sz="0" w:space="0" w:color="auto"/>
        <w:left w:val="none" w:sz="0" w:space="0" w:color="auto"/>
        <w:bottom w:val="none" w:sz="0" w:space="0" w:color="auto"/>
        <w:right w:val="none" w:sz="0" w:space="0" w:color="auto"/>
      </w:divBdr>
    </w:div>
    <w:div w:id="1989897300">
      <w:bodyDiv w:val="1"/>
      <w:marLeft w:val="0"/>
      <w:marRight w:val="0"/>
      <w:marTop w:val="0"/>
      <w:marBottom w:val="0"/>
      <w:divBdr>
        <w:top w:val="none" w:sz="0" w:space="0" w:color="auto"/>
        <w:left w:val="none" w:sz="0" w:space="0" w:color="auto"/>
        <w:bottom w:val="none" w:sz="0" w:space="0" w:color="auto"/>
        <w:right w:val="none" w:sz="0" w:space="0" w:color="auto"/>
      </w:divBdr>
    </w:div>
    <w:div w:id="1990939032">
      <w:bodyDiv w:val="1"/>
      <w:marLeft w:val="0"/>
      <w:marRight w:val="0"/>
      <w:marTop w:val="0"/>
      <w:marBottom w:val="0"/>
      <w:divBdr>
        <w:top w:val="none" w:sz="0" w:space="0" w:color="auto"/>
        <w:left w:val="none" w:sz="0" w:space="0" w:color="auto"/>
        <w:bottom w:val="none" w:sz="0" w:space="0" w:color="auto"/>
        <w:right w:val="none" w:sz="0" w:space="0" w:color="auto"/>
      </w:divBdr>
    </w:div>
    <w:div w:id="1991641289">
      <w:bodyDiv w:val="1"/>
      <w:marLeft w:val="0"/>
      <w:marRight w:val="0"/>
      <w:marTop w:val="0"/>
      <w:marBottom w:val="0"/>
      <w:divBdr>
        <w:top w:val="none" w:sz="0" w:space="0" w:color="auto"/>
        <w:left w:val="none" w:sz="0" w:space="0" w:color="auto"/>
        <w:bottom w:val="none" w:sz="0" w:space="0" w:color="auto"/>
        <w:right w:val="none" w:sz="0" w:space="0" w:color="auto"/>
      </w:divBdr>
    </w:div>
    <w:div w:id="1992322750">
      <w:bodyDiv w:val="1"/>
      <w:marLeft w:val="0"/>
      <w:marRight w:val="0"/>
      <w:marTop w:val="0"/>
      <w:marBottom w:val="0"/>
      <w:divBdr>
        <w:top w:val="none" w:sz="0" w:space="0" w:color="auto"/>
        <w:left w:val="none" w:sz="0" w:space="0" w:color="auto"/>
        <w:bottom w:val="none" w:sz="0" w:space="0" w:color="auto"/>
        <w:right w:val="none" w:sz="0" w:space="0" w:color="auto"/>
      </w:divBdr>
      <w:divsChild>
        <w:div w:id="1063142948">
          <w:marLeft w:val="0"/>
          <w:marRight w:val="0"/>
          <w:marTop w:val="0"/>
          <w:marBottom w:val="0"/>
          <w:divBdr>
            <w:top w:val="none" w:sz="0" w:space="0" w:color="auto"/>
            <w:left w:val="none" w:sz="0" w:space="0" w:color="auto"/>
            <w:bottom w:val="none" w:sz="0" w:space="0" w:color="auto"/>
            <w:right w:val="none" w:sz="0" w:space="0" w:color="auto"/>
          </w:divBdr>
        </w:div>
      </w:divsChild>
    </w:div>
    <w:div w:id="1995065032">
      <w:bodyDiv w:val="1"/>
      <w:marLeft w:val="0"/>
      <w:marRight w:val="0"/>
      <w:marTop w:val="0"/>
      <w:marBottom w:val="0"/>
      <w:divBdr>
        <w:top w:val="none" w:sz="0" w:space="0" w:color="auto"/>
        <w:left w:val="none" w:sz="0" w:space="0" w:color="auto"/>
        <w:bottom w:val="none" w:sz="0" w:space="0" w:color="auto"/>
        <w:right w:val="none" w:sz="0" w:space="0" w:color="auto"/>
      </w:divBdr>
    </w:div>
    <w:div w:id="1999265180">
      <w:bodyDiv w:val="1"/>
      <w:marLeft w:val="0"/>
      <w:marRight w:val="0"/>
      <w:marTop w:val="0"/>
      <w:marBottom w:val="0"/>
      <w:divBdr>
        <w:top w:val="none" w:sz="0" w:space="0" w:color="auto"/>
        <w:left w:val="none" w:sz="0" w:space="0" w:color="auto"/>
        <w:bottom w:val="none" w:sz="0" w:space="0" w:color="auto"/>
        <w:right w:val="none" w:sz="0" w:space="0" w:color="auto"/>
      </w:divBdr>
    </w:div>
    <w:div w:id="2002929197">
      <w:bodyDiv w:val="1"/>
      <w:marLeft w:val="0"/>
      <w:marRight w:val="0"/>
      <w:marTop w:val="0"/>
      <w:marBottom w:val="0"/>
      <w:divBdr>
        <w:top w:val="none" w:sz="0" w:space="0" w:color="auto"/>
        <w:left w:val="none" w:sz="0" w:space="0" w:color="auto"/>
        <w:bottom w:val="none" w:sz="0" w:space="0" w:color="auto"/>
        <w:right w:val="none" w:sz="0" w:space="0" w:color="auto"/>
      </w:divBdr>
      <w:divsChild>
        <w:div w:id="1695419766">
          <w:marLeft w:val="0"/>
          <w:marRight w:val="0"/>
          <w:marTop w:val="0"/>
          <w:marBottom w:val="0"/>
          <w:divBdr>
            <w:top w:val="none" w:sz="0" w:space="0" w:color="auto"/>
            <w:left w:val="none" w:sz="0" w:space="0" w:color="auto"/>
            <w:bottom w:val="none" w:sz="0" w:space="0" w:color="auto"/>
            <w:right w:val="none" w:sz="0" w:space="0" w:color="auto"/>
          </w:divBdr>
        </w:div>
      </w:divsChild>
    </w:div>
    <w:div w:id="2003463192">
      <w:bodyDiv w:val="1"/>
      <w:marLeft w:val="0"/>
      <w:marRight w:val="0"/>
      <w:marTop w:val="0"/>
      <w:marBottom w:val="0"/>
      <w:divBdr>
        <w:top w:val="none" w:sz="0" w:space="0" w:color="auto"/>
        <w:left w:val="none" w:sz="0" w:space="0" w:color="auto"/>
        <w:bottom w:val="none" w:sz="0" w:space="0" w:color="auto"/>
        <w:right w:val="none" w:sz="0" w:space="0" w:color="auto"/>
      </w:divBdr>
    </w:div>
    <w:div w:id="2007898655">
      <w:bodyDiv w:val="1"/>
      <w:marLeft w:val="0"/>
      <w:marRight w:val="0"/>
      <w:marTop w:val="0"/>
      <w:marBottom w:val="0"/>
      <w:divBdr>
        <w:top w:val="none" w:sz="0" w:space="0" w:color="auto"/>
        <w:left w:val="none" w:sz="0" w:space="0" w:color="auto"/>
        <w:bottom w:val="none" w:sz="0" w:space="0" w:color="auto"/>
        <w:right w:val="none" w:sz="0" w:space="0" w:color="auto"/>
      </w:divBdr>
    </w:div>
    <w:div w:id="2009478183">
      <w:bodyDiv w:val="1"/>
      <w:marLeft w:val="0"/>
      <w:marRight w:val="0"/>
      <w:marTop w:val="0"/>
      <w:marBottom w:val="0"/>
      <w:divBdr>
        <w:top w:val="none" w:sz="0" w:space="0" w:color="auto"/>
        <w:left w:val="none" w:sz="0" w:space="0" w:color="auto"/>
        <w:bottom w:val="none" w:sz="0" w:space="0" w:color="auto"/>
        <w:right w:val="none" w:sz="0" w:space="0" w:color="auto"/>
      </w:divBdr>
    </w:div>
    <w:div w:id="2011909269">
      <w:bodyDiv w:val="1"/>
      <w:marLeft w:val="0"/>
      <w:marRight w:val="0"/>
      <w:marTop w:val="0"/>
      <w:marBottom w:val="0"/>
      <w:divBdr>
        <w:top w:val="none" w:sz="0" w:space="0" w:color="auto"/>
        <w:left w:val="none" w:sz="0" w:space="0" w:color="auto"/>
        <w:bottom w:val="none" w:sz="0" w:space="0" w:color="auto"/>
        <w:right w:val="none" w:sz="0" w:space="0" w:color="auto"/>
      </w:divBdr>
      <w:divsChild>
        <w:div w:id="607273284">
          <w:marLeft w:val="0"/>
          <w:marRight w:val="0"/>
          <w:marTop w:val="0"/>
          <w:marBottom w:val="0"/>
          <w:divBdr>
            <w:top w:val="none" w:sz="0" w:space="0" w:color="auto"/>
            <w:left w:val="none" w:sz="0" w:space="0" w:color="auto"/>
            <w:bottom w:val="none" w:sz="0" w:space="0" w:color="auto"/>
            <w:right w:val="none" w:sz="0" w:space="0" w:color="auto"/>
          </w:divBdr>
        </w:div>
      </w:divsChild>
    </w:div>
    <w:div w:id="2014801469">
      <w:bodyDiv w:val="1"/>
      <w:marLeft w:val="0"/>
      <w:marRight w:val="0"/>
      <w:marTop w:val="0"/>
      <w:marBottom w:val="0"/>
      <w:divBdr>
        <w:top w:val="none" w:sz="0" w:space="0" w:color="auto"/>
        <w:left w:val="none" w:sz="0" w:space="0" w:color="auto"/>
        <w:bottom w:val="none" w:sz="0" w:space="0" w:color="auto"/>
        <w:right w:val="none" w:sz="0" w:space="0" w:color="auto"/>
      </w:divBdr>
    </w:div>
    <w:div w:id="2015110638">
      <w:bodyDiv w:val="1"/>
      <w:marLeft w:val="0"/>
      <w:marRight w:val="0"/>
      <w:marTop w:val="0"/>
      <w:marBottom w:val="0"/>
      <w:divBdr>
        <w:top w:val="none" w:sz="0" w:space="0" w:color="auto"/>
        <w:left w:val="none" w:sz="0" w:space="0" w:color="auto"/>
        <w:bottom w:val="none" w:sz="0" w:space="0" w:color="auto"/>
        <w:right w:val="none" w:sz="0" w:space="0" w:color="auto"/>
      </w:divBdr>
    </w:div>
    <w:div w:id="2018850562">
      <w:bodyDiv w:val="1"/>
      <w:marLeft w:val="0"/>
      <w:marRight w:val="0"/>
      <w:marTop w:val="0"/>
      <w:marBottom w:val="0"/>
      <w:divBdr>
        <w:top w:val="none" w:sz="0" w:space="0" w:color="auto"/>
        <w:left w:val="none" w:sz="0" w:space="0" w:color="auto"/>
        <w:bottom w:val="none" w:sz="0" w:space="0" w:color="auto"/>
        <w:right w:val="none" w:sz="0" w:space="0" w:color="auto"/>
      </w:divBdr>
    </w:div>
    <w:div w:id="2027903437">
      <w:bodyDiv w:val="1"/>
      <w:marLeft w:val="0"/>
      <w:marRight w:val="0"/>
      <w:marTop w:val="0"/>
      <w:marBottom w:val="0"/>
      <w:divBdr>
        <w:top w:val="none" w:sz="0" w:space="0" w:color="auto"/>
        <w:left w:val="none" w:sz="0" w:space="0" w:color="auto"/>
        <w:bottom w:val="none" w:sz="0" w:space="0" w:color="auto"/>
        <w:right w:val="none" w:sz="0" w:space="0" w:color="auto"/>
      </w:divBdr>
    </w:div>
    <w:div w:id="2029481410">
      <w:bodyDiv w:val="1"/>
      <w:marLeft w:val="0"/>
      <w:marRight w:val="0"/>
      <w:marTop w:val="0"/>
      <w:marBottom w:val="0"/>
      <w:divBdr>
        <w:top w:val="none" w:sz="0" w:space="0" w:color="auto"/>
        <w:left w:val="none" w:sz="0" w:space="0" w:color="auto"/>
        <w:bottom w:val="none" w:sz="0" w:space="0" w:color="auto"/>
        <w:right w:val="none" w:sz="0" w:space="0" w:color="auto"/>
      </w:divBdr>
    </w:div>
    <w:div w:id="2032491299">
      <w:bodyDiv w:val="1"/>
      <w:marLeft w:val="0"/>
      <w:marRight w:val="0"/>
      <w:marTop w:val="0"/>
      <w:marBottom w:val="0"/>
      <w:divBdr>
        <w:top w:val="none" w:sz="0" w:space="0" w:color="auto"/>
        <w:left w:val="none" w:sz="0" w:space="0" w:color="auto"/>
        <w:bottom w:val="none" w:sz="0" w:space="0" w:color="auto"/>
        <w:right w:val="none" w:sz="0" w:space="0" w:color="auto"/>
      </w:divBdr>
      <w:divsChild>
        <w:div w:id="1528955167">
          <w:marLeft w:val="0"/>
          <w:marRight w:val="0"/>
          <w:marTop w:val="0"/>
          <w:marBottom w:val="0"/>
          <w:divBdr>
            <w:top w:val="none" w:sz="0" w:space="0" w:color="auto"/>
            <w:left w:val="none" w:sz="0" w:space="0" w:color="auto"/>
            <w:bottom w:val="none" w:sz="0" w:space="0" w:color="auto"/>
            <w:right w:val="none" w:sz="0" w:space="0" w:color="auto"/>
          </w:divBdr>
        </w:div>
      </w:divsChild>
    </w:div>
    <w:div w:id="2036540339">
      <w:bodyDiv w:val="1"/>
      <w:marLeft w:val="0"/>
      <w:marRight w:val="0"/>
      <w:marTop w:val="0"/>
      <w:marBottom w:val="0"/>
      <w:divBdr>
        <w:top w:val="none" w:sz="0" w:space="0" w:color="auto"/>
        <w:left w:val="none" w:sz="0" w:space="0" w:color="auto"/>
        <w:bottom w:val="none" w:sz="0" w:space="0" w:color="auto"/>
        <w:right w:val="none" w:sz="0" w:space="0" w:color="auto"/>
      </w:divBdr>
    </w:div>
    <w:div w:id="2037920098">
      <w:bodyDiv w:val="1"/>
      <w:marLeft w:val="0"/>
      <w:marRight w:val="0"/>
      <w:marTop w:val="0"/>
      <w:marBottom w:val="0"/>
      <w:divBdr>
        <w:top w:val="none" w:sz="0" w:space="0" w:color="auto"/>
        <w:left w:val="none" w:sz="0" w:space="0" w:color="auto"/>
        <w:bottom w:val="none" w:sz="0" w:space="0" w:color="auto"/>
        <w:right w:val="none" w:sz="0" w:space="0" w:color="auto"/>
      </w:divBdr>
      <w:divsChild>
        <w:div w:id="396829338">
          <w:marLeft w:val="0"/>
          <w:marRight w:val="0"/>
          <w:marTop w:val="0"/>
          <w:marBottom w:val="0"/>
          <w:divBdr>
            <w:top w:val="none" w:sz="0" w:space="0" w:color="auto"/>
            <w:left w:val="none" w:sz="0" w:space="0" w:color="auto"/>
            <w:bottom w:val="none" w:sz="0" w:space="0" w:color="auto"/>
            <w:right w:val="none" w:sz="0" w:space="0" w:color="auto"/>
          </w:divBdr>
        </w:div>
      </w:divsChild>
    </w:div>
    <w:div w:id="2041322455">
      <w:bodyDiv w:val="1"/>
      <w:marLeft w:val="0"/>
      <w:marRight w:val="0"/>
      <w:marTop w:val="0"/>
      <w:marBottom w:val="0"/>
      <w:divBdr>
        <w:top w:val="none" w:sz="0" w:space="0" w:color="auto"/>
        <w:left w:val="none" w:sz="0" w:space="0" w:color="auto"/>
        <w:bottom w:val="none" w:sz="0" w:space="0" w:color="auto"/>
        <w:right w:val="none" w:sz="0" w:space="0" w:color="auto"/>
      </w:divBdr>
      <w:divsChild>
        <w:div w:id="76757289">
          <w:marLeft w:val="0"/>
          <w:marRight w:val="0"/>
          <w:marTop w:val="0"/>
          <w:marBottom w:val="0"/>
          <w:divBdr>
            <w:top w:val="none" w:sz="0" w:space="0" w:color="auto"/>
            <w:left w:val="none" w:sz="0" w:space="0" w:color="auto"/>
            <w:bottom w:val="none" w:sz="0" w:space="0" w:color="auto"/>
            <w:right w:val="none" w:sz="0" w:space="0" w:color="auto"/>
          </w:divBdr>
        </w:div>
      </w:divsChild>
    </w:div>
    <w:div w:id="2043044205">
      <w:bodyDiv w:val="1"/>
      <w:marLeft w:val="0"/>
      <w:marRight w:val="0"/>
      <w:marTop w:val="0"/>
      <w:marBottom w:val="0"/>
      <w:divBdr>
        <w:top w:val="none" w:sz="0" w:space="0" w:color="auto"/>
        <w:left w:val="none" w:sz="0" w:space="0" w:color="auto"/>
        <w:bottom w:val="none" w:sz="0" w:space="0" w:color="auto"/>
        <w:right w:val="none" w:sz="0" w:space="0" w:color="auto"/>
      </w:divBdr>
    </w:div>
    <w:div w:id="2044867168">
      <w:bodyDiv w:val="1"/>
      <w:marLeft w:val="0"/>
      <w:marRight w:val="0"/>
      <w:marTop w:val="0"/>
      <w:marBottom w:val="0"/>
      <w:divBdr>
        <w:top w:val="none" w:sz="0" w:space="0" w:color="auto"/>
        <w:left w:val="none" w:sz="0" w:space="0" w:color="auto"/>
        <w:bottom w:val="none" w:sz="0" w:space="0" w:color="auto"/>
        <w:right w:val="none" w:sz="0" w:space="0" w:color="auto"/>
      </w:divBdr>
    </w:div>
    <w:div w:id="2045404710">
      <w:bodyDiv w:val="1"/>
      <w:marLeft w:val="0"/>
      <w:marRight w:val="0"/>
      <w:marTop w:val="0"/>
      <w:marBottom w:val="0"/>
      <w:divBdr>
        <w:top w:val="none" w:sz="0" w:space="0" w:color="auto"/>
        <w:left w:val="none" w:sz="0" w:space="0" w:color="auto"/>
        <w:bottom w:val="none" w:sz="0" w:space="0" w:color="auto"/>
        <w:right w:val="none" w:sz="0" w:space="0" w:color="auto"/>
      </w:divBdr>
    </w:div>
    <w:div w:id="2051025584">
      <w:bodyDiv w:val="1"/>
      <w:marLeft w:val="0"/>
      <w:marRight w:val="0"/>
      <w:marTop w:val="0"/>
      <w:marBottom w:val="0"/>
      <w:divBdr>
        <w:top w:val="none" w:sz="0" w:space="0" w:color="auto"/>
        <w:left w:val="none" w:sz="0" w:space="0" w:color="auto"/>
        <w:bottom w:val="none" w:sz="0" w:space="0" w:color="auto"/>
        <w:right w:val="none" w:sz="0" w:space="0" w:color="auto"/>
      </w:divBdr>
    </w:div>
    <w:div w:id="2051221494">
      <w:bodyDiv w:val="1"/>
      <w:marLeft w:val="0"/>
      <w:marRight w:val="0"/>
      <w:marTop w:val="0"/>
      <w:marBottom w:val="0"/>
      <w:divBdr>
        <w:top w:val="none" w:sz="0" w:space="0" w:color="auto"/>
        <w:left w:val="none" w:sz="0" w:space="0" w:color="auto"/>
        <w:bottom w:val="none" w:sz="0" w:space="0" w:color="auto"/>
        <w:right w:val="none" w:sz="0" w:space="0" w:color="auto"/>
      </w:divBdr>
    </w:div>
    <w:div w:id="2055538765">
      <w:bodyDiv w:val="1"/>
      <w:marLeft w:val="0"/>
      <w:marRight w:val="0"/>
      <w:marTop w:val="0"/>
      <w:marBottom w:val="0"/>
      <w:divBdr>
        <w:top w:val="none" w:sz="0" w:space="0" w:color="auto"/>
        <w:left w:val="none" w:sz="0" w:space="0" w:color="auto"/>
        <w:bottom w:val="none" w:sz="0" w:space="0" w:color="auto"/>
        <w:right w:val="none" w:sz="0" w:space="0" w:color="auto"/>
      </w:divBdr>
    </w:div>
    <w:div w:id="2056853962">
      <w:bodyDiv w:val="1"/>
      <w:marLeft w:val="0"/>
      <w:marRight w:val="0"/>
      <w:marTop w:val="0"/>
      <w:marBottom w:val="0"/>
      <w:divBdr>
        <w:top w:val="none" w:sz="0" w:space="0" w:color="auto"/>
        <w:left w:val="none" w:sz="0" w:space="0" w:color="auto"/>
        <w:bottom w:val="none" w:sz="0" w:space="0" w:color="auto"/>
        <w:right w:val="none" w:sz="0" w:space="0" w:color="auto"/>
      </w:divBdr>
    </w:div>
    <w:div w:id="2059207977">
      <w:bodyDiv w:val="1"/>
      <w:marLeft w:val="0"/>
      <w:marRight w:val="0"/>
      <w:marTop w:val="0"/>
      <w:marBottom w:val="0"/>
      <w:divBdr>
        <w:top w:val="none" w:sz="0" w:space="0" w:color="auto"/>
        <w:left w:val="none" w:sz="0" w:space="0" w:color="auto"/>
        <w:bottom w:val="none" w:sz="0" w:space="0" w:color="auto"/>
        <w:right w:val="none" w:sz="0" w:space="0" w:color="auto"/>
      </w:divBdr>
    </w:div>
    <w:div w:id="2060549199">
      <w:bodyDiv w:val="1"/>
      <w:marLeft w:val="0"/>
      <w:marRight w:val="0"/>
      <w:marTop w:val="0"/>
      <w:marBottom w:val="0"/>
      <w:divBdr>
        <w:top w:val="none" w:sz="0" w:space="0" w:color="auto"/>
        <w:left w:val="none" w:sz="0" w:space="0" w:color="auto"/>
        <w:bottom w:val="none" w:sz="0" w:space="0" w:color="auto"/>
        <w:right w:val="none" w:sz="0" w:space="0" w:color="auto"/>
      </w:divBdr>
    </w:div>
    <w:div w:id="2060811873">
      <w:bodyDiv w:val="1"/>
      <w:marLeft w:val="0"/>
      <w:marRight w:val="0"/>
      <w:marTop w:val="0"/>
      <w:marBottom w:val="0"/>
      <w:divBdr>
        <w:top w:val="none" w:sz="0" w:space="0" w:color="auto"/>
        <w:left w:val="none" w:sz="0" w:space="0" w:color="auto"/>
        <w:bottom w:val="none" w:sz="0" w:space="0" w:color="auto"/>
        <w:right w:val="none" w:sz="0" w:space="0" w:color="auto"/>
      </w:divBdr>
    </w:div>
    <w:div w:id="2064717144">
      <w:bodyDiv w:val="1"/>
      <w:marLeft w:val="0"/>
      <w:marRight w:val="0"/>
      <w:marTop w:val="0"/>
      <w:marBottom w:val="0"/>
      <w:divBdr>
        <w:top w:val="none" w:sz="0" w:space="0" w:color="auto"/>
        <w:left w:val="none" w:sz="0" w:space="0" w:color="auto"/>
        <w:bottom w:val="none" w:sz="0" w:space="0" w:color="auto"/>
        <w:right w:val="none" w:sz="0" w:space="0" w:color="auto"/>
      </w:divBdr>
    </w:div>
    <w:div w:id="2075622726">
      <w:bodyDiv w:val="1"/>
      <w:marLeft w:val="0"/>
      <w:marRight w:val="0"/>
      <w:marTop w:val="0"/>
      <w:marBottom w:val="0"/>
      <w:divBdr>
        <w:top w:val="none" w:sz="0" w:space="0" w:color="auto"/>
        <w:left w:val="none" w:sz="0" w:space="0" w:color="auto"/>
        <w:bottom w:val="none" w:sz="0" w:space="0" w:color="auto"/>
        <w:right w:val="none" w:sz="0" w:space="0" w:color="auto"/>
      </w:divBdr>
    </w:div>
    <w:div w:id="2076776050">
      <w:bodyDiv w:val="1"/>
      <w:marLeft w:val="0"/>
      <w:marRight w:val="0"/>
      <w:marTop w:val="0"/>
      <w:marBottom w:val="0"/>
      <w:divBdr>
        <w:top w:val="none" w:sz="0" w:space="0" w:color="auto"/>
        <w:left w:val="none" w:sz="0" w:space="0" w:color="auto"/>
        <w:bottom w:val="none" w:sz="0" w:space="0" w:color="auto"/>
        <w:right w:val="none" w:sz="0" w:space="0" w:color="auto"/>
      </w:divBdr>
    </w:div>
    <w:div w:id="2078820230">
      <w:bodyDiv w:val="1"/>
      <w:marLeft w:val="0"/>
      <w:marRight w:val="0"/>
      <w:marTop w:val="0"/>
      <w:marBottom w:val="0"/>
      <w:divBdr>
        <w:top w:val="none" w:sz="0" w:space="0" w:color="auto"/>
        <w:left w:val="none" w:sz="0" w:space="0" w:color="auto"/>
        <w:bottom w:val="none" w:sz="0" w:space="0" w:color="auto"/>
        <w:right w:val="none" w:sz="0" w:space="0" w:color="auto"/>
      </w:divBdr>
    </w:div>
    <w:div w:id="2080596416">
      <w:bodyDiv w:val="1"/>
      <w:marLeft w:val="0"/>
      <w:marRight w:val="0"/>
      <w:marTop w:val="0"/>
      <w:marBottom w:val="0"/>
      <w:divBdr>
        <w:top w:val="none" w:sz="0" w:space="0" w:color="auto"/>
        <w:left w:val="none" w:sz="0" w:space="0" w:color="auto"/>
        <w:bottom w:val="none" w:sz="0" w:space="0" w:color="auto"/>
        <w:right w:val="none" w:sz="0" w:space="0" w:color="auto"/>
      </w:divBdr>
    </w:div>
    <w:div w:id="2083259810">
      <w:bodyDiv w:val="1"/>
      <w:marLeft w:val="0"/>
      <w:marRight w:val="0"/>
      <w:marTop w:val="0"/>
      <w:marBottom w:val="0"/>
      <w:divBdr>
        <w:top w:val="none" w:sz="0" w:space="0" w:color="auto"/>
        <w:left w:val="none" w:sz="0" w:space="0" w:color="auto"/>
        <w:bottom w:val="none" w:sz="0" w:space="0" w:color="auto"/>
        <w:right w:val="none" w:sz="0" w:space="0" w:color="auto"/>
      </w:divBdr>
    </w:div>
    <w:div w:id="2083405557">
      <w:bodyDiv w:val="1"/>
      <w:marLeft w:val="0"/>
      <w:marRight w:val="0"/>
      <w:marTop w:val="0"/>
      <w:marBottom w:val="0"/>
      <w:divBdr>
        <w:top w:val="none" w:sz="0" w:space="0" w:color="auto"/>
        <w:left w:val="none" w:sz="0" w:space="0" w:color="auto"/>
        <w:bottom w:val="none" w:sz="0" w:space="0" w:color="auto"/>
        <w:right w:val="none" w:sz="0" w:space="0" w:color="auto"/>
      </w:divBdr>
    </w:div>
    <w:div w:id="2090761302">
      <w:bodyDiv w:val="1"/>
      <w:marLeft w:val="0"/>
      <w:marRight w:val="0"/>
      <w:marTop w:val="0"/>
      <w:marBottom w:val="0"/>
      <w:divBdr>
        <w:top w:val="none" w:sz="0" w:space="0" w:color="auto"/>
        <w:left w:val="none" w:sz="0" w:space="0" w:color="auto"/>
        <w:bottom w:val="none" w:sz="0" w:space="0" w:color="auto"/>
        <w:right w:val="none" w:sz="0" w:space="0" w:color="auto"/>
      </w:divBdr>
      <w:divsChild>
        <w:div w:id="1698386900">
          <w:marLeft w:val="0"/>
          <w:marRight w:val="0"/>
          <w:marTop w:val="0"/>
          <w:marBottom w:val="0"/>
          <w:divBdr>
            <w:top w:val="none" w:sz="0" w:space="0" w:color="auto"/>
            <w:left w:val="none" w:sz="0" w:space="0" w:color="auto"/>
            <w:bottom w:val="none" w:sz="0" w:space="0" w:color="auto"/>
            <w:right w:val="none" w:sz="0" w:space="0" w:color="auto"/>
          </w:divBdr>
        </w:div>
      </w:divsChild>
    </w:div>
    <w:div w:id="2096514098">
      <w:bodyDiv w:val="1"/>
      <w:marLeft w:val="0"/>
      <w:marRight w:val="0"/>
      <w:marTop w:val="0"/>
      <w:marBottom w:val="0"/>
      <w:divBdr>
        <w:top w:val="none" w:sz="0" w:space="0" w:color="auto"/>
        <w:left w:val="none" w:sz="0" w:space="0" w:color="auto"/>
        <w:bottom w:val="none" w:sz="0" w:space="0" w:color="auto"/>
        <w:right w:val="none" w:sz="0" w:space="0" w:color="auto"/>
      </w:divBdr>
    </w:div>
    <w:div w:id="2097362699">
      <w:bodyDiv w:val="1"/>
      <w:marLeft w:val="0"/>
      <w:marRight w:val="0"/>
      <w:marTop w:val="0"/>
      <w:marBottom w:val="0"/>
      <w:divBdr>
        <w:top w:val="none" w:sz="0" w:space="0" w:color="auto"/>
        <w:left w:val="none" w:sz="0" w:space="0" w:color="auto"/>
        <w:bottom w:val="none" w:sz="0" w:space="0" w:color="auto"/>
        <w:right w:val="none" w:sz="0" w:space="0" w:color="auto"/>
      </w:divBdr>
    </w:div>
    <w:div w:id="2099250614">
      <w:bodyDiv w:val="1"/>
      <w:marLeft w:val="0"/>
      <w:marRight w:val="0"/>
      <w:marTop w:val="0"/>
      <w:marBottom w:val="0"/>
      <w:divBdr>
        <w:top w:val="none" w:sz="0" w:space="0" w:color="auto"/>
        <w:left w:val="none" w:sz="0" w:space="0" w:color="auto"/>
        <w:bottom w:val="none" w:sz="0" w:space="0" w:color="auto"/>
        <w:right w:val="none" w:sz="0" w:space="0" w:color="auto"/>
      </w:divBdr>
      <w:divsChild>
        <w:div w:id="1890023659">
          <w:marLeft w:val="0"/>
          <w:marRight w:val="0"/>
          <w:marTop w:val="0"/>
          <w:marBottom w:val="0"/>
          <w:divBdr>
            <w:top w:val="none" w:sz="0" w:space="0" w:color="auto"/>
            <w:left w:val="none" w:sz="0" w:space="0" w:color="auto"/>
            <w:bottom w:val="none" w:sz="0" w:space="0" w:color="auto"/>
            <w:right w:val="none" w:sz="0" w:space="0" w:color="auto"/>
          </w:divBdr>
        </w:div>
      </w:divsChild>
    </w:div>
    <w:div w:id="2100632301">
      <w:bodyDiv w:val="1"/>
      <w:marLeft w:val="0"/>
      <w:marRight w:val="0"/>
      <w:marTop w:val="0"/>
      <w:marBottom w:val="0"/>
      <w:divBdr>
        <w:top w:val="none" w:sz="0" w:space="0" w:color="auto"/>
        <w:left w:val="none" w:sz="0" w:space="0" w:color="auto"/>
        <w:bottom w:val="none" w:sz="0" w:space="0" w:color="auto"/>
        <w:right w:val="none" w:sz="0" w:space="0" w:color="auto"/>
      </w:divBdr>
    </w:div>
    <w:div w:id="2100830404">
      <w:bodyDiv w:val="1"/>
      <w:marLeft w:val="0"/>
      <w:marRight w:val="0"/>
      <w:marTop w:val="0"/>
      <w:marBottom w:val="0"/>
      <w:divBdr>
        <w:top w:val="none" w:sz="0" w:space="0" w:color="auto"/>
        <w:left w:val="none" w:sz="0" w:space="0" w:color="auto"/>
        <w:bottom w:val="none" w:sz="0" w:space="0" w:color="auto"/>
        <w:right w:val="none" w:sz="0" w:space="0" w:color="auto"/>
      </w:divBdr>
    </w:div>
    <w:div w:id="2101950096">
      <w:bodyDiv w:val="1"/>
      <w:marLeft w:val="0"/>
      <w:marRight w:val="0"/>
      <w:marTop w:val="0"/>
      <w:marBottom w:val="0"/>
      <w:divBdr>
        <w:top w:val="none" w:sz="0" w:space="0" w:color="auto"/>
        <w:left w:val="none" w:sz="0" w:space="0" w:color="auto"/>
        <w:bottom w:val="none" w:sz="0" w:space="0" w:color="auto"/>
        <w:right w:val="none" w:sz="0" w:space="0" w:color="auto"/>
      </w:divBdr>
    </w:div>
    <w:div w:id="2102336490">
      <w:bodyDiv w:val="1"/>
      <w:marLeft w:val="0"/>
      <w:marRight w:val="0"/>
      <w:marTop w:val="0"/>
      <w:marBottom w:val="0"/>
      <w:divBdr>
        <w:top w:val="none" w:sz="0" w:space="0" w:color="auto"/>
        <w:left w:val="none" w:sz="0" w:space="0" w:color="auto"/>
        <w:bottom w:val="none" w:sz="0" w:space="0" w:color="auto"/>
        <w:right w:val="none" w:sz="0" w:space="0" w:color="auto"/>
      </w:divBdr>
    </w:div>
    <w:div w:id="2102484239">
      <w:bodyDiv w:val="1"/>
      <w:marLeft w:val="0"/>
      <w:marRight w:val="0"/>
      <w:marTop w:val="0"/>
      <w:marBottom w:val="0"/>
      <w:divBdr>
        <w:top w:val="none" w:sz="0" w:space="0" w:color="auto"/>
        <w:left w:val="none" w:sz="0" w:space="0" w:color="auto"/>
        <w:bottom w:val="none" w:sz="0" w:space="0" w:color="auto"/>
        <w:right w:val="none" w:sz="0" w:space="0" w:color="auto"/>
      </w:divBdr>
    </w:div>
    <w:div w:id="2105221171">
      <w:bodyDiv w:val="1"/>
      <w:marLeft w:val="0"/>
      <w:marRight w:val="0"/>
      <w:marTop w:val="0"/>
      <w:marBottom w:val="0"/>
      <w:divBdr>
        <w:top w:val="none" w:sz="0" w:space="0" w:color="auto"/>
        <w:left w:val="none" w:sz="0" w:space="0" w:color="auto"/>
        <w:bottom w:val="none" w:sz="0" w:space="0" w:color="auto"/>
        <w:right w:val="none" w:sz="0" w:space="0" w:color="auto"/>
      </w:divBdr>
    </w:div>
    <w:div w:id="2111199329">
      <w:bodyDiv w:val="1"/>
      <w:marLeft w:val="0"/>
      <w:marRight w:val="0"/>
      <w:marTop w:val="0"/>
      <w:marBottom w:val="0"/>
      <w:divBdr>
        <w:top w:val="none" w:sz="0" w:space="0" w:color="auto"/>
        <w:left w:val="none" w:sz="0" w:space="0" w:color="auto"/>
        <w:bottom w:val="none" w:sz="0" w:space="0" w:color="auto"/>
        <w:right w:val="none" w:sz="0" w:space="0" w:color="auto"/>
      </w:divBdr>
    </w:div>
    <w:div w:id="2111582754">
      <w:bodyDiv w:val="1"/>
      <w:marLeft w:val="0"/>
      <w:marRight w:val="0"/>
      <w:marTop w:val="0"/>
      <w:marBottom w:val="0"/>
      <w:divBdr>
        <w:top w:val="none" w:sz="0" w:space="0" w:color="auto"/>
        <w:left w:val="none" w:sz="0" w:space="0" w:color="auto"/>
        <w:bottom w:val="none" w:sz="0" w:space="0" w:color="auto"/>
        <w:right w:val="none" w:sz="0" w:space="0" w:color="auto"/>
      </w:divBdr>
    </w:div>
    <w:div w:id="2116512123">
      <w:bodyDiv w:val="1"/>
      <w:marLeft w:val="0"/>
      <w:marRight w:val="0"/>
      <w:marTop w:val="0"/>
      <w:marBottom w:val="0"/>
      <w:divBdr>
        <w:top w:val="none" w:sz="0" w:space="0" w:color="auto"/>
        <w:left w:val="none" w:sz="0" w:space="0" w:color="auto"/>
        <w:bottom w:val="none" w:sz="0" w:space="0" w:color="auto"/>
        <w:right w:val="none" w:sz="0" w:space="0" w:color="auto"/>
      </w:divBdr>
    </w:div>
    <w:div w:id="2118786552">
      <w:bodyDiv w:val="1"/>
      <w:marLeft w:val="0"/>
      <w:marRight w:val="0"/>
      <w:marTop w:val="0"/>
      <w:marBottom w:val="0"/>
      <w:divBdr>
        <w:top w:val="none" w:sz="0" w:space="0" w:color="auto"/>
        <w:left w:val="none" w:sz="0" w:space="0" w:color="auto"/>
        <w:bottom w:val="none" w:sz="0" w:space="0" w:color="auto"/>
        <w:right w:val="none" w:sz="0" w:space="0" w:color="auto"/>
      </w:divBdr>
    </w:div>
    <w:div w:id="2122341064">
      <w:bodyDiv w:val="1"/>
      <w:marLeft w:val="0"/>
      <w:marRight w:val="0"/>
      <w:marTop w:val="0"/>
      <w:marBottom w:val="0"/>
      <w:divBdr>
        <w:top w:val="none" w:sz="0" w:space="0" w:color="auto"/>
        <w:left w:val="none" w:sz="0" w:space="0" w:color="auto"/>
        <w:bottom w:val="none" w:sz="0" w:space="0" w:color="auto"/>
        <w:right w:val="none" w:sz="0" w:space="0" w:color="auto"/>
      </w:divBdr>
    </w:div>
    <w:div w:id="2122607873">
      <w:bodyDiv w:val="1"/>
      <w:marLeft w:val="0"/>
      <w:marRight w:val="0"/>
      <w:marTop w:val="0"/>
      <w:marBottom w:val="0"/>
      <w:divBdr>
        <w:top w:val="none" w:sz="0" w:space="0" w:color="auto"/>
        <w:left w:val="none" w:sz="0" w:space="0" w:color="auto"/>
        <w:bottom w:val="none" w:sz="0" w:space="0" w:color="auto"/>
        <w:right w:val="none" w:sz="0" w:space="0" w:color="auto"/>
      </w:divBdr>
    </w:div>
    <w:div w:id="2123568849">
      <w:bodyDiv w:val="1"/>
      <w:marLeft w:val="0"/>
      <w:marRight w:val="0"/>
      <w:marTop w:val="0"/>
      <w:marBottom w:val="0"/>
      <w:divBdr>
        <w:top w:val="none" w:sz="0" w:space="0" w:color="auto"/>
        <w:left w:val="none" w:sz="0" w:space="0" w:color="auto"/>
        <w:bottom w:val="none" w:sz="0" w:space="0" w:color="auto"/>
        <w:right w:val="none" w:sz="0" w:space="0" w:color="auto"/>
      </w:divBdr>
    </w:div>
    <w:div w:id="2126846292">
      <w:bodyDiv w:val="1"/>
      <w:marLeft w:val="0"/>
      <w:marRight w:val="0"/>
      <w:marTop w:val="0"/>
      <w:marBottom w:val="0"/>
      <w:divBdr>
        <w:top w:val="none" w:sz="0" w:space="0" w:color="auto"/>
        <w:left w:val="none" w:sz="0" w:space="0" w:color="auto"/>
        <w:bottom w:val="none" w:sz="0" w:space="0" w:color="auto"/>
        <w:right w:val="none" w:sz="0" w:space="0" w:color="auto"/>
      </w:divBdr>
    </w:div>
    <w:div w:id="2130317169">
      <w:bodyDiv w:val="1"/>
      <w:marLeft w:val="0"/>
      <w:marRight w:val="0"/>
      <w:marTop w:val="0"/>
      <w:marBottom w:val="0"/>
      <w:divBdr>
        <w:top w:val="none" w:sz="0" w:space="0" w:color="auto"/>
        <w:left w:val="none" w:sz="0" w:space="0" w:color="auto"/>
        <w:bottom w:val="none" w:sz="0" w:space="0" w:color="auto"/>
        <w:right w:val="none" w:sz="0" w:space="0" w:color="auto"/>
      </w:divBdr>
    </w:div>
    <w:div w:id="2137748125">
      <w:bodyDiv w:val="1"/>
      <w:marLeft w:val="0"/>
      <w:marRight w:val="0"/>
      <w:marTop w:val="0"/>
      <w:marBottom w:val="0"/>
      <w:divBdr>
        <w:top w:val="none" w:sz="0" w:space="0" w:color="auto"/>
        <w:left w:val="none" w:sz="0" w:space="0" w:color="auto"/>
        <w:bottom w:val="none" w:sz="0" w:space="0" w:color="auto"/>
        <w:right w:val="none" w:sz="0" w:space="0" w:color="auto"/>
      </w:divBdr>
    </w:div>
    <w:div w:id="2138185726">
      <w:bodyDiv w:val="1"/>
      <w:marLeft w:val="0"/>
      <w:marRight w:val="0"/>
      <w:marTop w:val="0"/>
      <w:marBottom w:val="0"/>
      <w:divBdr>
        <w:top w:val="none" w:sz="0" w:space="0" w:color="auto"/>
        <w:left w:val="none" w:sz="0" w:space="0" w:color="auto"/>
        <w:bottom w:val="none" w:sz="0" w:space="0" w:color="auto"/>
        <w:right w:val="none" w:sz="0" w:space="0" w:color="auto"/>
      </w:divBdr>
      <w:divsChild>
        <w:div w:id="691489634">
          <w:marLeft w:val="0"/>
          <w:marRight w:val="0"/>
          <w:marTop w:val="0"/>
          <w:marBottom w:val="0"/>
          <w:divBdr>
            <w:top w:val="none" w:sz="0" w:space="0" w:color="auto"/>
            <w:left w:val="none" w:sz="0" w:space="0" w:color="auto"/>
            <w:bottom w:val="none" w:sz="0" w:space="0" w:color="auto"/>
            <w:right w:val="none" w:sz="0" w:space="0" w:color="auto"/>
          </w:divBdr>
        </w:div>
      </w:divsChild>
    </w:div>
    <w:div w:id="2138833616">
      <w:bodyDiv w:val="1"/>
      <w:marLeft w:val="0"/>
      <w:marRight w:val="0"/>
      <w:marTop w:val="0"/>
      <w:marBottom w:val="0"/>
      <w:divBdr>
        <w:top w:val="none" w:sz="0" w:space="0" w:color="auto"/>
        <w:left w:val="none" w:sz="0" w:space="0" w:color="auto"/>
        <w:bottom w:val="none" w:sz="0" w:space="0" w:color="auto"/>
        <w:right w:val="none" w:sz="0" w:space="0" w:color="auto"/>
      </w:divBdr>
    </w:div>
    <w:div w:id="2143186816">
      <w:bodyDiv w:val="1"/>
      <w:marLeft w:val="0"/>
      <w:marRight w:val="0"/>
      <w:marTop w:val="0"/>
      <w:marBottom w:val="0"/>
      <w:divBdr>
        <w:top w:val="none" w:sz="0" w:space="0" w:color="auto"/>
        <w:left w:val="none" w:sz="0" w:space="0" w:color="auto"/>
        <w:bottom w:val="none" w:sz="0" w:space="0" w:color="auto"/>
        <w:right w:val="none" w:sz="0" w:space="0" w:color="auto"/>
      </w:divBdr>
    </w:div>
    <w:div w:id="2147384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northantspolice.sharepoint.com/sites/Dept-FinanceDept/Shared%20Documents/Year%20End%2025-26/Statement%20of%20Account%20documents/CC/www.northantspfcc.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CE5CC532301940862F02A27266992E" ma:contentTypeVersion="14" ma:contentTypeDescription="Create a new document." ma:contentTypeScope="" ma:versionID="1b996c669dfd22ab859e05d163d75583">
  <xsd:schema xmlns:xsd="http://www.w3.org/2001/XMLSchema" xmlns:xs="http://www.w3.org/2001/XMLSchema" xmlns:p="http://schemas.microsoft.com/office/2006/metadata/properties" xmlns:ns2="fc767eda-248f-4d69-aa6e-eb5b4241493f" xmlns:ns3="e271e2c0-6de9-46e2-86e3-0251f364abfd" targetNamespace="http://schemas.microsoft.com/office/2006/metadata/properties" ma:root="true" ma:fieldsID="d646a3dc6782f0a2e4252f857bd01481" ns2:_="" ns3:_="">
    <xsd:import namespace="fc767eda-248f-4d69-aa6e-eb5b4241493f"/>
    <xsd:import namespace="e271e2c0-6de9-46e2-86e3-0251f364ab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67eda-248f-4d69-aa6e-eb5b42414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d78728-696e-440c-b1aa-9a4378b9e09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71e2c0-6de9-46e2-86e3-0251f364ab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7eb700-d16d-46b6-a3d2-a6b6b3437884}" ma:internalName="TaxCatchAll" ma:showField="CatchAllData" ma:web="e271e2c0-6de9-46e2-86e3-0251f364a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767eda-248f-4d69-aa6e-eb5b4241493f">
      <Terms xmlns="http://schemas.microsoft.com/office/infopath/2007/PartnerControls"/>
    </lcf76f155ced4ddcb4097134ff3c332f>
    <TaxCatchAll xmlns="e271e2c0-6de9-46e2-86e3-0251f364ab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8C5038-2B20-437F-802C-170AB7773471}">
  <ds:schemaRefs>
    <ds:schemaRef ds:uri="http://schemas.openxmlformats.org/officeDocument/2006/bibliography"/>
  </ds:schemaRefs>
</ds:datastoreItem>
</file>

<file path=customXml/itemProps2.xml><?xml version="1.0" encoding="utf-8"?>
<ds:datastoreItem xmlns:ds="http://schemas.openxmlformats.org/officeDocument/2006/customXml" ds:itemID="{BE468042-D8D3-421F-9CE9-C8E730AA2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67eda-248f-4d69-aa6e-eb5b4241493f"/>
    <ds:schemaRef ds:uri="e271e2c0-6de9-46e2-86e3-0251f364a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A80B5-B9D8-46E3-AEEA-C1A3B0ED0342}">
  <ds:schemaRefs>
    <ds:schemaRef ds:uri="http://schemas.microsoft.com/office/2006/metadata/properties"/>
    <ds:schemaRef ds:uri="http://schemas.microsoft.com/office/infopath/2007/PartnerControls"/>
    <ds:schemaRef ds:uri="fc767eda-248f-4d69-aa6e-eb5b4241493f"/>
    <ds:schemaRef ds:uri="e271e2c0-6de9-46e2-86e3-0251f364abfd"/>
  </ds:schemaRefs>
</ds:datastoreItem>
</file>

<file path=customXml/itemProps4.xml><?xml version="1.0" encoding="utf-8"?>
<ds:datastoreItem xmlns:ds="http://schemas.openxmlformats.org/officeDocument/2006/customXml" ds:itemID="{E4DAABC3-976D-4814-AB8C-54A5F9C909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84</Pages>
  <Words>30404</Words>
  <Characters>173575</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Northamptonshire Police</Company>
  <LinksUpToDate>false</LinksUpToDate>
  <CharactersWithSpaces>203572</CharactersWithSpaces>
  <SharedDoc>false</SharedDoc>
  <HLinks>
    <vt:vector size="156" baseType="variant">
      <vt:variant>
        <vt:i4>1114165</vt:i4>
      </vt:variant>
      <vt:variant>
        <vt:i4>155</vt:i4>
      </vt:variant>
      <vt:variant>
        <vt:i4>0</vt:i4>
      </vt:variant>
      <vt:variant>
        <vt:i4>5</vt:i4>
      </vt:variant>
      <vt:variant>
        <vt:lpwstr/>
      </vt:variant>
      <vt:variant>
        <vt:lpwstr>_Toc231216713</vt:lpwstr>
      </vt:variant>
      <vt:variant>
        <vt:i4>1114165</vt:i4>
      </vt:variant>
      <vt:variant>
        <vt:i4>149</vt:i4>
      </vt:variant>
      <vt:variant>
        <vt:i4>0</vt:i4>
      </vt:variant>
      <vt:variant>
        <vt:i4>5</vt:i4>
      </vt:variant>
      <vt:variant>
        <vt:lpwstr/>
      </vt:variant>
      <vt:variant>
        <vt:lpwstr>_Toc231216712</vt:lpwstr>
      </vt:variant>
      <vt:variant>
        <vt:i4>1114165</vt:i4>
      </vt:variant>
      <vt:variant>
        <vt:i4>143</vt:i4>
      </vt:variant>
      <vt:variant>
        <vt:i4>0</vt:i4>
      </vt:variant>
      <vt:variant>
        <vt:i4>5</vt:i4>
      </vt:variant>
      <vt:variant>
        <vt:lpwstr/>
      </vt:variant>
      <vt:variant>
        <vt:lpwstr>_Toc231216711</vt:lpwstr>
      </vt:variant>
      <vt:variant>
        <vt:i4>1114165</vt:i4>
      </vt:variant>
      <vt:variant>
        <vt:i4>137</vt:i4>
      </vt:variant>
      <vt:variant>
        <vt:i4>0</vt:i4>
      </vt:variant>
      <vt:variant>
        <vt:i4>5</vt:i4>
      </vt:variant>
      <vt:variant>
        <vt:lpwstr/>
      </vt:variant>
      <vt:variant>
        <vt:lpwstr>_Toc231216710</vt:lpwstr>
      </vt:variant>
      <vt:variant>
        <vt:i4>1048629</vt:i4>
      </vt:variant>
      <vt:variant>
        <vt:i4>131</vt:i4>
      </vt:variant>
      <vt:variant>
        <vt:i4>0</vt:i4>
      </vt:variant>
      <vt:variant>
        <vt:i4>5</vt:i4>
      </vt:variant>
      <vt:variant>
        <vt:lpwstr/>
      </vt:variant>
      <vt:variant>
        <vt:lpwstr>_Toc231216709</vt:lpwstr>
      </vt:variant>
      <vt:variant>
        <vt:i4>1048629</vt:i4>
      </vt:variant>
      <vt:variant>
        <vt:i4>125</vt:i4>
      </vt:variant>
      <vt:variant>
        <vt:i4>0</vt:i4>
      </vt:variant>
      <vt:variant>
        <vt:i4>5</vt:i4>
      </vt:variant>
      <vt:variant>
        <vt:lpwstr/>
      </vt:variant>
      <vt:variant>
        <vt:lpwstr>_Toc231216708</vt:lpwstr>
      </vt:variant>
      <vt:variant>
        <vt:i4>1048629</vt:i4>
      </vt:variant>
      <vt:variant>
        <vt:i4>119</vt:i4>
      </vt:variant>
      <vt:variant>
        <vt:i4>0</vt:i4>
      </vt:variant>
      <vt:variant>
        <vt:i4>5</vt:i4>
      </vt:variant>
      <vt:variant>
        <vt:lpwstr/>
      </vt:variant>
      <vt:variant>
        <vt:lpwstr>_Toc231216707</vt:lpwstr>
      </vt:variant>
      <vt:variant>
        <vt:i4>1048629</vt:i4>
      </vt:variant>
      <vt:variant>
        <vt:i4>113</vt:i4>
      </vt:variant>
      <vt:variant>
        <vt:i4>0</vt:i4>
      </vt:variant>
      <vt:variant>
        <vt:i4>5</vt:i4>
      </vt:variant>
      <vt:variant>
        <vt:lpwstr/>
      </vt:variant>
      <vt:variant>
        <vt:lpwstr>_Toc231216706</vt:lpwstr>
      </vt:variant>
      <vt:variant>
        <vt:i4>1048629</vt:i4>
      </vt:variant>
      <vt:variant>
        <vt:i4>107</vt:i4>
      </vt:variant>
      <vt:variant>
        <vt:i4>0</vt:i4>
      </vt:variant>
      <vt:variant>
        <vt:i4>5</vt:i4>
      </vt:variant>
      <vt:variant>
        <vt:lpwstr/>
      </vt:variant>
      <vt:variant>
        <vt:lpwstr>_Toc231216705</vt:lpwstr>
      </vt:variant>
      <vt:variant>
        <vt:i4>1048629</vt:i4>
      </vt:variant>
      <vt:variant>
        <vt:i4>101</vt:i4>
      </vt:variant>
      <vt:variant>
        <vt:i4>0</vt:i4>
      </vt:variant>
      <vt:variant>
        <vt:i4>5</vt:i4>
      </vt:variant>
      <vt:variant>
        <vt:lpwstr/>
      </vt:variant>
      <vt:variant>
        <vt:lpwstr>_Toc231216704</vt:lpwstr>
      </vt:variant>
      <vt:variant>
        <vt:i4>1048629</vt:i4>
      </vt:variant>
      <vt:variant>
        <vt:i4>95</vt:i4>
      </vt:variant>
      <vt:variant>
        <vt:i4>0</vt:i4>
      </vt:variant>
      <vt:variant>
        <vt:i4>5</vt:i4>
      </vt:variant>
      <vt:variant>
        <vt:lpwstr/>
      </vt:variant>
      <vt:variant>
        <vt:lpwstr>_Toc231216703</vt:lpwstr>
      </vt:variant>
      <vt:variant>
        <vt:i4>1048629</vt:i4>
      </vt:variant>
      <vt:variant>
        <vt:i4>89</vt:i4>
      </vt:variant>
      <vt:variant>
        <vt:i4>0</vt:i4>
      </vt:variant>
      <vt:variant>
        <vt:i4>5</vt:i4>
      </vt:variant>
      <vt:variant>
        <vt:lpwstr/>
      </vt:variant>
      <vt:variant>
        <vt:lpwstr>_Toc231216702</vt:lpwstr>
      </vt:variant>
      <vt:variant>
        <vt:i4>1048629</vt:i4>
      </vt:variant>
      <vt:variant>
        <vt:i4>83</vt:i4>
      </vt:variant>
      <vt:variant>
        <vt:i4>0</vt:i4>
      </vt:variant>
      <vt:variant>
        <vt:i4>5</vt:i4>
      </vt:variant>
      <vt:variant>
        <vt:lpwstr/>
      </vt:variant>
      <vt:variant>
        <vt:lpwstr>_Toc231216701</vt:lpwstr>
      </vt:variant>
      <vt:variant>
        <vt:i4>1048629</vt:i4>
      </vt:variant>
      <vt:variant>
        <vt:i4>77</vt:i4>
      </vt:variant>
      <vt:variant>
        <vt:i4>0</vt:i4>
      </vt:variant>
      <vt:variant>
        <vt:i4>5</vt:i4>
      </vt:variant>
      <vt:variant>
        <vt:lpwstr/>
      </vt:variant>
      <vt:variant>
        <vt:lpwstr>_Toc231216700</vt:lpwstr>
      </vt:variant>
      <vt:variant>
        <vt:i4>1507386</vt:i4>
      </vt:variant>
      <vt:variant>
        <vt:i4>68</vt:i4>
      </vt:variant>
      <vt:variant>
        <vt:i4>0</vt:i4>
      </vt:variant>
      <vt:variant>
        <vt:i4>5</vt:i4>
      </vt:variant>
      <vt:variant>
        <vt:lpwstr/>
      </vt:variant>
      <vt:variant>
        <vt:lpwstr>_Toc212724826</vt:lpwstr>
      </vt:variant>
      <vt:variant>
        <vt:i4>1507386</vt:i4>
      </vt:variant>
      <vt:variant>
        <vt:i4>62</vt:i4>
      </vt:variant>
      <vt:variant>
        <vt:i4>0</vt:i4>
      </vt:variant>
      <vt:variant>
        <vt:i4>5</vt:i4>
      </vt:variant>
      <vt:variant>
        <vt:lpwstr/>
      </vt:variant>
      <vt:variant>
        <vt:lpwstr>_Toc212724825</vt:lpwstr>
      </vt:variant>
      <vt:variant>
        <vt:i4>1507386</vt:i4>
      </vt:variant>
      <vt:variant>
        <vt:i4>56</vt:i4>
      </vt:variant>
      <vt:variant>
        <vt:i4>0</vt:i4>
      </vt:variant>
      <vt:variant>
        <vt:i4>5</vt:i4>
      </vt:variant>
      <vt:variant>
        <vt:lpwstr/>
      </vt:variant>
      <vt:variant>
        <vt:lpwstr>_Toc212724824</vt:lpwstr>
      </vt:variant>
      <vt:variant>
        <vt:i4>1507386</vt:i4>
      </vt:variant>
      <vt:variant>
        <vt:i4>50</vt:i4>
      </vt:variant>
      <vt:variant>
        <vt:i4>0</vt:i4>
      </vt:variant>
      <vt:variant>
        <vt:i4>5</vt:i4>
      </vt:variant>
      <vt:variant>
        <vt:lpwstr/>
      </vt:variant>
      <vt:variant>
        <vt:lpwstr>_Toc212724823</vt:lpwstr>
      </vt:variant>
      <vt:variant>
        <vt:i4>1507386</vt:i4>
      </vt:variant>
      <vt:variant>
        <vt:i4>44</vt:i4>
      </vt:variant>
      <vt:variant>
        <vt:i4>0</vt:i4>
      </vt:variant>
      <vt:variant>
        <vt:i4>5</vt:i4>
      </vt:variant>
      <vt:variant>
        <vt:lpwstr/>
      </vt:variant>
      <vt:variant>
        <vt:lpwstr>_Toc212724822</vt:lpwstr>
      </vt:variant>
      <vt:variant>
        <vt:i4>1507386</vt:i4>
      </vt:variant>
      <vt:variant>
        <vt:i4>38</vt:i4>
      </vt:variant>
      <vt:variant>
        <vt:i4>0</vt:i4>
      </vt:variant>
      <vt:variant>
        <vt:i4>5</vt:i4>
      </vt:variant>
      <vt:variant>
        <vt:lpwstr/>
      </vt:variant>
      <vt:variant>
        <vt:lpwstr>_Toc212724821</vt:lpwstr>
      </vt:variant>
      <vt:variant>
        <vt:i4>1507386</vt:i4>
      </vt:variant>
      <vt:variant>
        <vt:i4>32</vt:i4>
      </vt:variant>
      <vt:variant>
        <vt:i4>0</vt:i4>
      </vt:variant>
      <vt:variant>
        <vt:i4>5</vt:i4>
      </vt:variant>
      <vt:variant>
        <vt:lpwstr/>
      </vt:variant>
      <vt:variant>
        <vt:lpwstr>_Toc212724820</vt:lpwstr>
      </vt:variant>
      <vt:variant>
        <vt:i4>1310778</vt:i4>
      </vt:variant>
      <vt:variant>
        <vt:i4>26</vt:i4>
      </vt:variant>
      <vt:variant>
        <vt:i4>0</vt:i4>
      </vt:variant>
      <vt:variant>
        <vt:i4>5</vt:i4>
      </vt:variant>
      <vt:variant>
        <vt:lpwstr/>
      </vt:variant>
      <vt:variant>
        <vt:lpwstr>_Toc212724819</vt:lpwstr>
      </vt:variant>
      <vt:variant>
        <vt:i4>1310778</vt:i4>
      </vt:variant>
      <vt:variant>
        <vt:i4>20</vt:i4>
      </vt:variant>
      <vt:variant>
        <vt:i4>0</vt:i4>
      </vt:variant>
      <vt:variant>
        <vt:i4>5</vt:i4>
      </vt:variant>
      <vt:variant>
        <vt:lpwstr/>
      </vt:variant>
      <vt:variant>
        <vt:lpwstr>_Toc212724818</vt:lpwstr>
      </vt:variant>
      <vt:variant>
        <vt:i4>1310778</vt:i4>
      </vt:variant>
      <vt:variant>
        <vt:i4>14</vt:i4>
      </vt:variant>
      <vt:variant>
        <vt:i4>0</vt:i4>
      </vt:variant>
      <vt:variant>
        <vt:i4>5</vt:i4>
      </vt:variant>
      <vt:variant>
        <vt:lpwstr/>
      </vt:variant>
      <vt:variant>
        <vt:lpwstr>_Toc212724817</vt:lpwstr>
      </vt:variant>
      <vt:variant>
        <vt:i4>1310778</vt:i4>
      </vt:variant>
      <vt:variant>
        <vt:i4>8</vt:i4>
      </vt:variant>
      <vt:variant>
        <vt:i4>0</vt:i4>
      </vt:variant>
      <vt:variant>
        <vt:i4>5</vt:i4>
      </vt:variant>
      <vt:variant>
        <vt:lpwstr/>
      </vt:variant>
      <vt:variant>
        <vt:lpwstr>_Toc212724816</vt:lpwstr>
      </vt:variant>
      <vt:variant>
        <vt:i4>1310778</vt:i4>
      </vt:variant>
      <vt:variant>
        <vt:i4>2</vt:i4>
      </vt:variant>
      <vt:variant>
        <vt:i4>0</vt:i4>
      </vt:variant>
      <vt:variant>
        <vt:i4>5</vt:i4>
      </vt:variant>
      <vt:variant>
        <vt:lpwstr/>
      </vt:variant>
      <vt:variant>
        <vt:lpwstr>_Toc212724815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Fire &amp; Crime Commissioner for Northamptonshire</dc:title>
  <dc:subject/>
  <dc:creator>Laurelin H Griffiths</dc:creator>
  <cp:keywords/>
  <cp:lastModifiedBy>Starczewska-Brence Kate</cp:lastModifiedBy>
  <cp:revision>7</cp:revision>
  <cp:lastPrinted>2026-06-01T18:52:00Z</cp:lastPrinted>
  <dcterms:created xsi:type="dcterms:W3CDTF">2026-06-10T09:48:00Z</dcterms:created>
  <dcterms:modified xsi:type="dcterms:W3CDTF">2026-06-10T13:08:00Z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0x01010003CE5CC532301940862F02A27266992E</vt:lpwstr>
  </property>
  <property fmtid="{D5CDD505-2E9C-101B-9397-08002B2CF9AE}" pid="3" name="MSIP_Label_d9cd4a6a-7014-48d6-b119-9b8b87129a7e_Enabled">
    <vt:lpwstr>true</vt:lpwstr>
  </property>
  <property fmtid="{D5CDD505-2E9C-101B-9397-08002B2CF9AE}" pid="4" name="MSIP_Label_d9cd4a6a-7014-48d6-b119-9b8b87129a7e_SetDate">
    <vt:lpwstr>2026-02-26T09:05:53Z</vt:lpwstr>
  </property>
  <property fmtid="{D5CDD505-2E9C-101B-9397-08002B2CF9AE}" pid="5" name="MSIP_Label_d9cd4a6a-7014-48d6-b119-9b8b87129a7e_Method">
    <vt:lpwstr>Standard</vt:lpwstr>
  </property>
  <property fmtid="{D5CDD505-2E9C-101B-9397-08002B2CF9AE}" pid="6" name="MSIP_Label_d9cd4a6a-7014-48d6-b119-9b8b87129a7e_Name">
    <vt:lpwstr>d9cd4a6a-7014-48d6-b119-9b8b87129a7e</vt:lpwstr>
  </property>
  <property fmtid="{D5CDD505-2E9C-101B-9397-08002B2CF9AE}" pid="7" name="MSIP_Label_d9cd4a6a-7014-48d6-b119-9b8b87129a7e_SiteId">
    <vt:lpwstr>bf91f36f-ab89-4503-8c3f-04a029f837d3</vt:lpwstr>
  </property>
  <property fmtid="{D5CDD505-2E9C-101B-9397-08002B2CF9AE}" pid="8" name="MSIP_Label_d9cd4a6a-7014-48d6-b119-9b8b87129a7e_ActionId">
    <vt:lpwstr>3a59f6f4-c984-43b2-94e3-8cb2133284d1</vt:lpwstr>
  </property>
  <property fmtid="{D5CDD505-2E9C-101B-9397-08002B2CF9AE}" pid="9" name="MSIP_Label_d9cd4a6a-7014-48d6-b119-9b8b87129a7e_ContentBits">
    <vt:lpwstr>0</vt:lpwstr>
  </property>
  <property fmtid="{D5CDD505-2E9C-101B-9397-08002B2CF9AE}" pid="10" name="MSIP_Label_d9cd4a6a-7014-48d6-b119-9b8b87129a7e_Tag">
    <vt:lpwstr>10, 3, 0, 1</vt:lpwstr>
  </property>
  <property fmtid="{D5CDD505-2E9C-101B-9397-08002B2CF9AE}" pid="11" name="MediaServiceImageTags">
    <vt:lpwstr/>
  </property>
  <property fmtid="{D5CDD505-2E9C-101B-9397-08002B2CF9AE}" pid="12" name="ClassificationContentMarkingHeaderShapeIds">
    <vt:lpwstr>2f5506c1,1ddc8605,3ed9295d,4b64fa30,e9f5dab</vt:lpwstr>
  </property>
  <property fmtid="{D5CDD505-2E9C-101B-9397-08002B2CF9AE}" pid="13" name="ClassificationContentMarkingHeaderFontProps">
    <vt:lpwstr>#000000,8,Aptos</vt:lpwstr>
  </property>
  <property fmtid="{D5CDD505-2E9C-101B-9397-08002B2CF9AE}" pid="14" name="ClassificationContentMarkingHeaderText">
    <vt:lpwstr>Commercial in Confidence</vt:lpwstr>
  </property>
  <property fmtid="{D5CDD505-2E9C-101B-9397-08002B2CF9AE}" pid="15" name="MSIP_Label_4188c733-ee34-4236-a60b-d6f9a28bb31e_Enabled">
    <vt:lpwstr>true</vt:lpwstr>
  </property>
  <property fmtid="{D5CDD505-2E9C-101B-9397-08002B2CF9AE}" pid="16" name="MSIP_Label_4188c733-ee34-4236-a60b-d6f9a28bb31e_SetDate">
    <vt:lpwstr>2026-02-26T13:49:23Z</vt:lpwstr>
  </property>
  <property fmtid="{D5CDD505-2E9C-101B-9397-08002B2CF9AE}" pid="17" name="MSIP_Label_4188c733-ee34-4236-a60b-d6f9a28bb31e_Method">
    <vt:lpwstr>Standard</vt:lpwstr>
  </property>
  <property fmtid="{D5CDD505-2E9C-101B-9397-08002B2CF9AE}" pid="18" name="MSIP_Label_4188c733-ee34-4236-a60b-d6f9a28bb31e_Name">
    <vt:lpwstr>Commercial in ConfidenceV2</vt:lpwstr>
  </property>
  <property fmtid="{D5CDD505-2E9C-101B-9397-08002B2CF9AE}" pid="19" name="MSIP_Label_4188c733-ee34-4236-a60b-d6f9a28bb31e_SiteId">
    <vt:lpwstr>b723253f-7281-4adc-bc1c-fc9ef3674d78</vt:lpwstr>
  </property>
  <property fmtid="{D5CDD505-2E9C-101B-9397-08002B2CF9AE}" pid="20" name="MSIP_Label_4188c733-ee34-4236-a60b-d6f9a28bb31e_ActionId">
    <vt:lpwstr>7229d275-cca5-4b10-aa2a-1f9f01ada3d8</vt:lpwstr>
  </property>
  <property fmtid="{D5CDD505-2E9C-101B-9397-08002B2CF9AE}" pid="21" name="MSIP_Label_4188c733-ee34-4236-a60b-d6f9a28bb31e_ContentBits">
    <vt:lpwstr>1</vt:lpwstr>
  </property>
  <property fmtid="{D5CDD505-2E9C-101B-9397-08002B2CF9AE}" pid="22" name="MSIP_Label_4188c733-ee34-4236-a60b-d6f9a28bb31e_Tag">
    <vt:lpwstr>10, 3, 0, 1</vt:lpwstr>
  </property>
</Properties>
</file>